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3" w:rsidRPr="00A55893" w:rsidRDefault="00A55893" w:rsidP="00A55893">
      <w:pPr>
        <w:shd w:val="clear" w:color="auto" w:fill="FFFFFF"/>
        <w:spacing w:after="225" w:line="330" w:lineRule="atLeast"/>
        <w:textAlignment w:val="baseline"/>
        <w:outlineLvl w:val="1"/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</w:pPr>
      <w:bookmarkStart w:id="0" w:name="_GoBack"/>
      <w:r w:rsidRPr="00A55893"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  <w:t>«ТИЖОРАТ БАНКЛАРИДА КАССА ИШИНИ ТАШКИЛ ЭТИШ, ИНКАССАЦИЯ ВА ҚИММАТЛИКЛАРНИ ТАШИШГА ДОИР ЙЎРИҚНОМА»ГА КИРИТИЛГАН ЎЗГАРТИРИШ ВА ҚЎШИМЧАЛАР ЮЗАСИДАН ШАРҲ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Бошқарувининг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июндаги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17/5-сонли «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касса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қимматликларни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ташишга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доир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ҳақида»ги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қарори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июлда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Адлия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вазирлигида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1831-2-сон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июлидан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кучга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киради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киритилишидан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кўзланган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асосий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мақсад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тушунчаларнинг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изоҳ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қабул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меъёрий-хуқуқий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талабларидан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чиққан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тегишли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бандларига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киритишдан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иборатдир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Хусусан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пункти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слип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тушунчаларнинг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мижозларининг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тушум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пулларини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қимматликларини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ўртасида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тузилган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шартномаларга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кўрсатувчи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бозор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савдо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мажмуаларида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юритувчи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субъектлар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тушум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пулларини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топширадиган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махсус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жой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пластик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картасидан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ҳолда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операция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ўтказилганлигини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тасдиқловчи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терминал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квитанцияси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изоҳлари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24-банди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иккита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хатбоши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тўлдирилди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банк (филиал)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номи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манзили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тугатилган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тақдирда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мавжуд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барча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мухр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штампларини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йўқ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комиссия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тузилиши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мухр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штампларни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ўтказиш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йўқ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эса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Мухр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штампларни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тайёрлаш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сақлаш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фойдаланиш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тўғрисида»ги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Низом(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рақами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1077, 2001 й. 27 октябрь)га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72-банди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учинчи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хатбошиси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таҳрирда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баён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50-илова,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яъни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жисмоний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шахслар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тўлашда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шаклдаги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махсус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бланкасидан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фойдаланиши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«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(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рақами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1834, 2008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11 июль)га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73-банднинг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биринчи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хатбошиси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таҳрирда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баён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мижозлар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ҳисобварақларига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нақд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пул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қўйишларидан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аввал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ходимлари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1834-сонли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олдиндан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текшириб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чиқишлари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расмийлаштиришлари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89-бандига «в)»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кичик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омонатлар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бўйича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фоизлар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тўлаш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омонатларни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қайтариш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"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депозит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операцияларини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тартиби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тўғрисида»ги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рақами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2205, 2011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4 март)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талаблари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Пластик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карталардан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операцияларини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891 -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бандда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ифодасини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топган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166, 203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215-бандлари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баён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яроқсиз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қалбаки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пуллар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90145-«тўловга 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яроқсиз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банкнот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тангалар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ҳисобварағида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донаси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сўм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шартли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баҳода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      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269-банди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иккинчи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хатбоши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тўлдирилиб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гаров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сифатида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қабул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қимматли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қоғозлар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мулклар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номинал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қиймати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бўйича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сақланиши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2711 –банд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тўлдирилиб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кассасидаги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банкка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топширилиши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пуллар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жўнатилмаган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тақдирда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улар 10198-ҳисобварағига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141А-шаклдаги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китобда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(51-илова)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327-банди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бешинчи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хатбоши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тўлдирилиб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туманларга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бўлинган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шаҳар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ҳудудида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юритаётган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ташқарида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жойлашган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операцион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кассалар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331-банди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талаблари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бўйича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ушбу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кассаларнинг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тушум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пуллари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банкка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филиалига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орқали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топширилиши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шартлиги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330-банди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баён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биносидан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ташқаридаги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операцион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кассаларни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қўриқланиши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қўриқлаш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ёнғин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хавфсизлиги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сигнализация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воситалари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жиҳозланиши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масалалари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батафсил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баён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3551 –банд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тўлдирилиб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100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ундан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ортиқ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турғун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савдо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шахобчалари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мавжуд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бозорлар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савдо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мажмуаларида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тушум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пулини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қабул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қилувчи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пунктлари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мумкинлиги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  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ушбу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)да касса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инкассация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биносидан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ташқарида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жойлашган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операцион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кассаларнинг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қўриқланиши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техник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химоя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воситалари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жиҳозланиши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масалалари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этилишини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янада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ривожлантиришга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қилади</w:t>
      </w:r>
      <w:proofErr w:type="spellEnd"/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 </w:t>
      </w:r>
    </w:p>
    <w:p w:rsidR="00A55893" w:rsidRPr="00A55893" w:rsidRDefault="00A55893" w:rsidP="00A5589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58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55893" w:rsidRPr="00A55893" w:rsidRDefault="00A55893" w:rsidP="00A55893">
      <w:pPr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Сирожев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С.Б.</w:t>
      </w:r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Ўзбекистон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Республикаси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Марказий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банкининг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Эмиссия-касса</w:t>
      </w:r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операциялари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департаменти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директори</w:t>
      </w:r>
      <w:proofErr w:type="spellEnd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5589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ўринбосари</w:t>
      </w:r>
      <w:proofErr w:type="spellEnd"/>
    </w:p>
    <w:bookmarkEnd w:id="0"/>
    <w:p w:rsidR="00C45E9D" w:rsidRDefault="00C45E9D"/>
    <w:sectPr w:rsidR="00C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3"/>
    <w:rsid w:val="00A55893"/>
    <w:rsid w:val="00C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E130"/>
  <w15:chartTrackingRefBased/>
  <w15:docId w15:val="{75ED794B-6A47-48D0-9CB0-6D143989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2</cp:revision>
  <dcterms:created xsi:type="dcterms:W3CDTF">2016-01-12T07:54:00Z</dcterms:created>
  <dcterms:modified xsi:type="dcterms:W3CDTF">2016-01-12T07:59:00Z</dcterms:modified>
</cp:coreProperties>
</file>