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1.xml" ContentType="application/vnd.openxmlformats-officedocument.drawingml.chartshapes+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drawings/drawing2.xml" ContentType="application/vnd.openxmlformats-officedocument.drawingml.chartshapes+xml"/>
  <Override PartName="/word/charts/chart21.xml" ContentType="application/vnd.openxmlformats-officedocument.drawingml.chart+xml"/>
  <Override PartName="/word/theme/themeOverride1.xml" ContentType="application/vnd.openxmlformats-officedocument.themeOverride+xml"/>
  <Override PartName="/word/charts/chart22.xml" ContentType="application/vnd.openxmlformats-officedocument.drawingml.chart+xml"/>
  <Override PartName="/word/theme/themeOverride2.xml" ContentType="application/vnd.openxmlformats-officedocument.themeOverride+xml"/>
  <Override PartName="/word/charts/chart23.xml" ContentType="application/vnd.openxmlformats-officedocument.drawingml.chart+xml"/>
  <Override PartName="/word/theme/themeOverride3.xml" ContentType="application/vnd.openxmlformats-officedocument.themeOverride+xml"/>
  <Override PartName="/word/charts/chart24.xml" ContentType="application/vnd.openxmlformats-officedocument.drawingml.chart+xml"/>
  <Override PartName="/word/theme/themeOverride4.xml" ContentType="application/vnd.openxmlformats-officedocument.themeOverride+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style20.xml" ContentType="application/vnd.ms-office.chartstyle+xml"/>
  <Override PartName="/word/charts/colors20.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76E" w:rsidRPr="00F45A80" w:rsidRDefault="002E4BF0" w:rsidP="00AA376E">
      <w:pPr>
        <w:tabs>
          <w:tab w:val="left" w:pos="11057"/>
        </w:tabs>
        <w:rPr>
          <w:rFonts w:cs="Calibri"/>
          <w:lang w:val="en-US"/>
        </w:rPr>
      </w:pPr>
      <w:r>
        <w:rPr>
          <w:rFonts w:cs="Calibri"/>
          <w:b/>
          <w:noProof/>
          <w:color w:val="000000"/>
          <w:sz w:val="28"/>
        </w:rPr>
        <w:drawing>
          <wp:anchor distT="0" distB="0" distL="114300" distR="114300" simplePos="0" relativeHeight="251676672" behindDoc="1" locked="0" layoutInCell="1" allowOverlap="1" wp14:anchorId="5FA83643" wp14:editId="53369715">
            <wp:simplePos x="0" y="0"/>
            <wp:positionH relativeFrom="margin">
              <wp:align>left</wp:align>
            </wp:positionH>
            <wp:positionV relativeFrom="paragraph">
              <wp:posOffset>-207645</wp:posOffset>
            </wp:positionV>
            <wp:extent cx="7568565" cy="11068050"/>
            <wp:effectExtent l="0" t="0" r="0" b="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ver page (la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8565" cy="11068050"/>
                    </a:xfrm>
                    <a:prstGeom prst="rect">
                      <a:avLst/>
                    </a:prstGeom>
                  </pic:spPr>
                </pic:pic>
              </a:graphicData>
            </a:graphic>
            <wp14:sizeRelH relativeFrom="page">
              <wp14:pctWidth>0</wp14:pctWidth>
            </wp14:sizeRelH>
            <wp14:sizeRelV relativeFrom="page">
              <wp14:pctHeight>0</wp14:pctHeight>
            </wp14:sizeRelV>
          </wp:anchor>
        </w:drawing>
      </w:r>
      <w:r w:rsidR="00730C04">
        <w:rPr>
          <w:rFonts w:cs="Calibri"/>
          <w:lang w:val="en-US"/>
        </w:rPr>
        <w:tab/>
      </w:r>
    </w:p>
    <w:p w:rsidR="00AA376E" w:rsidRPr="00F45A80" w:rsidRDefault="00AA376E" w:rsidP="00AA376E">
      <w:pPr>
        <w:rPr>
          <w:rFonts w:cs="Calibri"/>
          <w:lang w:val="en-US"/>
        </w:rPr>
      </w:pPr>
    </w:p>
    <w:p w:rsidR="00AA376E" w:rsidRPr="00F45A80" w:rsidRDefault="00AA376E" w:rsidP="00AA376E">
      <w:pPr>
        <w:rPr>
          <w:rFonts w:cs="Calibri"/>
          <w:lang w:val="en-US"/>
        </w:rPr>
      </w:pPr>
    </w:p>
    <w:p w:rsidR="00AA376E" w:rsidRPr="00F45A80" w:rsidRDefault="002E4BF0" w:rsidP="00AA376E">
      <w:pPr>
        <w:rPr>
          <w:rFonts w:cs="Calibri"/>
          <w:lang w:val="en-US"/>
        </w:rPr>
      </w:pPr>
      <w:r>
        <w:rPr>
          <w:noProof/>
        </w:rPr>
        <mc:AlternateContent>
          <mc:Choice Requires="wps">
            <w:drawing>
              <wp:anchor distT="0" distB="0" distL="114300" distR="114300" simplePos="0" relativeHeight="251678720" behindDoc="0" locked="0" layoutInCell="1" allowOverlap="1" wp14:anchorId="704EEC4C" wp14:editId="1ECC207D">
                <wp:simplePos x="0" y="0"/>
                <wp:positionH relativeFrom="column">
                  <wp:posOffset>2893695</wp:posOffset>
                </wp:positionH>
                <wp:positionV relativeFrom="paragraph">
                  <wp:posOffset>8255</wp:posOffset>
                </wp:positionV>
                <wp:extent cx="4208780" cy="972820"/>
                <wp:effectExtent l="0" t="0" r="0" b="0"/>
                <wp:wrapNone/>
                <wp:docPr id="45" name="Надпись 45"/>
                <wp:cNvGraphicFramePr/>
                <a:graphic xmlns:a="http://schemas.openxmlformats.org/drawingml/2006/main">
                  <a:graphicData uri="http://schemas.microsoft.com/office/word/2010/wordprocessingShape">
                    <wps:wsp>
                      <wps:cNvSpPr txBox="1"/>
                      <wps:spPr>
                        <a:xfrm>
                          <a:off x="0" y="0"/>
                          <a:ext cx="4208780" cy="972820"/>
                        </a:xfrm>
                        <a:prstGeom prst="rect">
                          <a:avLst/>
                        </a:prstGeom>
                        <a:noFill/>
                        <a:ln>
                          <a:noFill/>
                        </a:ln>
                      </wps:spPr>
                      <wps:txbx>
                        <w:txbxContent>
                          <w:p w:rsidR="001B2CDA" w:rsidRPr="00706A95" w:rsidRDefault="001B2CDA" w:rsidP="00706A95">
                            <w:pPr>
                              <w:jc w:val="center"/>
                              <w:rPr>
                                <w:rFonts w:ascii="Century Gothic" w:hAnsi="Century Gothic" w:cs="Courier New"/>
                                <w:b/>
                                <w:color w:val="002060"/>
                                <w:sz w:val="44"/>
                                <w:szCs w:val="44"/>
                                <w:lang w:val="en-US"/>
                              </w:rPr>
                            </w:pPr>
                            <w:r w:rsidRPr="00706A95">
                              <w:rPr>
                                <w:rFonts w:ascii="Century Gothic" w:hAnsi="Century Gothic" w:cs="Courier New"/>
                                <w:b/>
                                <w:color w:val="002060"/>
                                <w:sz w:val="44"/>
                                <w:szCs w:val="44"/>
                                <w:lang w:val="en-US"/>
                              </w:rPr>
                              <w:t>CENTRAL BANK OF</w:t>
                            </w:r>
                          </w:p>
                          <w:p w:rsidR="001B2CDA" w:rsidRPr="00706A95" w:rsidRDefault="001B2CDA" w:rsidP="00706A95">
                            <w:pPr>
                              <w:jc w:val="center"/>
                              <w:rPr>
                                <w:rFonts w:ascii="Century Gothic" w:hAnsi="Century Gothic" w:cs="Courier New"/>
                                <w:b/>
                                <w:noProof/>
                                <w:color w:val="002060"/>
                                <w:sz w:val="44"/>
                                <w:szCs w:val="4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A95">
                              <w:rPr>
                                <w:rFonts w:ascii="Century Gothic" w:hAnsi="Century Gothic" w:cs="Courier New"/>
                                <w:b/>
                                <w:color w:val="002060"/>
                                <w:sz w:val="44"/>
                                <w:szCs w:val="44"/>
                                <w:lang w:val="en-US"/>
                              </w:rPr>
                              <w:t>THE REPUBLIC OF UZBEKISTAN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4EEC4C" id="_x0000_t202" coordsize="21600,21600" o:spt="202" path="m,l,21600r21600,l21600,xe">
                <v:stroke joinstyle="miter"/>
                <v:path gradientshapeok="t" o:connecttype="rect"/>
              </v:shapetype>
              <v:shape id="Надпись 45" o:spid="_x0000_s1026" type="#_x0000_t202" style="position:absolute;margin-left:227.85pt;margin-top:.65pt;width:331.4pt;height:76.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" filled="f" stroked="f">
                <v:textbox>
                  <w:txbxContent>
                    <w:p w:rsidR="001B2CDA" w:rsidRPr="00706A95" w:rsidRDefault="001B2CDA" w:rsidP="00706A95">
                      <w:pPr>
                        <w:jc w:val="center"/>
                        <w:rPr>
                          <w:rFonts w:ascii="Century Gothic" w:hAnsi="Century Gothic" w:cs="Courier New"/>
                          <w:b/>
                          <w:color w:val="002060"/>
                          <w:sz w:val="44"/>
                          <w:szCs w:val="44"/>
                          <w:lang w:val="en-US"/>
                        </w:rPr>
                      </w:pPr>
                      <w:r w:rsidRPr="00706A95">
                        <w:rPr>
                          <w:rFonts w:ascii="Century Gothic" w:hAnsi="Century Gothic" w:cs="Courier New"/>
                          <w:b/>
                          <w:color w:val="002060"/>
                          <w:sz w:val="44"/>
                          <w:szCs w:val="44"/>
                          <w:lang w:val="en-US"/>
                        </w:rPr>
                        <w:t>CENTRAL BANK OF</w:t>
                      </w:r>
                    </w:p>
                    <w:p w:rsidR="001B2CDA" w:rsidRPr="00706A95" w:rsidRDefault="001B2CDA" w:rsidP="00706A95">
                      <w:pPr>
                        <w:jc w:val="center"/>
                        <w:rPr>
                          <w:rFonts w:ascii="Century Gothic" w:hAnsi="Century Gothic" w:cs="Courier New"/>
                          <w:b/>
                          <w:noProof/>
                          <w:color w:val="002060"/>
                          <w:sz w:val="44"/>
                          <w:szCs w:val="4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A95">
                        <w:rPr>
                          <w:rFonts w:ascii="Century Gothic" w:hAnsi="Century Gothic" w:cs="Courier New"/>
                          <w:b/>
                          <w:color w:val="002060"/>
                          <w:sz w:val="44"/>
                          <w:szCs w:val="44"/>
                          <w:lang w:val="en-US"/>
                        </w:rPr>
                        <w:t>THE REPUBLIC OF UZBEKISTAN</w:t>
                      </w:r>
                    </w:p>
                  </w:txbxContent>
                </v:textbox>
              </v:shape>
            </w:pict>
          </mc:Fallback>
        </mc:AlternateContent>
      </w:r>
    </w:p>
    <w:p w:rsidR="00AA376E" w:rsidRPr="00F45A80" w:rsidRDefault="00AA376E" w:rsidP="00AA376E">
      <w:pPr>
        <w:rPr>
          <w:rFonts w:cs="Calibri"/>
          <w:lang w:val="en-US"/>
        </w:rPr>
      </w:pPr>
    </w:p>
    <w:p w:rsidR="00AA376E" w:rsidRPr="00F45A80" w:rsidRDefault="00AA376E" w:rsidP="00AA376E">
      <w:pPr>
        <w:rPr>
          <w:rFonts w:cs="Calibri"/>
          <w:lang w:val="en-US"/>
        </w:rPr>
      </w:pPr>
    </w:p>
    <w:p w:rsidR="00AA376E" w:rsidRPr="00F45A80" w:rsidRDefault="00AA376E" w:rsidP="00AA376E">
      <w:pPr>
        <w:tabs>
          <w:tab w:val="left" w:pos="4365"/>
        </w:tabs>
        <w:rPr>
          <w:rFonts w:cs="Calibri"/>
          <w:b/>
          <w:lang w:val="en-US"/>
        </w:rPr>
      </w:pPr>
    </w:p>
    <w:p w:rsidR="00084A80" w:rsidRPr="00F45A80" w:rsidRDefault="00084A80" w:rsidP="00AA376E">
      <w:pPr>
        <w:tabs>
          <w:tab w:val="left" w:pos="4365"/>
        </w:tabs>
        <w:ind w:left="1843"/>
        <w:rPr>
          <w:rFonts w:cs="Calibri"/>
          <w:b/>
          <w:sz w:val="32"/>
          <w:szCs w:val="32"/>
          <w:lang w:val="en-US"/>
        </w:rPr>
      </w:pPr>
    </w:p>
    <w:p w:rsidR="00084A80" w:rsidRPr="00F45A80" w:rsidRDefault="00084A80" w:rsidP="00AA376E">
      <w:pPr>
        <w:tabs>
          <w:tab w:val="left" w:pos="4365"/>
        </w:tabs>
        <w:ind w:left="1843"/>
        <w:rPr>
          <w:rFonts w:cs="Calibri"/>
          <w:b/>
          <w:sz w:val="32"/>
          <w:szCs w:val="32"/>
          <w:lang w:val="en-US"/>
        </w:rPr>
      </w:pPr>
    </w:p>
    <w:p w:rsidR="00084A80" w:rsidRPr="00F45A80" w:rsidRDefault="00706A95" w:rsidP="00AA376E">
      <w:pPr>
        <w:tabs>
          <w:tab w:val="left" w:pos="4365"/>
        </w:tabs>
        <w:ind w:left="1843"/>
        <w:rPr>
          <w:rFonts w:cs="Calibri"/>
          <w:b/>
          <w:sz w:val="32"/>
          <w:szCs w:val="32"/>
          <w:lang w:val="en-US"/>
        </w:rPr>
      </w:pPr>
      <w:r>
        <w:rPr>
          <w:noProof/>
        </w:rPr>
        <mc:AlternateContent>
          <mc:Choice Requires="wps">
            <w:drawing>
              <wp:anchor distT="0" distB="0" distL="114300" distR="114300" simplePos="0" relativeHeight="251680768" behindDoc="0" locked="0" layoutInCell="1" allowOverlap="1" wp14:anchorId="18071F13" wp14:editId="643FD033">
                <wp:simplePos x="0" y="0"/>
                <wp:positionH relativeFrom="column">
                  <wp:posOffset>2024749</wp:posOffset>
                </wp:positionH>
                <wp:positionV relativeFrom="paragraph">
                  <wp:posOffset>175260</wp:posOffset>
                </wp:positionV>
                <wp:extent cx="4993005" cy="1807535"/>
                <wp:effectExtent l="0" t="0" r="0" b="2540"/>
                <wp:wrapNone/>
                <wp:docPr id="47" name="Надпись 47"/>
                <wp:cNvGraphicFramePr/>
                <a:graphic xmlns:a="http://schemas.openxmlformats.org/drawingml/2006/main">
                  <a:graphicData uri="http://schemas.microsoft.com/office/word/2010/wordprocessingShape">
                    <wps:wsp>
                      <wps:cNvSpPr txBox="1"/>
                      <wps:spPr>
                        <a:xfrm>
                          <a:off x="0" y="0"/>
                          <a:ext cx="4993005" cy="1807535"/>
                        </a:xfrm>
                        <a:prstGeom prst="rect">
                          <a:avLst/>
                        </a:prstGeom>
                        <a:noFill/>
                        <a:ln>
                          <a:noFill/>
                        </a:ln>
                      </wps:spPr>
                      <wps:txbx>
                        <w:txbxContent>
                          <w:p w:rsidR="001B2CDA" w:rsidRDefault="001B2CDA" w:rsidP="00706A95">
                            <w:pPr>
                              <w:tabs>
                                <w:tab w:val="left" w:pos="4365"/>
                              </w:tabs>
                              <w:ind w:left="1843"/>
                              <w:jc w:val="right"/>
                              <w:rPr>
                                <w:rFonts w:ascii="Century Gothic" w:hAnsi="Century Gothic" w:cs="Calibri"/>
                                <w:b/>
                                <w:color w:val="FFFFFF" w:themeColor="background1"/>
                                <w:sz w:val="32"/>
                                <w:szCs w:val="32"/>
                                <w:lang w:val="en-US"/>
                              </w:rPr>
                            </w:pPr>
                            <w:r>
                              <w:rPr>
                                <w:rFonts w:ascii="Century Gothic" w:hAnsi="Century Gothic" w:cs="Calibri"/>
                                <w:b/>
                                <w:color w:val="FFFFFF" w:themeColor="background1"/>
                                <w:sz w:val="32"/>
                                <w:szCs w:val="32"/>
                                <w:lang w:val="en-US"/>
                              </w:rPr>
                              <w:t>BALANCE</w:t>
                            </w:r>
                            <w:r w:rsidRPr="00706A95">
                              <w:rPr>
                                <w:rFonts w:ascii="Century Gothic" w:hAnsi="Century Gothic" w:cs="Calibri"/>
                                <w:b/>
                                <w:color w:val="FFFFFF" w:themeColor="background1"/>
                                <w:sz w:val="32"/>
                                <w:szCs w:val="32"/>
                                <w:lang w:val="en-US"/>
                              </w:rPr>
                              <w:t xml:space="preserve"> </w:t>
                            </w:r>
                            <w:r>
                              <w:rPr>
                                <w:rFonts w:ascii="Century Gothic" w:hAnsi="Century Gothic" w:cs="Calibri"/>
                                <w:b/>
                                <w:color w:val="FFFFFF" w:themeColor="background1"/>
                                <w:sz w:val="32"/>
                                <w:szCs w:val="32"/>
                                <w:lang w:val="en-US"/>
                              </w:rPr>
                              <w:t>OF</w:t>
                            </w:r>
                            <w:r w:rsidRPr="00706A95">
                              <w:rPr>
                                <w:rFonts w:ascii="Century Gothic" w:hAnsi="Century Gothic" w:cs="Calibri"/>
                                <w:b/>
                                <w:color w:val="FFFFFF" w:themeColor="background1"/>
                                <w:sz w:val="32"/>
                                <w:szCs w:val="32"/>
                                <w:lang w:val="en-US"/>
                              </w:rPr>
                              <w:t xml:space="preserve"> </w:t>
                            </w:r>
                            <w:r>
                              <w:rPr>
                                <w:rFonts w:ascii="Century Gothic" w:hAnsi="Century Gothic" w:cs="Calibri"/>
                                <w:b/>
                                <w:color w:val="FFFFFF" w:themeColor="background1"/>
                                <w:sz w:val="32"/>
                                <w:szCs w:val="32"/>
                                <w:lang w:val="en-US"/>
                              </w:rPr>
                              <w:t>PAYMENTS</w:t>
                            </w:r>
                            <w:r w:rsidRPr="00706A95">
                              <w:rPr>
                                <w:rFonts w:ascii="Century Gothic" w:hAnsi="Century Gothic" w:cs="Calibri"/>
                                <w:b/>
                                <w:color w:val="FFFFFF" w:themeColor="background1"/>
                                <w:sz w:val="32"/>
                                <w:szCs w:val="32"/>
                                <w:lang w:val="en-US"/>
                              </w:rPr>
                              <w:t xml:space="preserve">, </w:t>
                            </w:r>
                            <w:r>
                              <w:rPr>
                                <w:rFonts w:ascii="Century Gothic" w:hAnsi="Century Gothic" w:cs="Calibri"/>
                                <w:b/>
                                <w:color w:val="FFFFFF" w:themeColor="background1"/>
                                <w:sz w:val="32"/>
                                <w:szCs w:val="32"/>
                                <w:lang w:val="en-US"/>
                              </w:rPr>
                              <w:t>INTERNATIONAL INVESTMENT POSITION AND</w:t>
                            </w:r>
                            <w:r w:rsidRPr="00706A95">
                              <w:rPr>
                                <w:rFonts w:ascii="Century Gothic" w:hAnsi="Century Gothic" w:cs="Calibri"/>
                                <w:b/>
                                <w:color w:val="FFFFFF" w:themeColor="background1"/>
                                <w:sz w:val="32"/>
                                <w:szCs w:val="32"/>
                                <w:lang w:val="en-US"/>
                              </w:rPr>
                              <w:t xml:space="preserve"> </w:t>
                            </w:r>
                            <w:r>
                              <w:rPr>
                                <w:rFonts w:ascii="Century Gothic" w:hAnsi="Century Gothic" w:cs="Calibri"/>
                                <w:b/>
                                <w:color w:val="FFFFFF" w:themeColor="background1"/>
                                <w:sz w:val="32"/>
                                <w:szCs w:val="32"/>
                                <w:lang w:val="en-US"/>
                              </w:rPr>
                              <w:t xml:space="preserve">EXTERNAL DEBT OF </w:t>
                            </w:r>
                          </w:p>
                          <w:p w:rsidR="001B2CDA" w:rsidRPr="00706A95" w:rsidRDefault="001B2CDA" w:rsidP="00706A95">
                            <w:pPr>
                              <w:tabs>
                                <w:tab w:val="left" w:pos="4365"/>
                              </w:tabs>
                              <w:ind w:left="1843"/>
                              <w:jc w:val="right"/>
                              <w:rPr>
                                <w:rFonts w:ascii="Century Gothic" w:hAnsi="Century Gothic" w:cs="Calibri"/>
                                <w:b/>
                                <w:color w:val="FFFFFF" w:themeColor="background1"/>
                                <w:sz w:val="32"/>
                                <w:szCs w:val="32"/>
                                <w:lang w:val="en-US"/>
                              </w:rPr>
                            </w:pPr>
                            <w:r>
                              <w:rPr>
                                <w:rFonts w:ascii="Century Gothic" w:hAnsi="Century Gothic" w:cs="Calibri"/>
                                <w:b/>
                                <w:color w:val="FFFFFF" w:themeColor="background1"/>
                                <w:sz w:val="32"/>
                                <w:szCs w:val="32"/>
                                <w:lang w:val="en-US"/>
                              </w:rPr>
                              <w:t>THE REPUBLIC OF UZBEKISTAN</w:t>
                            </w:r>
                            <w:r w:rsidRPr="00706A95">
                              <w:rPr>
                                <w:rFonts w:ascii="Century Gothic" w:hAnsi="Century Gothic" w:cs="Calibri"/>
                                <w:b/>
                                <w:color w:val="FFFFFF" w:themeColor="background1"/>
                                <w:sz w:val="32"/>
                                <w:szCs w:val="32"/>
                                <w:lang w:val="en-US"/>
                              </w:rPr>
                              <w:t xml:space="preserve"> </w:t>
                            </w:r>
                            <w:r w:rsidRPr="00706A95">
                              <w:rPr>
                                <w:rFonts w:ascii="Century Gothic" w:hAnsi="Century Gothic" w:cs="Calibri"/>
                                <w:b/>
                                <w:color w:val="FFFFFF" w:themeColor="background1"/>
                                <w:sz w:val="32"/>
                                <w:szCs w:val="32"/>
                                <w:lang w:val="en-US"/>
                              </w:rPr>
                              <w:br/>
                            </w:r>
                          </w:p>
                          <w:p w:rsidR="001B2CDA" w:rsidRPr="00706A95" w:rsidRDefault="001B2CDA" w:rsidP="00706A95">
                            <w:pPr>
                              <w:jc w:val="right"/>
                              <w:rPr>
                                <w:rFonts w:ascii="Century Gothic" w:hAnsi="Century Gothic" w:cs="Arial"/>
                                <w:b/>
                                <w:noProof/>
                                <w:color w:val="FFFFFF" w:themeColor="background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071F13" id="Надпись 47" o:spid="_x0000_s1027" type="#_x0000_t202" style="position:absolute;left:0;text-align:left;margin-left:159.45pt;margin-top:13.8pt;width:393.15pt;height:142.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" filled="f" stroked="f">
                <v:textbox>
                  <w:txbxContent>
                    <w:p w:rsidR="001B2CDA" w:rsidRDefault="001B2CDA" w:rsidP="00706A95">
                      <w:pPr>
                        <w:tabs>
                          <w:tab w:val="left" w:pos="4365"/>
                        </w:tabs>
                        <w:ind w:left="1843"/>
                        <w:jc w:val="right"/>
                        <w:rPr>
                          <w:rFonts w:ascii="Century Gothic" w:hAnsi="Century Gothic" w:cs="Calibri"/>
                          <w:b/>
                          <w:color w:val="FFFFFF" w:themeColor="background1"/>
                          <w:sz w:val="32"/>
                          <w:szCs w:val="32"/>
                          <w:lang w:val="en-US"/>
                        </w:rPr>
                      </w:pPr>
                      <w:r>
                        <w:rPr>
                          <w:rFonts w:ascii="Century Gothic" w:hAnsi="Century Gothic" w:cs="Calibri"/>
                          <w:b/>
                          <w:color w:val="FFFFFF" w:themeColor="background1"/>
                          <w:sz w:val="32"/>
                          <w:szCs w:val="32"/>
                          <w:lang w:val="en-US"/>
                        </w:rPr>
                        <w:t>BALANCE</w:t>
                      </w:r>
                      <w:r w:rsidRPr="00706A95">
                        <w:rPr>
                          <w:rFonts w:ascii="Century Gothic" w:hAnsi="Century Gothic" w:cs="Calibri"/>
                          <w:b/>
                          <w:color w:val="FFFFFF" w:themeColor="background1"/>
                          <w:sz w:val="32"/>
                          <w:szCs w:val="32"/>
                          <w:lang w:val="en-US"/>
                        </w:rPr>
                        <w:t xml:space="preserve"> </w:t>
                      </w:r>
                      <w:r>
                        <w:rPr>
                          <w:rFonts w:ascii="Century Gothic" w:hAnsi="Century Gothic" w:cs="Calibri"/>
                          <w:b/>
                          <w:color w:val="FFFFFF" w:themeColor="background1"/>
                          <w:sz w:val="32"/>
                          <w:szCs w:val="32"/>
                          <w:lang w:val="en-US"/>
                        </w:rPr>
                        <w:t>OF</w:t>
                      </w:r>
                      <w:r w:rsidRPr="00706A95">
                        <w:rPr>
                          <w:rFonts w:ascii="Century Gothic" w:hAnsi="Century Gothic" w:cs="Calibri"/>
                          <w:b/>
                          <w:color w:val="FFFFFF" w:themeColor="background1"/>
                          <w:sz w:val="32"/>
                          <w:szCs w:val="32"/>
                          <w:lang w:val="en-US"/>
                        </w:rPr>
                        <w:t xml:space="preserve"> </w:t>
                      </w:r>
                      <w:r>
                        <w:rPr>
                          <w:rFonts w:ascii="Century Gothic" w:hAnsi="Century Gothic" w:cs="Calibri"/>
                          <w:b/>
                          <w:color w:val="FFFFFF" w:themeColor="background1"/>
                          <w:sz w:val="32"/>
                          <w:szCs w:val="32"/>
                          <w:lang w:val="en-US"/>
                        </w:rPr>
                        <w:t>PAYMENTS</w:t>
                      </w:r>
                      <w:r w:rsidRPr="00706A95">
                        <w:rPr>
                          <w:rFonts w:ascii="Century Gothic" w:hAnsi="Century Gothic" w:cs="Calibri"/>
                          <w:b/>
                          <w:color w:val="FFFFFF" w:themeColor="background1"/>
                          <w:sz w:val="32"/>
                          <w:szCs w:val="32"/>
                          <w:lang w:val="en-US"/>
                        </w:rPr>
                        <w:t xml:space="preserve">, </w:t>
                      </w:r>
                      <w:r>
                        <w:rPr>
                          <w:rFonts w:ascii="Century Gothic" w:hAnsi="Century Gothic" w:cs="Calibri"/>
                          <w:b/>
                          <w:color w:val="FFFFFF" w:themeColor="background1"/>
                          <w:sz w:val="32"/>
                          <w:szCs w:val="32"/>
                          <w:lang w:val="en-US"/>
                        </w:rPr>
                        <w:t>INTERNATIONAL INVESTMENT POSITION AND</w:t>
                      </w:r>
                      <w:r w:rsidRPr="00706A95">
                        <w:rPr>
                          <w:rFonts w:ascii="Century Gothic" w:hAnsi="Century Gothic" w:cs="Calibri"/>
                          <w:b/>
                          <w:color w:val="FFFFFF" w:themeColor="background1"/>
                          <w:sz w:val="32"/>
                          <w:szCs w:val="32"/>
                          <w:lang w:val="en-US"/>
                        </w:rPr>
                        <w:t xml:space="preserve"> </w:t>
                      </w:r>
                      <w:r>
                        <w:rPr>
                          <w:rFonts w:ascii="Century Gothic" w:hAnsi="Century Gothic" w:cs="Calibri"/>
                          <w:b/>
                          <w:color w:val="FFFFFF" w:themeColor="background1"/>
                          <w:sz w:val="32"/>
                          <w:szCs w:val="32"/>
                          <w:lang w:val="en-US"/>
                        </w:rPr>
                        <w:t xml:space="preserve">EXTERNAL DEBT OF </w:t>
                      </w:r>
                    </w:p>
                    <w:p w:rsidR="001B2CDA" w:rsidRPr="00706A95" w:rsidRDefault="001B2CDA" w:rsidP="00706A95">
                      <w:pPr>
                        <w:tabs>
                          <w:tab w:val="left" w:pos="4365"/>
                        </w:tabs>
                        <w:ind w:left="1843"/>
                        <w:jc w:val="right"/>
                        <w:rPr>
                          <w:rFonts w:ascii="Century Gothic" w:hAnsi="Century Gothic" w:cs="Calibri"/>
                          <w:b/>
                          <w:color w:val="FFFFFF" w:themeColor="background1"/>
                          <w:sz w:val="32"/>
                          <w:szCs w:val="32"/>
                          <w:lang w:val="en-US"/>
                        </w:rPr>
                      </w:pPr>
                      <w:r>
                        <w:rPr>
                          <w:rFonts w:ascii="Century Gothic" w:hAnsi="Century Gothic" w:cs="Calibri"/>
                          <w:b/>
                          <w:color w:val="FFFFFF" w:themeColor="background1"/>
                          <w:sz w:val="32"/>
                          <w:szCs w:val="32"/>
                          <w:lang w:val="en-US"/>
                        </w:rPr>
                        <w:t>THE REPUBLIC OF UZBEKISTAN</w:t>
                      </w:r>
                      <w:r w:rsidRPr="00706A95">
                        <w:rPr>
                          <w:rFonts w:ascii="Century Gothic" w:hAnsi="Century Gothic" w:cs="Calibri"/>
                          <w:b/>
                          <w:color w:val="FFFFFF" w:themeColor="background1"/>
                          <w:sz w:val="32"/>
                          <w:szCs w:val="32"/>
                          <w:lang w:val="en-US"/>
                        </w:rPr>
                        <w:t xml:space="preserve"> </w:t>
                      </w:r>
                      <w:r w:rsidRPr="00706A95">
                        <w:rPr>
                          <w:rFonts w:ascii="Century Gothic" w:hAnsi="Century Gothic" w:cs="Calibri"/>
                          <w:b/>
                          <w:color w:val="FFFFFF" w:themeColor="background1"/>
                          <w:sz w:val="32"/>
                          <w:szCs w:val="32"/>
                          <w:lang w:val="en-US"/>
                        </w:rPr>
                        <w:br/>
                      </w:r>
                    </w:p>
                    <w:p w:rsidR="001B2CDA" w:rsidRPr="00706A95" w:rsidRDefault="001B2CDA" w:rsidP="00706A95">
                      <w:pPr>
                        <w:jc w:val="right"/>
                        <w:rPr>
                          <w:rFonts w:ascii="Century Gothic" w:hAnsi="Century Gothic" w:cs="Arial"/>
                          <w:b/>
                          <w:noProof/>
                          <w:color w:val="FFFFFF" w:themeColor="background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034B8C" w:rsidRPr="00F45A80" w:rsidRDefault="00034B8C" w:rsidP="00AA376E">
      <w:pPr>
        <w:tabs>
          <w:tab w:val="left" w:pos="4365"/>
        </w:tabs>
        <w:ind w:left="1843"/>
        <w:rPr>
          <w:rFonts w:cs="Calibri"/>
          <w:b/>
          <w:sz w:val="32"/>
          <w:szCs w:val="32"/>
          <w:lang w:val="en-US"/>
        </w:rPr>
      </w:pPr>
    </w:p>
    <w:p w:rsidR="0043443F" w:rsidRPr="00F45A80" w:rsidRDefault="0043443F" w:rsidP="00AA376E">
      <w:pPr>
        <w:tabs>
          <w:tab w:val="left" w:pos="4365"/>
        </w:tabs>
        <w:ind w:left="1843"/>
        <w:rPr>
          <w:rFonts w:cs="Calibri"/>
          <w:b/>
          <w:sz w:val="28"/>
          <w:lang w:val="en-US"/>
        </w:rPr>
      </w:pPr>
    </w:p>
    <w:p w:rsidR="00034B8C" w:rsidRPr="00F45A80" w:rsidRDefault="00034B8C" w:rsidP="00AA376E">
      <w:pPr>
        <w:tabs>
          <w:tab w:val="left" w:pos="4365"/>
        </w:tabs>
        <w:ind w:left="1843"/>
        <w:rPr>
          <w:rFonts w:cs="Calibri"/>
          <w:b/>
          <w:sz w:val="28"/>
          <w:lang w:val="en-US"/>
        </w:rPr>
      </w:pPr>
    </w:p>
    <w:p w:rsidR="00AA376E" w:rsidRPr="00F45A80" w:rsidRDefault="00AA376E" w:rsidP="00AA376E">
      <w:pPr>
        <w:jc w:val="both"/>
        <w:rPr>
          <w:rFonts w:cs="Calibri"/>
          <w:lang w:val="en-US"/>
        </w:rPr>
      </w:pPr>
    </w:p>
    <w:p w:rsidR="00AA376E" w:rsidRPr="00F45A80" w:rsidRDefault="00AA376E" w:rsidP="00AA376E">
      <w:pPr>
        <w:jc w:val="center"/>
        <w:rPr>
          <w:rFonts w:cs="Calibri"/>
          <w:b/>
          <w:sz w:val="28"/>
          <w:lang w:val="en-US"/>
        </w:rPr>
      </w:pPr>
    </w:p>
    <w:p w:rsidR="00AA376E" w:rsidRPr="00F45A80" w:rsidRDefault="00AA376E" w:rsidP="00AA376E">
      <w:pPr>
        <w:jc w:val="center"/>
        <w:rPr>
          <w:rFonts w:cs="Calibri"/>
          <w:b/>
          <w:sz w:val="28"/>
          <w:lang w:val="en-US"/>
        </w:rPr>
      </w:pPr>
    </w:p>
    <w:p w:rsidR="00084A80" w:rsidRPr="00F45A80" w:rsidRDefault="00084A80" w:rsidP="00AA376E">
      <w:pPr>
        <w:jc w:val="center"/>
        <w:rPr>
          <w:rFonts w:cs="Calibri"/>
          <w:b/>
          <w:sz w:val="28"/>
          <w:lang w:val="en-US"/>
        </w:rPr>
      </w:pPr>
    </w:p>
    <w:p w:rsidR="008D1D84" w:rsidRPr="00F45A80" w:rsidRDefault="008D1D84" w:rsidP="00084A80">
      <w:pPr>
        <w:tabs>
          <w:tab w:val="left" w:pos="10348"/>
        </w:tabs>
        <w:jc w:val="center"/>
        <w:rPr>
          <w:rFonts w:cs="Calibri"/>
          <w:b/>
          <w:color w:val="000000"/>
          <w:sz w:val="28"/>
          <w:lang w:val="en-US"/>
        </w:rPr>
      </w:pPr>
    </w:p>
    <w:p w:rsidR="008D1D84" w:rsidRPr="00F45A80" w:rsidRDefault="00706A95" w:rsidP="00084A80">
      <w:pPr>
        <w:tabs>
          <w:tab w:val="left" w:pos="10348"/>
        </w:tabs>
        <w:jc w:val="center"/>
        <w:rPr>
          <w:rFonts w:cs="Calibri"/>
          <w:b/>
          <w:color w:val="000000"/>
          <w:sz w:val="28"/>
          <w:lang w:val="en-US"/>
        </w:rPr>
      </w:pPr>
      <w:r>
        <w:rPr>
          <w:noProof/>
        </w:rPr>
        <mc:AlternateContent>
          <mc:Choice Requires="wps">
            <w:drawing>
              <wp:anchor distT="0" distB="0" distL="114300" distR="114300" simplePos="0" relativeHeight="251682816" behindDoc="0" locked="0" layoutInCell="1" allowOverlap="1" wp14:anchorId="74F2ADA4" wp14:editId="1CFC703B">
                <wp:simplePos x="0" y="0"/>
                <wp:positionH relativeFrom="column">
                  <wp:posOffset>3943985</wp:posOffset>
                </wp:positionH>
                <wp:positionV relativeFrom="paragraph">
                  <wp:posOffset>3792220</wp:posOffset>
                </wp:positionV>
                <wp:extent cx="4208780" cy="1234440"/>
                <wp:effectExtent l="0" t="0" r="0" b="3810"/>
                <wp:wrapNone/>
                <wp:docPr id="49" name="Надпись 49"/>
                <wp:cNvGraphicFramePr/>
                <a:graphic xmlns:a="http://schemas.openxmlformats.org/drawingml/2006/main">
                  <a:graphicData uri="http://schemas.microsoft.com/office/word/2010/wordprocessingShape">
                    <wps:wsp>
                      <wps:cNvSpPr txBox="1"/>
                      <wps:spPr>
                        <a:xfrm>
                          <a:off x="0" y="0"/>
                          <a:ext cx="4208780" cy="1234440"/>
                        </a:xfrm>
                        <a:prstGeom prst="rect">
                          <a:avLst/>
                        </a:prstGeom>
                        <a:noFill/>
                        <a:ln>
                          <a:noFill/>
                        </a:ln>
                      </wps:spPr>
                      <wps:txbx>
                        <w:txbxContent>
                          <w:p w:rsidR="001B2CDA" w:rsidRPr="00E42AB8" w:rsidRDefault="001B2CDA" w:rsidP="00706A95">
                            <w:pPr>
                              <w:jc w:val="center"/>
                              <w:rPr>
                                <w:rFonts w:ascii="Century Gothic" w:hAnsi="Century Gothic" w:cs="Arial"/>
                                <w:b/>
                                <w:noProof/>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s="Arial"/>
                                <w:b/>
                                <w:color w:val="FFFFFF" w:themeColor="background1"/>
                                <w:sz w:val="96"/>
                                <w:lang w:val="en-US"/>
                              </w:rPr>
                              <w:t xml:space="preserve">For </w:t>
                            </w:r>
                            <w:r w:rsidRPr="00E42AB8">
                              <w:rPr>
                                <w:rFonts w:ascii="Century Gothic" w:hAnsi="Century Gothic" w:cs="Arial"/>
                                <w:b/>
                                <w:color w:val="FFFFFF" w:themeColor="background1"/>
                                <w:sz w:val="96"/>
                                <w:lang w:val="en-U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F2ADA4" id="Надпись 49" o:spid="_x0000_s1028" type="#_x0000_t202" style="position:absolute;left:0;text-align:left;margin-left:310.55pt;margin-top:298.6pt;width:331.4pt;height:97.2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" filled="f" stroked="f">
                <v:textbox>
                  <w:txbxContent>
                    <w:p w:rsidR="001B2CDA" w:rsidRPr="00E42AB8" w:rsidRDefault="001B2CDA" w:rsidP="00706A95">
                      <w:pPr>
                        <w:jc w:val="center"/>
                        <w:rPr>
                          <w:rFonts w:ascii="Century Gothic" w:hAnsi="Century Gothic" w:cs="Arial"/>
                          <w:b/>
                          <w:noProof/>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s="Arial"/>
                          <w:b/>
                          <w:color w:val="FFFFFF" w:themeColor="background1"/>
                          <w:sz w:val="96"/>
                          <w:lang w:val="en-US"/>
                        </w:rPr>
                        <w:t xml:space="preserve">For </w:t>
                      </w:r>
                      <w:r w:rsidRPr="00E42AB8">
                        <w:rPr>
                          <w:rFonts w:ascii="Century Gothic" w:hAnsi="Century Gothic" w:cs="Arial"/>
                          <w:b/>
                          <w:color w:val="FFFFFF" w:themeColor="background1"/>
                          <w:sz w:val="96"/>
                          <w:lang w:val="en-US"/>
                        </w:rPr>
                        <w:t>2020</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D56F533" wp14:editId="2C096F7C">
                <wp:simplePos x="0" y="0"/>
                <wp:positionH relativeFrom="column">
                  <wp:posOffset>1994535</wp:posOffset>
                </wp:positionH>
                <wp:positionV relativeFrom="paragraph">
                  <wp:posOffset>6168184</wp:posOffset>
                </wp:positionV>
                <wp:extent cx="4208145" cy="373380"/>
                <wp:effectExtent l="0" t="0" r="0" b="7620"/>
                <wp:wrapNone/>
                <wp:docPr id="51" name="Надпись 51"/>
                <wp:cNvGraphicFramePr/>
                <a:graphic xmlns:a="http://schemas.openxmlformats.org/drawingml/2006/main">
                  <a:graphicData uri="http://schemas.microsoft.com/office/word/2010/wordprocessingShape">
                    <wps:wsp>
                      <wps:cNvSpPr txBox="1"/>
                      <wps:spPr>
                        <a:xfrm>
                          <a:off x="0" y="0"/>
                          <a:ext cx="4208145" cy="373380"/>
                        </a:xfrm>
                        <a:prstGeom prst="rect">
                          <a:avLst/>
                        </a:prstGeom>
                        <a:noFill/>
                        <a:ln>
                          <a:noFill/>
                        </a:ln>
                      </wps:spPr>
                      <wps:txbx>
                        <w:txbxContent>
                          <w:p w:rsidR="001B2CDA" w:rsidRPr="00706A95" w:rsidRDefault="001B2CDA" w:rsidP="00706A95">
                            <w:pPr>
                              <w:tabs>
                                <w:tab w:val="left" w:pos="10348"/>
                              </w:tabs>
                              <w:jc w:val="center"/>
                              <w:rPr>
                                <w:rFonts w:ascii="Century Gothic" w:hAnsi="Century Gothic" w:cs="Calibri"/>
                                <w:b/>
                                <w:color w:val="FFFFFF" w:themeColor="background1"/>
                                <w:sz w:val="28"/>
                                <w:lang w:val="en-US"/>
                              </w:rPr>
                            </w:pPr>
                            <w:r>
                              <w:rPr>
                                <w:rFonts w:ascii="Century Gothic" w:hAnsi="Century Gothic" w:cs="Calibri"/>
                                <w:b/>
                                <w:color w:val="FFFFFF" w:themeColor="background1"/>
                                <w:sz w:val="28"/>
                                <w:lang w:val="en-US"/>
                              </w:rPr>
                              <w:t>March</w:t>
                            </w:r>
                            <w:r w:rsidRPr="00EF2DB3">
                              <w:rPr>
                                <w:rFonts w:ascii="Century Gothic" w:hAnsi="Century Gothic" w:cs="Calibri"/>
                                <w:b/>
                                <w:color w:val="FFFFFF" w:themeColor="background1"/>
                                <w:sz w:val="28"/>
                                <w:lang w:val="en-US"/>
                              </w:rPr>
                              <w:t xml:space="preserve"> </w:t>
                            </w:r>
                            <w:r w:rsidRPr="00E42AB8">
                              <w:rPr>
                                <w:rFonts w:ascii="Century Gothic" w:hAnsi="Century Gothic" w:cs="Calibri"/>
                                <w:b/>
                                <w:color w:val="FFFFFF" w:themeColor="background1"/>
                                <w:sz w:val="28"/>
                                <w:lang w:val="uz-Cyrl-UZ"/>
                              </w:rPr>
                              <w:t>202</w:t>
                            </w:r>
                            <w:r>
                              <w:rPr>
                                <w:rFonts w:ascii="Century Gothic" w:hAnsi="Century Gothic" w:cs="Calibri"/>
                                <w:b/>
                                <w:color w:val="FFFFFF" w:themeColor="background1"/>
                                <w:sz w:val="28"/>
                                <w:lang w:val="en-US"/>
                              </w:rPr>
                              <w:t>1</w:t>
                            </w:r>
                            <w:r w:rsidRPr="00E42AB8">
                              <w:rPr>
                                <w:rFonts w:ascii="Century Gothic" w:hAnsi="Century Gothic" w:cs="Calibri"/>
                                <w:b/>
                                <w:color w:val="FFFFFF" w:themeColor="background1"/>
                                <w:sz w:val="28"/>
                                <w:lang w:val="en-US"/>
                              </w:rPr>
                              <w:t xml:space="preserve"> | </w:t>
                            </w:r>
                            <w:r>
                              <w:rPr>
                                <w:rFonts w:ascii="Century Gothic" w:hAnsi="Century Gothic" w:cs="Calibri"/>
                                <w:b/>
                                <w:color w:val="FFFFFF" w:themeColor="background1"/>
                                <w:sz w:val="28"/>
                                <w:lang w:val="en-US"/>
                              </w:rPr>
                              <w:t>Tashkent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56F533" id="Надпись 51" o:spid="_x0000_s1029" type="#_x0000_t202" style="position:absolute;left:0;text-align:left;margin-left:157.05pt;margin-top:485.7pt;width:331.35pt;height:29.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" filled="f" stroked="f">
                <v:textbox>
                  <w:txbxContent>
                    <w:p w:rsidR="001B2CDA" w:rsidRPr="00706A95" w:rsidRDefault="001B2CDA" w:rsidP="00706A95">
                      <w:pPr>
                        <w:tabs>
                          <w:tab w:val="left" w:pos="10348"/>
                        </w:tabs>
                        <w:jc w:val="center"/>
                        <w:rPr>
                          <w:rFonts w:ascii="Century Gothic" w:hAnsi="Century Gothic" w:cs="Calibri"/>
                          <w:b/>
                          <w:color w:val="FFFFFF" w:themeColor="background1"/>
                          <w:sz w:val="28"/>
                          <w:lang w:val="en-US"/>
                        </w:rPr>
                      </w:pPr>
                      <w:r>
                        <w:rPr>
                          <w:rFonts w:ascii="Century Gothic" w:hAnsi="Century Gothic" w:cs="Calibri"/>
                          <w:b/>
                          <w:color w:val="FFFFFF" w:themeColor="background1"/>
                          <w:sz w:val="28"/>
                          <w:lang w:val="en-US"/>
                        </w:rPr>
                        <w:t>March</w:t>
                      </w:r>
                      <w:r w:rsidRPr="00EF2DB3">
                        <w:rPr>
                          <w:rFonts w:ascii="Century Gothic" w:hAnsi="Century Gothic" w:cs="Calibri"/>
                          <w:b/>
                          <w:color w:val="FFFFFF" w:themeColor="background1"/>
                          <w:sz w:val="28"/>
                          <w:lang w:val="en-US"/>
                        </w:rPr>
                        <w:t xml:space="preserve"> </w:t>
                      </w:r>
                      <w:r w:rsidRPr="00E42AB8">
                        <w:rPr>
                          <w:rFonts w:ascii="Century Gothic" w:hAnsi="Century Gothic" w:cs="Calibri"/>
                          <w:b/>
                          <w:color w:val="FFFFFF" w:themeColor="background1"/>
                          <w:sz w:val="28"/>
                          <w:lang w:val="uz-Cyrl-UZ"/>
                        </w:rPr>
                        <w:t>202</w:t>
                      </w:r>
                      <w:r>
                        <w:rPr>
                          <w:rFonts w:ascii="Century Gothic" w:hAnsi="Century Gothic" w:cs="Calibri"/>
                          <w:b/>
                          <w:color w:val="FFFFFF" w:themeColor="background1"/>
                          <w:sz w:val="28"/>
                          <w:lang w:val="en-US"/>
                        </w:rPr>
                        <w:t>1</w:t>
                      </w:r>
                      <w:r w:rsidRPr="00E42AB8">
                        <w:rPr>
                          <w:rFonts w:ascii="Century Gothic" w:hAnsi="Century Gothic" w:cs="Calibri"/>
                          <w:b/>
                          <w:color w:val="FFFFFF" w:themeColor="background1"/>
                          <w:sz w:val="28"/>
                          <w:lang w:val="en-US"/>
                        </w:rPr>
                        <w:t xml:space="preserve"> | </w:t>
                      </w:r>
                      <w:r>
                        <w:rPr>
                          <w:rFonts w:ascii="Century Gothic" w:hAnsi="Century Gothic" w:cs="Calibri"/>
                          <w:b/>
                          <w:color w:val="FFFFFF" w:themeColor="background1"/>
                          <w:sz w:val="28"/>
                          <w:lang w:val="en-US"/>
                        </w:rPr>
                        <w:t>Tashkent</w:t>
                      </w:r>
                    </w:p>
                  </w:txbxContent>
                </v:textbox>
              </v:shape>
            </w:pict>
          </mc:Fallback>
        </mc:AlternateContent>
      </w:r>
      <w:r w:rsidR="00311F4F">
        <w:rPr>
          <w:rFonts w:ascii="Century Gothic" w:hAnsi="Century Gothic" w:cs="Arial"/>
          <w:b/>
          <w:color w:val="FFFFFF" w:themeColor="background1"/>
          <w:sz w:val="52"/>
          <w:lang w:val="en-US"/>
        </w:rPr>
        <w:t>h</w:t>
      </w:r>
    </w:p>
    <w:p w:rsidR="00084A80" w:rsidRPr="00F45A80" w:rsidRDefault="00084A80" w:rsidP="00961BD0">
      <w:pPr>
        <w:jc w:val="center"/>
        <w:rPr>
          <w:noProof/>
          <w:lang w:val="en-US"/>
        </w:rPr>
        <w:sectPr w:rsidR="00084A80" w:rsidRPr="00F45A80" w:rsidSect="00084A80">
          <w:headerReference w:type="default" r:id="rId9"/>
          <w:footerReference w:type="default" r:id="rId10"/>
          <w:headerReference w:type="first" r:id="rId11"/>
          <w:footerReference w:type="first" r:id="rId12"/>
          <w:pgSz w:w="11906" w:h="16838" w:code="9"/>
          <w:pgMar w:top="0" w:right="0" w:bottom="0" w:left="0" w:header="0" w:footer="0" w:gutter="0"/>
          <w:cols w:space="708"/>
          <w:titlePg/>
          <w:docGrid w:linePitch="360"/>
        </w:sectPr>
      </w:pPr>
    </w:p>
    <w:p w:rsidR="00D352B7" w:rsidRPr="00F45A80" w:rsidRDefault="00D352B7" w:rsidP="00D352B7">
      <w:pPr>
        <w:jc w:val="center"/>
        <w:rPr>
          <w:rFonts w:ascii="Times New Roman" w:hAnsi="Times New Roman"/>
          <w:b/>
          <w:sz w:val="28"/>
          <w:szCs w:val="28"/>
          <w:lang w:val="en-US"/>
        </w:rPr>
      </w:pPr>
    </w:p>
    <w:p w:rsidR="00D352B7" w:rsidRPr="00147844" w:rsidRDefault="00D352B7" w:rsidP="00D352B7">
      <w:pPr>
        <w:ind w:firstLine="709"/>
        <w:rPr>
          <w:rFonts w:cs="Calibri"/>
          <w:b/>
          <w:sz w:val="28"/>
          <w:szCs w:val="28"/>
          <w:lang w:val="en-US"/>
        </w:rPr>
      </w:pPr>
      <w:r w:rsidRPr="00147844">
        <w:rPr>
          <w:rFonts w:cs="Calibri"/>
          <w:b/>
          <w:sz w:val="28"/>
          <w:szCs w:val="28"/>
          <w:lang w:val="en-US"/>
        </w:rPr>
        <w:t>INTRODUCTION</w:t>
      </w:r>
    </w:p>
    <w:p w:rsidR="009120F6" w:rsidRPr="00147844" w:rsidRDefault="009120F6" w:rsidP="00A31DAC">
      <w:pPr>
        <w:tabs>
          <w:tab w:val="left" w:pos="2429"/>
        </w:tabs>
        <w:spacing w:line="259" w:lineRule="auto"/>
        <w:rPr>
          <w:rFonts w:ascii="Times New Roman" w:hAnsi="Times New Roman"/>
          <w:b/>
          <w:sz w:val="28"/>
          <w:szCs w:val="28"/>
          <w:lang w:val="en-US"/>
        </w:rPr>
      </w:pPr>
    </w:p>
    <w:p w:rsidR="00D352B7" w:rsidRPr="00147844" w:rsidRDefault="00D352B7" w:rsidP="00020662">
      <w:pPr>
        <w:spacing w:before="120" w:line="360" w:lineRule="auto"/>
        <w:ind w:firstLine="709"/>
        <w:jc w:val="both"/>
        <w:rPr>
          <w:rFonts w:cs="Calibri"/>
          <w:sz w:val="26"/>
          <w:szCs w:val="26"/>
          <w:lang w:val="en-US"/>
        </w:rPr>
      </w:pPr>
      <w:r w:rsidRPr="00141EEC">
        <w:rPr>
          <w:rFonts w:cs="Calibri"/>
          <w:sz w:val="26"/>
          <w:szCs w:val="26"/>
          <w:lang w:val="en-US"/>
        </w:rPr>
        <w:t xml:space="preserve">This publication is prepared by the Central Bank of the Republic of Uzbekistan. </w:t>
      </w:r>
      <w:r w:rsidR="00D040FC">
        <w:rPr>
          <w:rFonts w:cs="Calibri"/>
          <w:sz w:val="26"/>
          <w:szCs w:val="26"/>
          <w:lang w:val="en-US"/>
        </w:rPr>
        <w:br/>
      </w:r>
      <w:r w:rsidRPr="00141EEC">
        <w:rPr>
          <w:rFonts w:cs="Calibri"/>
          <w:sz w:val="26"/>
          <w:szCs w:val="26"/>
          <w:lang w:val="en-US"/>
        </w:rPr>
        <w:t xml:space="preserve">The publication provides information on the </w:t>
      </w:r>
      <w:r w:rsidRPr="00141EEC">
        <w:rPr>
          <w:rFonts w:cs="Calibri"/>
          <w:noProof/>
          <w:sz w:val="26"/>
          <w:szCs w:val="26"/>
          <w:lang w:val="en-US"/>
        </w:rPr>
        <w:t>balance</w:t>
      </w:r>
      <w:r w:rsidRPr="00141EEC">
        <w:rPr>
          <w:rFonts w:cs="Calibri"/>
          <w:sz w:val="26"/>
          <w:szCs w:val="26"/>
          <w:lang w:val="en-US"/>
        </w:rPr>
        <w:t xml:space="preserve"> of payments and international investment position, as well as </w:t>
      </w:r>
      <w:r w:rsidR="000F492D" w:rsidRPr="00141EEC">
        <w:rPr>
          <w:rFonts w:cs="Calibri"/>
          <w:sz w:val="26"/>
          <w:szCs w:val="26"/>
          <w:lang w:val="en-US"/>
        </w:rPr>
        <w:t xml:space="preserve">external debt </w:t>
      </w:r>
      <w:r w:rsidR="003E198A" w:rsidRPr="00141EEC">
        <w:rPr>
          <w:rFonts w:cs="Calibri"/>
          <w:sz w:val="26"/>
          <w:szCs w:val="26"/>
          <w:lang w:val="en-US"/>
        </w:rPr>
        <w:t xml:space="preserve">for </w:t>
      </w:r>
      <w:r w:rsidR="0082101B" w:rsidRPr="00141EEC">
        <w:rPr>
          <w:rFonts w:cs="Calibri"/>
          <w:sz w:val="26"/>
          <w:szCs w:val="26"/>
          <w:lang w:val="en-US"/>
        </w:rPr>
        <w:t>2010-</w:t>
      </w:r>
      <w:r w:rsidRPr="00141EEC">
        <w:rPr>
          <w:rFonts w:cs="Calibri"/>
          <w:sz w:val="26"/>
          <w:szCs w:val="26"/>
          <w:lang w:val="en-US"/>
        </w:rPr>
        <w:t>20</w:t>
      </w:r>
      <w:r w:rsidR="005751B1" w:rsidRPr="00141EEC">
        <w:rPr>
          <w:rFonts w:cs="Calibri"/>
          <w:sz w:val="26"/>
          <w:szCs w:val="26"/>
          <w:lang w:val="en-US"/>
        </w:rPr>
        <w:t>20</w:t>
      </w:r>
      <w:r w:rsidRPr="00141EEC">
        <w:rPr>
          <w:rFonts w:cs="Calibri"/>
          <w:sz w:val="26"/>
          <w:szCs w:val="26"/>
          <w:lang w:val="en-US"/>
        </w:rPr>
        <w:t>, which was compiled in accordance with the sixth edition of the Balance of Payments and International Investment Position Manual (BPM6. IMF, 2009)</w:t>
      </w:r>
      <w:r w:rsidR="0082101B" w:rsidRPr="00141EEC">
        <w:rPr>
          <w:rFonts w:cs="Calibri"/>
          <w:sz w:val="26"/>
          <w:szCs w:val="26"/>
          <w:lang w:val="en-US"/>
        </w:rPr>
        <w:t xml:space="preserve"> and External Debt Statistics Manual (</w:t>
      </w:r>
      <w:r w:rsidR="00E92B5C" w:rsidRPr="00141EEC">
        <w:rPr>
          <w:rFonts w:cs="Calibri"/>
          <w:sz w:val="26"/>
          <w:szCs w:val="26"/>
          <w:lang w:val="en-US"/>
        </w:rPr>
        <w:t>IMF, 201</w:t>
      </w:r>
      <w:r w:rsidR="00490FCF">
        <w:rPr>
          <w:rFonts w:cs="Calibri"/>
          <w:sz w:val="26"/>
          <w:szCs w:val="26"/>
          <w:lang w:val="en-US"/>
        </w:rPr>
        <w:t>3</w:t>
      </w:r>
      <w:r w:rsidR="00E92B5C" w:rsidRPr="00141EEC">
        <w:rPr>
          <w:rFonts w:cs="Calibri"/>
          <w:sz w:val="26"/>
          <w:szCs w:val="26"/>
          <w:lang w:val="en-US"/>
        </w:rPr>
        <w:t>)</w:t>
      </w:r>
      <w:r w:rsidRPr="00141EEC">
        <w:rPr>
          <w:rFonts w:cs="Calibri"/>
          <w:sz w:val="26"/>
          <w:szCs w:val="26"/>
          <w:lang w:val="en-US"/>
        </w:rPr>
        <w:t>.</w:t>
      </w:r>
    </w:p>
    <w:p w:rsidR="00856AE8" w:rsidRPr="00856AE8" w:rsidRDefault="00856AE8" w:rsidP="00020662">
      <w:pPr>
        <w:shd w:val="clear" w:color="auto" w:fill="FFFFFF"/>
        <w:spacing w:before="120" w:line="360" w:lineRule="auto"/>
        <w:ind w:firstLine="709"/>
        <w:jc w:val="both"/>
        <w:rPr>
          <w:rFonts w:cs="Calibri"/>
          <w:sz w:val="26"/>
          <w:szCs w:val="26"/>
          <w:lang w:val="en-US"/>
        </w:rPr>
      </w:pPr>
      <w:r w:rsidRPr="00141EEC">
        <w:rPr>
          <w:rFonts w:cs="Calibri"/>
          <w:sz w:val="26"/>
          <w:szCs w:val="26"/>
          <w:lang w:val="en-US"/>
        </w:rPr>
        <w:t xml:space="preserve">The recovery of historical data and implementing new forms of reporting on external debt was performed </w:t>
      </w:r>
      <w:r w:rsidR="00D040FC">
        <w:rPr>
          <w:rFonts w:cs="Calibri"/>
          <w:sz w:val="26"/>
          <w:szCs w:val="26"/>
          <w:lang w:val="en-US"/>
        </w:rPr>
        <w:t>in line with</w:t>
      </w:r>
      <w:r w:rsidRPr="00141EEC">
        <w:rPr>
          <w:rFonts w:cs="Calibri"/>
          <w:sz w:val="26"/>
          <w:szCs w:val="26"/>
          <w:lang w:val="en-US"/>
        </w:rPr>
        <w:t xml:space="preserve"> transition to </w:t>
      </w:r>
      <w:r w:rsidR="00D040FC">
        <w:rPr>
          <w:rFonts w:cs="Calibri"/>
          <w:sz w:val="26"/>
          <w:szCs w:val="26"/>
          <w:lang w:val="en-US"/>
        </w:rPr>
        <w:t xml:space="preserve">IMF’s </w:t>
      </w:r>
      <w:r w:rsidRPr="00141EEC">
        <w:rPr>
          <w:rFonts w:cs="Calibri"/>
          <w:sz w:val="26"/>
          <w:szCs w:val="26"/>
          <w:lang w:val="en-US"/>
        </w:rPr>
        <w:t xml:space="preserve">Special Data Dissemination Standard </w:t>
      </w:r>
      <w:r w:rsidR="00D040FC">
        <w:rPr>
          <w:rFonts w:cs="Calibri"/>
          <w:sz w:val="26"/>
          <w:szCs w:val="26"/>
          <w:lang w:val="en-US"/>
        </w:rPr>
        <w:br/>
      </w:r>
      <w:r w:rsidRPr="00141EEC">
        <w:rPr>
          <w:rFonts w:cs="Calibri"/>
          <w:sz w:val="26"/>
          <w:szCs w:val="26"/>
          <w:lang w:val="en-US"/>
        </w:rPr>
        <w:t>and support users with consecutive data series.</w:t>
      </w:r>
      <w:r>
        <w:rPr>
          <w:rFonts w:cs="Calibri"/>
          <w:sz w:val="26"/>
          <w:szCs w:val="26"/>
          <w:lang w:val="en-US"/>
        </w:rPr>
        <w:t xml:space="preserve">  </w:t>
      </w:r>
    </w:p>
    <w:p w:rsidR="00390DE5" w:rsidRPr="00147844" w:rsidRDefault="00390DE5" w:rsidP="00020662">
      <w:pPr>
        <w:shd w:val="clear" w:color="auto" w:fill="FFFFFF"/>
        <w:spacing w:before="120" w:line="360" w:lineRule="auto"/>
        <w:ind w:firstLine="709"/>
        <w:jc w:val="both"/>
        <w:rPr>
          <w:rFonts w:cs="Calibri"/>
          <w:sz w:val="26"/>
          <w:szCs w:val="26"/>
          <w:lang w:val="en-US"/>
        </w:rPr>
      </w:pPr>
      <w:r w:rsidRPr="00141EEC">
        <w:rPr>
          <w:rFonts w:cs="Calibri"/>
          <w:sz w:val="26"/>
          <w:szCs w:val="26"/>
          <w:lang w:val="en-US"/>
        </w:rPr>
        <w:t xml:space="preserve">While performing a comparative analysis, some relative indicators, as well as expert opinions on the observed changes were presented to facilitate the understanding of the data in the context of overall </w:t>
      </w:r>
      <w:r w:rsidR="00020662" w:rsidRPr="00141EEC">
        <w:rPr>
          <w:rFonts w:cs="Calibri"/>
          <w:sz w:val="26"/>
          <w:szCs w:val="26"/>
          <w:lang w:val="en-US"/>
        </w:rPr>
        <w:t>economic condition</w:t>
      </w:r>
      <w:r w:rsidR="004224E7" w:rsidRPr="00141EEC">
        <w:rPr>
          <w:rFonts w:cs="Calibri"/>
          <w:sz w:val="26"/>
          <w:szCs w:val="26"/>
          <w:lang w:val="en-US"/>
        </w:rPr>
        <w:t>s</w:t>
      </w:r>
      <w:r w:rsidR="00020662" w:rsidRPr="00141EEC">
        <w:rPr>
          <w:rFonts w:cs="Calibri"/>
          <w:sz w:val="26"/>
          <w:szCs w:val="26"/>
          <w:lang w:val="en-US"/>
        </w:rPr>
        <w:t>.</w:t>
      </w:r>
      <w:r w:rsidR="00756B2B" w:rsidRPr="00141EEC">
        <w:rPr>
          <w:rFonts w:cs="Calibri"/>
          <w:sz w:val="26"/>
          <w:szCs w:val="26"/>
          <w:lang w:val="en-US"/>
        </w:rPr>
        <w:t xml:space="preserve"> Methodological comments on balance </w:t>
      </w:r>
      <w:r w:rsidR="00DC152A" w:rsidRPr="00141EEC">
        <w:rPr>
          <w:rFonts w:cs="Calibri"/>
          <w:sz w:val="26"/>
          <w:szCs w:val="26"/>
          <w:lang w:val="en-US"/>
        </w:rPr>
        <w:br/>
      </w:r>
      <w:r w:rsidR="00756B2B" w:rsidRPr="00141EEC">
        <w:rPr>
          <w:rFonts w:cs="Calibri"/>
          <w:sz w:val="26"/>
          <w:szCs w:val="26"/>
          <w:lang w:val="en-US"/>
        </w:rPr>
        <w:t xml:space="preserve">of payment, as well as sources of information and </w:t>
      </w:r>
      <w:r w:rsidR="00A4043E" w:rsidRPr="00141EEC">
        <w:rPr>
          <w:rFonts w:cs="Calibri"/>
          <w:sz w:val="26"/>
          <w:szCs w:val="26"/>
          <w:lang w:val="en-US"/>
        </w:rPr>
        <w:t xml:space="preserve">explanations to compiled data are given </w:t>
      </w:r>
      <w:r w:rsidR="00DC152A" w:rsidRPr="00141EEC">
        <w:rPr>
          <w:rFonts w:cs="Calibri"/>
          <w:sz w:val="26"/>
          <w:szCs w:val="26"/>
          <w:lang w:val="en-US"/>
        </w:rPr>
        <w:br/>
      </w:r>
      <w:r w:rsidR="00A4043E" w:rsidRPr="00141EEC">
        <w:rPr>
          <w:rFonts w:cs="Calibri"/>
          <w:sz w:val="26"/>
          <w:szCs w:val="26"/>
          <w:lang w:val="en-US"/>
        </w:rPr>
        <w:t xml:space="preserve">in a separate section at the </w:t>
      </w:r>
      <w:r w:rsidR="00F4436C" w:rsidRPr="00141EEC">
        <w:rPr>
          <w:rFonts w:cs="Calibri"/>
          <w:sz w:val="26"/>
          <w:szCs w:val="26"/>
          <w:lang w:val="en-US"/>
        </w:rPr>
        <w:t>end</w:t>
      </w:r>
      <w:r w:rsidR="00A4043E" w:rsidRPr="00141EEC">
        <w:rPr>
          <w:rFonts w:cs="Calibri"/>
          <w:sz w:val="26"/>
          <w:szCs w:val="26"/>
          <w:lang w:val="en-US"/>
        </w:rPr>
        <w:t xml:space="preserve"> of </w:t>
      </w:r>
      <w:r w:rsidR="005724D8" w:rsidRPr="00141EEC">
        <w:rPr>
          <w:rFonts w:cs="Calibri"/>
          <w:sz w:val="26"/>
          <w:szCs w:val="26"/>
          <w:lang w:val="en-US"/>
        </w:rPr>
        <w:t xml:space="preserve">the </w:t>
      </w:r>
      <w:r w:rsidR="00A4043E" w:rsidRPr="00141EEC">
        <w:rPr>
          <w:rFonts w:cs="Calibri"/>
          <w:sz w:val="26"/>
          <w:szCs w:val="26"/>
          <w:lang w:val="en-US"/>
        </w:rPr>
        <w:t>publication.</w:t>
      </w:r>
    </w:p>
    <w:p w:rsidR="00390DE5" w:rsidRPr="00147844" w:rsidRDefault="00390DE5" w:rsidP="00020662">
      <w:pPr>
        <w:shd w:val="clear" w:color="auto" w:fill="FFFFFF"/>
        <w:spacing w:before="120" w:line="360" w:lineRule="auto"/>
        <w:ind w:firstLine="709"/>
        <w:jc w:val="both"/>
        <w:rPr>
          <w:rFonts w:cs="Calibri"/>
          <w:sz w:val="26"/>
          <w:szCs w:val="26"/>
          <w:lang w:val="en-US"/>
        </w:rPr>
      </w:pPr>
      <w:r w:rsidRPr="00141EEC">
        <w:rPr>
          <w:rFonts w:cs="Calibri"/>
          <w:sz w:val="26"/>
          <w:szCs w:val="26"/>
          <w:lang w:val="en-US"/>
        </w:rPr>
        <w:t xml:space="preserve">Previously published historical series are adjusted when accounting methodology </w:t>
      </w:r>
      <w:r w:rsidR="00DC152A" w:rsidRPr="00141EEC">
        <w:rPr>
          <w:rFonts w:cs="Calibri"/>
          <w:sz w:val="26"/>
          <w:szCs w:val="26"/>
          <w:lang w:val="en-US"/>
        </w:rPr>
        <w:br/>
      </w:r>
      <w:r w:rsidRPr="00141EEC">
        <w:rPr>
          <w:rFonts w:cs="Calibri"/>
          <w:sz w:val="26"/>
          <w:szCs w:val="26"/>
          <w:lang w:val="en-US"/>
        </w:rPr>
        <w:t xml:space="preserve">is changed and/or additional data is received. </w:t>
      </w:r>
      <w:r w:rsidRPr="00141EEC">
        <w:rPr>
          <w:rFonts w:cs="Calibri"/>
          <w:noProof/>
          <w:sz w:val="26"/>
          <w:szCs w:val="26"/>
          <w:lang w:val="en-US"/>
        </w:rPr>
        <w:t>Wherein</w:t>
      </w:r>
      <w:r w:rsidRPr="00141EEC">
        <w:rPr>
          <w:rFonts w:cs="Calibri"/>
          <w:sz w:val="26"/>
          <w:szCs w:val="26"/>
          <w:lang w:val="en-US"/>
        </w:rPr>
        <w:t xml:space="preserve"> reports received on transactions between residents and nonresidents, information provided by business entities, detected statistical discrepancies and foreign trade data refinement are the sources for an </w:t>
      </w:r>
      <w:r w:rsidRPr="00141EEC">
        <w:rPr>
          <w:rFonts w:cs="Calibri"/>
          <w:noProof/>
          <w:sz w:val="26"/>
          <w:szCs w:val="26"/>
          <w:lang w:val="en-US"/>
        </w:rPr>
        <w:t>update</w:t>
      </w:r>
      <w:r w:rsidRPr="00141EEC">
        <w:rPr>
          <w:rFonts w:cs="Calibri"/>
          <w:sz w:val="26"/>
          <w:szCs w:val="26"/>
          <w:lang w:val="en-US"/>
        </w:rPr>
        <w:t xml:space="preserve"> </w:t>
      </w:r>
      <w:r w:rsidR="00DC152A" w:rsidRPr="00141EEC">
        <w:rPr>
          <w:rFonts w:cs="Calibri"/>
          <w:sz w:val="26"/>
          <w:szCs w:val="26"/>
          <w:lang w:val="en-US"/>
        </w:rPr>
        <w:br/>
      </w:r>
      <w:r w:rsidR="00020662" w:rsidRPr="00141EEC">
        <w:rPr>
          <w:rFonts w:cs="Calibri"/>
          <w:sz w:val="26"/>
          <w:szCs w:val="26"/>
          <w:lang w:val="en-US"/>
        </w:rPr>
        <w:t>of previously published series.</w:t>
      </w:r>
    </w:p>
    <w:p w:rsidR="00390DE5" w:rsidRPr="00147844" w:rsidRDefault="00390DE5" w:rsidP="00020662">
      <w:pPr>
        <w:shd w:val="clear" w:color="auto" w:fill="FFFFFF"/>
        <w:spacing w:before="120" w:line="360" w:lineRule="auto"/>
        <w:ind w:firstLine="709"/>
        <w:jc w:val="both"/>
        <w:rPr>
          <w:rFonts w:cs="Calibri"/>
          <w:sz w:val="26"/>
          <w:szCs w:val="26"/>
          <w:lang w:val="en-US"/>
        </w:rPr>
      </w:pPr>
      <w:r w:rsidRPr="00141EEC">
        <w:rPr>
          <w:rFonts w:cs="Calibri"/>
          <w:sz w:val="26"/>
          <w:szCs w:val="26"/>
          <w:lang w:val="en-US"/>
        </w:rPr>
        <w:t>The data, presented in the pub</w:t>
      </w:r>
      <w:r w:rsidR="00AA3404" w:rsidRPr="00141EEC">
        <w:rPr>
          <w:rFonts w:cs="Calibri"/>
          <w:sz w:val="26"/>
          <w:szCs w:val="26"/>
          <w:lang w:val="en-US"/>
        </w:rPr>
        <w:t xml:space="preserve">lication, is relevant as of </w:t>
      </w:r>
      <w:r w:rsidR="00185098" w:rsidRPr="00141EEC">
        <w:rPr>
          <w:rFonts w:cs="Calibri"/>
          <w:sz w:val="26"/>
          <w:szCs w:val="26"/>
          <w:lang w:val="en-US"/>
        </w:rPr>
        <w:t>March</w:t>
      </w:r>
      <w:r w:rsidRPr="00141EEC">
        <w:rPr>
          <w:rFonts w:cs="Calibri"/>
          <w:sz w:val="26"/>
          <w:szCs w:val="26"/>
          <w:lang w:val="en-US"/>
        </w:rPr>
        <w:t>, 20</w:t>
      </w:r>
      <w:r w:rsidR="004D44B6" w:rsidRPr="00141EEC">
        <w:rPr>
          <w:rFonts w:cs="Calibri"/>
          <w:sz w:val="26"/>
          <w:szCs w:val="26"/>
          <w:lang w:val="en-US"/>
        </w:rPr>
        <w:t>2</w:t>
      </w:r>
      <w:r w:rsidR="00185098" w:rsidRPr="00141EEC">
        <w:rPr>
          <w:rFonts w:cs="Calibri"/>
          <w:sz w:val="26"/>
          <w:szCs w:val="26"/>
          <w:lang w:val="en-US"/>
        </w:rPr>
        <w:t>1</w:t>
      </w:r>
      <w:r w:rsidRPr="00141EEC">
        <w:rPr>
          <w:rFonts w:cs="Calibri"/>
          <w:sz w:val="26"/>
          <w:szCs w:val="26"/>
          <w:lang w:val="en-US"/>
        </w:rPr>
        <w:t>.</w:t>
      </w:r>
    </w:p>
    <w:p w:rsidR="00390DE5" w:rsidRPr="00147844" w:rsidRDefault="00390DE5" w:rsidP="00020662">
      <w:pPr>
        <w:shd w:val="clear" w:color="auto" w:fill="FFFFFF"/>
        <w:spacing w:before="120" w:line="360" w:lineRule="auto"/>
        <w:ind w:firstLine="709"/>
        <w:jc w:val="both"/>
        <w:rPr>
          <w:rFonts w:cs="Calibri"/>
          <w:sz w:val="26"/>
          <w:szCs w:val="26"/>
          <w:lang w:val="en-US"/>
        </w:rPr>
      </w:pPr>
      <w:r w:rsidRPr="00141EEC">
        <w:rPr>
          <w:rFonts w:cs="Calibri"/>
          <w:sz w:val="26"/>
          <w:szCs w:val="26"/>
          <w:lang w:val="en-US"/>
        </w:rPr>
        <w:t>Due to rounding of data provided in the tables of this review, minor discrepancies between the result and the sum of the summands are possible.</w:t>
      </w:r>
    </w:p>
    <w:p w:rsidR="00390DE5" w:rsidRPr="00A82C55" w:rsidRDefault="00390DE5" w:rsidP="00A82C55">
      <w:pPr>
        <w:spacing w:before="120" w:line="360" w:lineRule="auto"/>
        <w:ind w:firstLine="709"/>
        <w:jc w:val="both"/>
        <w:rPr>
          <w:rFonts w:cs="Calibri"/>
          <w:sz w:val="26"/>
          <w:szCs w:val="26"/>
          <w:lang w:val="en-US"/>
        </w:rPr>
      </w:pPr>
      <w:r w:rsidRPr="0040034D">
        <w:rPr>
          <w:rFonts w:cs="Calibri"/>
          <w:sz w:val="26"/>
          <w:szCs w:val="26"/>
          <w:lang w:val="en-US"/>
        </w:rPr>
        <w:t xml:space="preserve">Statistical tables on the analytical presentation of the balance of payments </w:t>
      </w:r>
      <w:r w:rsidR="00DC152A" w:rsidRPr="0040034D">
        <w:rPr>
          <w:rFonts w:cs="Calibri"/>
          <w:sz w:val="26"/>
          <w:szCs w:val="26"/>
          <w:lang w:val="en-US"/>
        </w:rPr>
        <w:br/>
      </w:r>
      <w:r w:rsidRPr="0040034D">
        <w:rPr>
          <w:rFonts w:cs="Calibri"/>
          <w:sz w:val="26"/>
          <w:szCs w:val="26"/>
          <w:lang w:val="en-US"/>
        </w:rPr>
        <w:t xml:space="preserve">and international investment </w:t>
      </w:r>
      <w:r w:rsidRPr="0040034D">
        <w:rPr>
          <w:rFonts w:cs="Calibri"/>
          <w:noProof/>
          <w:sz w:val="26"/>
          <w:szCs w:val="26"/>
          <w:lang w:val="en-US"/>
        </w:rPr>
        <w:t>position</w:t>
      </w:r>
      <w:r w:rsidRPr="0040034D">
        <w:rPr>
          <w:rFonts w:cs="Calibri"/>
          <w:sz w:val="26"/>
          <w:szCs w:val="26"/>
          <w:lang w:val="en-US"/>
        </w:rPr>
        <w:t xml:space="preserve"> and the total external debt are provided on the website of the Central Bank of the Republic of Uzbekistan </w:t>
      </w:r>
      <w:hyperlink r:id="rId13" w:history="1">
        <w:r w:rsidRPr="0040034D">
          <w:rPr>
            <w:rStyle w:val="af0"/>
            <w:rFonts w:cs="Calibri"/>
            <w:sz w:val="26"/>
            <w:szCs w:val="26"/>
            <w:lang w:val="en-US"/>
          </w:rPr>
          <w:t>http://www.cbu.uz/.</w:t>
        </w:r>
      </w:hyperlink>
      <w:r w:rsidRPr="0040034D">
        <w:rPr>
          <w:rFonts w:cs="Calibri"/>
          <w:sz w:val="26"/>
          <w:szCs w:val="26"/>
          <w:lang w:val="en-US"/>
        </w:rPr>
        <w:t xml:space="preserve"> In addition, statistical tables on the standard and analytical presentations of the balance of payments </w:t>
      </w:r>
      <w:r w:rsidR="00DC152A" w:rsidRPr="0040034D">
        <w:rPr>
          <w:rFonts w:cs="Calibri"/>
          <w:sz w:val="26"/>
          <w:szCs w:val="26"/>
          <w:lang w:val="en-US"/>
        </w:rPr>
        <w:br/>
      </w:r>
      <w:r w:rsidRPr="0040034D">
        <w:rPr>
          <w:rFonts w:cs="Calibri"/>
          <w:sz w:val="26"/>
          <w:szCs w:val="26"/>
          <w:lang w:val="en-US"/>
        </w:rPr>
        <w:t xml:space="preserve">and international investment position are available on </w:t>
      </w:r>
      <w:r w:rsidR="00D040FC">
        <w:rPr>
          <w:rFonts w:cs="Calibri"/>
          <w:sz w:val="26"/>
          <w:szCs w:val="26"/>
          <w:lang w:val="en-US"/>
        </w:rPr>
        <w:t xml:space="preserve">IMF’s </w:t>
      </w:r>
      <w:hyperlink r:id="rId14" w:history="1">
        <w:r w:rsidRPr="0040034D">
          <w:rPr>
            <w:rStyle w:val="af0"/>
            <w:rFonts w:cs="Calibri"/>
            <w:sz w:val="26"/>
            <w:szCs w:val="26"/>
            <w:lang w:val="en-US"/>
          </w:rPr>
          <w:t>http://data.imf.org/</w:t>
        </w:r>
      </w:hyperlink>
      <w:r w:rsidRPr="0040034D">
        <w:rPr>
          <w:rFonts w:cs="Calibri"/>
          <w:sz w:val="26"/>
          <w:szCs w:val="26"/>
          <w:lang w:val="en-US"/>
        </w:rPr>
        <w:t>.</w:t>
      </w:r>
    </w:p>
    <w:p w:rsidR="00390DE5" w:rsidRPr="00147844" w:rsidRDefault="00390DE5" w:rsidP="00020662">
      <w:pPr>
        <w:pStyle w:val="af"/>
        <w:spacing w:before="120" w:line="360" w:lineRule="auto"/>
        <w:ind w:left="0" w:firstLine="708"/>
        <w:jc w:val="both"/>
        <w:rPr>
          <w:rFonts w:cs="Calibri"/>
          <w:sz w:val="26"/>
          <w:szCs w:val="26"/>
          <w:lang w:val="en-US"/>
        </w:rPr>
      </w:pPr>
      <w:r w:rsidRPr="00141EEC">
        <w:rPr>
          <w:rFonts w:cs="Calibri"/>
          <w:sz w:val="26"/>
          <w:szCs w:val="26"/>
          <w:lang w:val="en-US"/>
        </w:rPr>
        <w:lastRenderedPageBreak/>
        <w:t>For questions and proposals concerning the publication, please, contact the Central Bank of the Republic of Uzbekistan by the following phone numbers or e-mail addresses:</w:t>
      </w:r>
    </w:p>
    <w:p w:rsidR="00390DE5" w:rsidRPr="00147844" w:rsidRDefault="00390DE5" w:rsidP="00390DE5">
      <w:pPr>
        <w:pStyle w:val="af"/>
        <w:spacing w:before="120" w:line="288" w:lineRule="auto"/>
        <w:ind w:left="0" w:firstLine="708"/>
        <w:jc w:val="both"/>
        <w:rPr>
          <w:rFonts w:cs="Calibri"/>
          <w:sz w:val="26"/>
          <w:szCs w:val="26"/>
          <w:lang w:val="en-US"/>
        </w:rPr>
      </w:pPr>
    </w:p>
    <w:tbl>
      <w:tblPr>
        <w:tblW w:w="9854" w:type="dxa"/>
        <w:tblLook w:val="04A0" w:firstRow="1" w:lastRow="0" w:firstColumn="1" w:lastColumn="0" w:noHBand="0" w:noVBand="1"/>
      </w:tblPr>
      <w:tblGrid>
        <w:gridCol w:w="4951"/>
        <w:gridCol w:w="4903"/>
      </w:tblGrid>
      <w:tr w:rsidR="00390DE5" w:rsidRPr="00D040FC" w:rsidTr="003A25D6">
        <w:tc>
          <w:tcPr>
            <w:tcW w:w="4951" w:type="dxa"/>
            <w:shd w:val="clear" w:color="auto" w:fill="auto"/>
          </w:tcPr>
          <w:p w:rsidR="00390DE5" w:rsidRPr="00147844" w:rsidRDefault="00390DE5" w:rsidP="003A25D6">
            <w:pPr>
              <w:pStyle w:val="af"/>
              <w:spacing w:after="80"/>
              <w:ind w:left="708"/>
              <w:jc w:val="both"/>
              <w:rPr>
                <w:rFonts w:cs="Calibri"/>
                <w:sz w:val="26"/>
                <w:szCs w:val="26"/>
                <w:lang w:val="en-US"/>
              </w:rPr>
            </w:pPr>
            <w:r w:rsidRPr="00147844">
              <w:rPr>
                <w:rFonts w:cs="Calibri"/>
                <w:sz w:val="26"/>
                <w:szCs w:val="26"/>
                <w:lang w:val="en-US"/>
              </w:rPr>
              <w:t>(+998) 71 212-60-38</w:t>
            </w:r>
          </w:p>
          <w:p w:rsidR="00390DE5" w:rsidRPr="00147844" w:rsidRDefault="001B2CDA" w:rsidP="003A25D6">
            <w:pPr>
              <w:pStyle w:val="af"/>
              <w:spacing w:after="80"/>
              <w:ind w:left="708"/>
              <w:jc w:val="both"/>
              <w:rPr>
                <w:rFonts w:cs="Calibri"/>
                <w:sz w:val="26"/>
                <w:szCs w:val="26"/>
                <w:lang w:val="en-US"/>
              </w:rPr>
            </w:pPr>
            <w:hyperlink r:id="rId15" w:history="1">
              <w:r w:rsidR="00FD0979" w:rsidRPr="00147844">
                <w:rPr>
                  <w:rStyle w:val="af0"/>
                  <w:sz w:val="26"/>
                  <w:szCs w:val="26"/>
                  <w:lang w:val="en-US"/>
                </w:rPr>
                <w:t>j</w:t>
              </w:r>
              <w:r w:rsidR="00FD0979" w:rsidRPr="00147844">
                <w:rPr>
                  <w:rStyle w:val="af0"/>
                  <w:sz w:val="26"/>
                  <w:szCs w:val="26"/>
                </w:rPr>
                <w:t>.</w:t>
              </w:r>
              <w:r w:rsidR="00FD0979" w:rsidRPr="00147844">
                <w:rPr>
                  <w:rStyle w:val="af0"/>
                  <w:sz w:val="26"/>
                  <w:szCs w:val="26"/>
                  <w:lang w:val="en-US"/>
                </w:rPr>
                <w:t>fayzullaxodjaev</w:t>
              </w:r>
              <w:r w:rsidR="00FD0979" w:rsidRPr="00147844">
                <w:rPr>
                  <w:rStyle w:val="af0"/>
                  <w:sz w:val="26"/>
                  <w:szCs w:val="26"/>
                </w:rPr>
                <w:t>@cbu.uz</w:t>
              </w:r>
            </w:hyperlink>
          </w:p>
          <w:p w:rsidR="00390DE5" w:rsidRPr="00147844" w:rsidRDefault="00390DE5" w:rsidP="003A25D6">
            <w:pPr>
              <w:pStyle w:val="af"/>
              <w:spacing w:after="80"/>
              <w:ind w:left="0"/>
              <w:jc w:val="both"/>
              <w:rPr>
                <w:rFonts w:cs="Calibri"/>
                <w:sz w:val="26"/>
                <w:szCs w:val="26"/>
                <w:lang w:val="en-US"/>
              </w:rPr>
            </w:pPr>
          </w:p>
        </w:tc>
        <w:tc>
          <w:tcPr>
            <w:tcW w:w="4903" w:type="dxa"/>
            <w:shd w:val="clear" w:color="auto" w:fill="auto"/>
          </w:tcPr>
          <w:p w:rsidR="00390DE5" w:rsidRPr="00147844" w:rsidRDefault="005529A2" w:rsidP="003A25D6">
            <w:pPr>
              <w:pStyle w:val="af"/>
              <w:spacing w:after="80"/>
              <w:ind w:left="0"/>
              <w:rPr>
                <w:rFonts w:cs="Calibri"/>
                <w:sz w:val="26"/>
                <w:szCs w:val="26"/>
                <w:lang w:val="en-US"/>
              </w:rPr>
            </w:pPr>
            <w:r w:rsidRPr="00147844">
              <w:rPr>
                <w:rFonts w:cs="Calibri"/>
                <w:sz w:val="26"/>
                <w:szCs w:val="26"/>
                <w:lang w:val="en-US"/>
              </w:rPr>
              <w:t>J</w:t>
            </w:r>
            <w:r w:rsidR="00390DE5" w:rsidRPr="00147844">
              <w:rPr>
                <w:rFonts w:cs="Calibri"/>
                <w:sz w:val="26"/>
                <w:szCs w:val="26"/>
                <w:lang w:val="en-US"/>
              </w:rPr>
              <w:t>.</w:t>
            </w:r>
            <w:r w:rsidR="00D74224" w:rsidRPr="00147844">
              <w:rPr>
                <w:rFonts w:cs="Calibri"/>
                <w:sz w:val="26"/>
                <w:szCs w:val="26"/>
                <w:lang w:val="en-US"/>
              </w:rPr>
              <w:t> </w:t>
            </w:r>
            <w:r w:rsidR="00FD0979" w:rsidRPr="00147844">
              <w:rPr>
                <w:rFonts w:cs="Calibri"/>
                <w:sz w:val="26"/>
                <w:szCs w:val="26"/>
                <w:lang w:val="en-US"/>
              </w:rPr>
              <w:t>Fayzullax</w:t>
            </w:r>
            <w:r w:rsidRPr="00147844">
              <w:rPr>
                <w:rFonts w:cs="Calibri"/>
                <w:sz w:val="26"/>
                <w:szCs w:val="26"/>
                <w:lang w:val="en-US"/>
              </w:rPr>
              <w:t>odjaev</w:t>
            </w:r>
          </w:p>
          <w:p w:rsidR="00390DE5" w:rsidRPr="00147844" w:rsidRDefault="00390DE5" w:rsidP="003A25D6">
            <w:pPr>
              <w:pStyle w:val="af"/>
              <w:spacing w:after="80"/>
              <w:ind w:left="0"/>
              <w:rPr>
                <w:rFonts w:cs="Calibri"/>
                <w:sz w:val="26"/>
                <w:szCs w:val="26"/>
                <w:lang w:val="en-US"/>
              </w:rPr>
            </w:pPr>
            <w:r w:rsidRPr="00147844">
              <w:rPr>
                <w:rFonts w:cs="Calibri"/>
                <w:sz w:val="26"/>
                <w:szCs w:val="26"/>
                <w:lang w:val="en-US"/>
              </w:rPr>
              <w:t>Director of Department</w:t>
            </w:r>
          </w:p>
        </w:tc>
      </w:tr>
      <w:tr w:rsidR="00390DE5" w:rsidRPr="00D040FC" w:rsidTr="003A25D6">
        <w:tc>
          <w:tcPr>
            <w:tcW w:w="4951" w:type="dxa"/>
            <w:shd w:val="clear" w:color="auto" w:fill="auto"/>
          </w:tcPr>
          <w:p w:rsidR="00390DE5" w:rsidRPr="00147844" w:rsidRDefault="00390DE5" w:rsidP="003A25D6">
            <w:pPr>
              <w:pStyle w:val="af"/>
              <w:spacing w:after="80"/>
              <w:ind w:left="708"/>
              <w:jc w:val="both"/>
              <w:rPr>
                <w:rFonts w:cs="Calibri"/>
                <w:sz w:val="26"/>
                <w:szCs w:val="26"/>
                <w:lang w:val="en-US"/>
              </w:rPr>
            </w:pPr>
            <w:r w:rsidRPr="00147844">
              <w:rPr>
                <w:rFonts w:cs="Calibri"/>
                <w:sz w:val="26"/>
                <w:szCs w:val="26"/>
                <w:lang w:val="en-US"/>
              </w:rPr>
              <w:t>(+998) 71 212-60-76</w:t>
            </w:r>
          </w:p>
          <w:p w:rsidR="00390DE5" w:rsidRPr="00147844" w:rsidRDefault="001B2CDA" w:rsidP="003A25D6">
            <w:pPr>
              <w:pStyle w:val="af"/>
              <w:spacing w:after="80"/>
              <w:ind w:left="708"/>
              <w:jc w:val="both"/>
              <w:rPr>
                <w:rFonts w:cs="Calibri"/>
                <w:sz w:val="26"/>
                <w:szCs w:val="26"/>
                <w:lang w:val="en-US"/>
              </w:rPr>
            </w:pPr>
            <w:hyperlink r:id="rId16" w:history="1">
              <w:r w:rsidR="00390DE5" w:rsidRPr="00147844">
                <w:rPr>
                  <w:rStyle w:val="af0"/>
                  <w:rFonts w:cs="Calibri"/>
                  <w:sz w:val="26"/>
                  <w:szCs w:val="26"/>
                  <w:lang w:val="en-US"/>
                </w:rPr>
                <w:t>r.mirzaahmedov@cbu.uz</w:t>
              </w:r>
            </w:hyperlink>
          </w:p>
          <w:p w:rsidR="00390DE5" w:rsidRPr="00147844" w:rsidRDefault="00390DE5" w:rsidP="003A25D6">
            <w:pPr>
              <w:pStyle w:val="af"/>
              <w:spacing w:after="80"/>
              <w:ind w:left="0"/>
              <w:jc w:val="both"/>
              <w:rPr>
                <w:rFonts w:cs="Calibri"/>
                <w:sz w:val="26"/>
                <w:szCs w:val="26"/>
                <w:lang w:val="en-US"/>
              </w:rPr>
            </w:pPr>
          </w:p>
        </w:tc>
        <w:tc>
          <w:tcPr>
            <w:tcW w:w="4903" w:type="dxa"/>
            <w:shd w:val="clear" w:color="auto" w:fill="auto"/>
          </w:tcPr>
          <w:p w:rsidR="00390DE5" w:rsidRPr="00147844" w:rsidRDefault="00390DE5" w:rsidP="003A25D6">
            <w:pPr>
              <w:pStyle w:val="af"/>
              <w:tabs>
                <w:tab w:val="left" w:pos="2552"/>
              </w:tabs>
              <w:spacing w:before="120" w:after="80"/>
              <w:ind w:left="0"/>
              <w:rPr>
                <w:rFonts w:cs="Calibri"/>
                <w:sz w:val="26"/>
                <w:szCs w:val="26"/>
                <w:lang w:val="en-US"/>
              </w:rPr>
            </w:pPr>
            <w:r w:rsidRPr="00147844">
              <w:rPr>
                <w:rFonts w:cs="Calibri"/>
                <w:sz w:val="26"/>
                <w:szCs w:val="26"/>
                <w:lang w:val="en-US"/>
              </w:rPr>
              <w:t>R.</w:t>
            </w:r>
            <w:r w:rsidR="00D74224" w:rsidRPr="00147844">
              <w:rPr>
                <w:rFonts w:cs="Calibri"/>
                <w:sz w:val="26"/>
                <w:szCs w:val="26"/>
                <w:lang w:val="en-US"/>
              </w:rPr>
              <w:t> </w:t>
            </w:r>
            <w:r w:rsidRPr="00147844">
              <w:rPr>
                <w:rFonts w:cs="Calibri"/>
                <w:sz w:val="26"/>
                <w:szCs w:val="26"/>
                <w:lang w:val="en-US"/>
              </w:rPr>
              <w:t xml:space="preserve">Mirzaakhmedov </w:t>
            </w:r>
          </w:p>
          <w:p w:rsidR="00390DE5" w:rsidRPr="00147844" w:rsidRDefault="00390DE5" w:rsidP="003A25D6">
            <w:pPr>
              <w:pStyle w:val="af"/>
              <w:tabs>
                <w:tab w:val="left" w:pos="2552"/>
              </w:tabs>
              <w:spacing w:after="80"/>
              <w:ind w:left="0"/>
              <w:rPr>
                <w:rFonts w:cs="Calibri"/>
                <w:sz w:val="26"/>
                <w:szCs w:val="26"/>
                <w:lang w:val="en-US"/>
              </w:rPr>
            </w:pPr>
            <w:r w:rsidRPr="00147844">
              <w:rPr>
                <w:rFonts w:cs="Calibri"/>
                <w:sz w:val="26"/>
                <w:szCs w:val="26"/>
                <w:lang w:val="en-US"/>
              </w:rPr>
              <w:t>Head of Balance of Payments Division</w:t>
            </w:r>
          </w:p>
        </w:tc>
      </w:tr>
      <w:tr w:rsidR="00375A4B" w:rsidRPr="00D040FC" w:rsidTr="003A25D6">
        <w:tc>
          <w:tcPr>
            <w:tcW w:w="4951" w:type="dxa"/>
            <w:shd w:val="clear" w:color="auto" w:fill="auto"/>
          </w:tcPr>
          <w:p w:rsidR="00375A4B" w:rsidRPr="00147844" w:rsidRDefault="00375A4B" w:rsidP="00375A4B">
            <w:pPr>
              <w:pStyle w:val="af"/>
              <w:spacing w:after="80"/>
              <w:ind w:left="708"/>
              <w:jc w:val="both"/>
              <w:rPr>
                <w:rFonts w:cs="Calibri"/>
                <w:sz w:val="26"/>
                <w:szCs w:val="26"/>
                <w:lang w:val="en-US"/>
              </w:rPr>
            </w:pPr>
            <w:r w:rsidRPr="00147844">
              <w:rPr>
                <w:rFonts w:cs="Calibri"/>
                <w:sz w:val="26"/>
                <w:szCs w:val="26"/>
                <w:lang w:val="en-US"/>
              </w:rPr>
              <w:t>(+998) 71 212-60-42</w:t>
            </w:r>
          </w:p>
          <w:p w:rsidR="00375A4B" w:rsidRPr="00147844" w:rsidRDefault="001B2CDA" w:rsidP="00375A4B">
            <w:pPr>
              <w:pStyle w:val="af"/>
              <w:spacing w:after="80"/>
              <w:ind w:left="708"/>
              <w:jc w:val="both"/>
              <w:rPr>
                <w:rFonts w:cs="Calibri"/>
                <w:sz w:val="26"/>
                <w:szCs w:val="26"/>
                <w:lang w:val="en-US"/>
              </w:rPr>
            </w:pPr>
            <w:hyperlink r:id="rId17" w:history="1">
              <w:r w:rsidR="003E198A" w:rsidRPr="00147844">
                <w:rPr>
                  <w:rStyle w:val="af0"/>
                  <w:rFonts w:cs="Calibri"/>
                  <w:sz w:val="26"/>
                  <w:szCs w:val="26"/>
                  <w:lang w:val="en-US"/>
                </w:rPr>
                <w:t>z.irgashev@cbu.uz</w:t>
              </w:r>
            </w:hyperlink>
          </w:p>
          <w:p w:rsidR="00375A4B" w:rsidRPr="00147844" w:rsidRDefault="00375A4B" w:rsidP="00375A4B">
            <w:pPr>
              <w:pStyle w:val="af"/>
              <w:spacing w:after="80"/>
              <w:ind w:left="0"/>
              <w:jc w:val="both"/>
              <w:rPr>
                <w:rFonts w:cs="Calibri"/>
                <w:sz w:val="26"/>
                <w:szCs w:val="26"/>
                <w:lang w:val="en-US"/>
              </w:rPr>
            </w:pPr>
          </w:p>
        </w:tc>
        <w:tc>
          <w:tcPr>
            <w:tcW w:w="4903" w:type="dxa"/>
            <w:shd w:val="clear" w:color="auto" w:fill="auto"/>
          </w:tcPr>
          <w:p w:rsidR="00375A4B" w:rsidRPr="00147844" w:rsidRDefault="003E198A" w:rsidP="00375A4B">
            <w:pPr>
              <w:pStyle w:val="af"/>
              <w:tabs>
                <w:tab w:val="left" w:pos="2552"/>
              </w:tabs>
              <w:spacing w:before="120" w:after="80"/>
              <w:ind w:left="0"/>
              <w:rPr>
                <w:rFonts w:cs="Calibri"/>
                <w:sz w:val="26"/>
                <w:szCs w:val="26"/>
                <w:lang w:val="en-US"/>
              </w:rPr>
            </w:pPr>
            <w:r w:rsidRPr="00147844">
              <w:rPr>
                <w:rFonts w:cs="Calibri"/>
                <w:sz w:val="26"/>
                <w:szCs w:val="26"/>
                <w:lang w:val="en-US"/>
              </w:rPr>
              <w:t>Z</w:t>
            </w:r>
            <w:r w:rsidR="00375A4B" w:rsidRPr="00147844">
              <w:rPr>
                <w:rFonts w:cs="Calibri"/>
                <w:sz w:val="26"/>
                <w:szCs w:val="26"/>
                <w:lang w:val="en-US"/>
              </w:rPr>
              <w:t>. </w:t>
            </w:r>
            <w:r w:rsidRPr="00147844">
              <w:rPr>
                <w:rFonts w:cs="Calibri"/>
                <w:sz w:val="26"/>
                <w:szCs w:val="26"/>
                <w:lang w:val="en-US"/>
              </w:rPr>
              <w:t>Irgashev</w:t>
            </w:r>
            <w:r w:rsidR="00375A4B" w:rsidRPr="00147844">
              <w:rPr>
                <w:rFonts w:cs="Calibri"/>
                <w:sz w:val="26"/>
                <w:szCs w:val="26"/>
                <w:lang w:val="en-US"/>
              </w:rPr>
              <w:t xml:space="preserve"> </w:t>
            </w:r>
          </w:p>
          <w:p w:rsidR="00375A4B" w:rsidRPr="00147844" w:rsidRDefault="008C61C6" w:rsidP="00375A4B">
            <w:pPr>
              <w:pStyle w:val="af"/>
              <w:tabs>
                <w:tab w:val="left" w:pos="2552"/>
              </w:tabs>
              <w:spacing w:after="80"/>
              <w:ind w:left="0"/>
              <w:rPr>
                <w:rFonts w:cs="Calibri"/>
                <w:sz w:val="26"/>
                <w:szCs w:val="26"/>
                <w:lang w:val="en-US"/>
              </w:rPr>
            </w:pPr>
            <w:r w:rsidRPr="00147844">
              <w:rPr>
                <w:rFonts w:cs="Calibri"/>
                <w:sz w:val="26"/>
                <w:szCs w:val="26"/>
                <w:lang w:val="en-US"/>
              </w:rPr>
              <w:t xml:space="preserve">Deputy </w:t>
            </w:r>
            <w:r w:rsidR="00375A4B" w:rsidRPr="00147844">
              <w:rPr>
                <w:rFonts w:cs="Calibri"/>
                <w:sz w:val="26"/>
                <w:szCs w:val="26"/>
                <w:lang w:val="en-US"/>
              </w:rPr>
              <w:t>Head of Balance of Payments Division</w:t>
            </w:r>
          </w:p>
        </w:tc>
      </w:tr>
    </w:tbl>
    <w:p w:rsidR="00390DE5" w:rsidRPr="00141EEC" w:rsidRDefault="00390DE5" w:rsidP="00020662">
      <w:pPr>
        <w:spacing w:before="120" w:line="360" w:lineRule="auto"/>
        <w:ind w:firstLine="709"/>
        <w:jc w:val="both"/>
        <w:rPr>
          <w:rFonts w:cs="Calibri"/>
          <w:sz w:val="26"/>
          <w:szCs w:val="26"/>
          <w:lang w:val="en-US"/>
        </w:rPr>
      </w:pPr>
      <w:r w:rsidRPr="00141EEC">
        <w:rPr>
          <w:rFonts w:cs="Calibri"/>
          <w:sz w:val="26"/>
          <w:szCs w:val="26"/>
          <w:lang w:val="en-US"/>
        </w:rPr>
        <w:t xml:space="preserve">Any questions and proposals can also be sent to e-mail address </w:t>
      </w:r>
      <w:hyperlink r:id="rId18" w:history="1">
        <w:r w:rsidRPr="00141EEC">
          <w:rPr>
            <w:rFonts w:cs="Calibri"/>
            <w:color w:val="2E74B5"/>
            <w:sz w:val="26"/>
            <w:szCs w:val="26"/>
            <w:u w:val="single"/>
            <w:lang w:val="en-US"/>
          </w:rPr>
          <w:t>val@cbu.uz</w:t>
        </w:r>
      </w:hyperlink>
      <w:r w:rsidRPr="00141EEC">
        <w:rPr>
          <w:rFonts w:cs="Calibri"/>
          <w:color w:val="2E74B5"/>
          <w:sz w:val="26"/>
          <w:szCs w:val="26"/>
          <w:u w:val="single"/>
          <w:lang w:val="en-US"/>
        </w:rPr>
        <w:t>.</w:t>
      </w:r>
    </w:p>
    <w:p w:rsidR="00390DE5" w:rsidRPr="00141EEC" w:rsidRDefault="00390DE5" w:rsidP="00020662">
      <w:pPr>
        <w:spacing w:before="120" w:line="360" w:lineRule="auto"/>
        <w:ind w:firstLine="709"/>
        <w:jc w:val="both"/>
        <w:rPr>
          <w:rFonts w:cs="Calibri"/>
          <w:sz w:val="26"/>
          <w:szCs w:val="26"/>
          <w:lang w:val="en-US"/>
        </w:rPr>
      </w:pPr>
      <w:r w:rsidRPr="00141EEC">
        <w:rPr>
          <w:rFonts w:cs="Calibri"/>
          <w:sz w:val="26"/>
          <w:szCs w:val="26"/>
          <w:lang w:val="en-US"/>
        </w:rPr>
        <w:t xml:space="preserve">The publication is published quarterly following the reporting quarter </w:t>
      </w:r>
      <w:r w:rsidR="000E48FD" w:rsidRPr="00141EEC">
        <w:rPr>
          <w:rFonts w:cs="Calibri"/>
          <w:sz w:val="26"/>
          <w:szCs w:val="26"/>
          <w:lang w:val="en-US"/>
        </w:rPr>
        <w:br/>
      </w:r>
      <w:r w:rsidRPr="00141EEC">
        <w:rPr>
          <w:rFonts w:cs="Calibri"/>
          <w:sz w:val="26"/>
          <w:szCs w:val="26"/>
          <w:lang w:val="en-US"/>
        </w:rPr>
        <w:t xml:space="preserve">and available in Uzbek, Russian and English. </w:t>
      </w:r>
    </w:p>
    <w:p w:rsidR="00201559" w:rsidRDefault="00390DE5" w:rsidP="00A26C29">
      <w:pPr>
        <w:spacing w:before="120" w:line="360" w:lineRule="auto"/>
        <w:ind w:firstLine="709"/>
        <w:jc w:val="both"/>
        <w:rPr>
          <w:rFonts w:cs="Calibri"/>
          <w:sz w:val="26"/>
          <w:szCs w:val="26"/>
          <w:lang w:val="en-US"/>
        </w:rPr>
      </w:pPr>
      <w:r w:rsidRPr="00141EEC">
        <w:rPr>
          <w:rFonts w:cs="Calibri"/>
          <w:sz w:val="26"/>
          <w:szCs w:val="26"/>
          <w:lang w:val="en-US"/>
        </w:rPr>
        <w:t xml:space="preserve">The Central Bank </w:t>
      </w:r>
      <w:r w:rsidRPr="00141EEC">
        <w:rPr>
          <w:rFonts w:cs="Calibri"/>
          <w:b/>
          <w:sz w:val="26"/>
          <w:szCs w:val="26"/>
          <w:lang w:val="en-US"/>
        </w:rPr>
        <w:t>expresses its gratitude</w:t>
      </w:r>
      <w:r w:rsidRPr="00141EEC">
        <w:rPr>
          <w:rFonts w:cs="Calibri"/>
          <w:sz w:val="26"/>
          <w:szCs w:val="26"/>
          <w:lang w:val="en-US"/>
        </w:rPr>
        <w:t xml:space="preserve"> to ministries, agencies, </w:t>
      </w:r>
      <w:r w:rsidR="000E48FD" w:rsidRPr="00141EEC">
        <w:rPr>
          <w:rFonts w:cs="Calibri"/>
          <w:sz w:val="26"/>
          <w:szCs w:val="26"/>
          <w:lang w:val="en-US"/>
        </w:rPr>
        <w:br/>
      </w:r>
      <w:r w:rsidRPr="00141EEC">
        <w:rPr>
          <w:rFonts w:cs="Calibri"/>
          <w:noProof/>
          <w:sz w:val="26"/>
          <w:szCs w:val="26"/>
          <w:lang w:val="en-US"/>
        </w:rPr>
        <w:t>and</w:t>
      </w:r>
      <w:r w:rsidRPr="00141EEC">
        <w:rPr>
          <w:rFonts w:cs="Calibri"/>
          <w:sz w:val="26"/>
          <w:szCs w:val="26"/>
          <w:lang w:val="en-US"/>
        </w:rPr>
        <w:t xml:space="preserve"> organizations for cooperation in providing information for preparation of balance of payments, international investment position of the Republic of Uzbekistan and total external debt and looks forward to further effective cooperation.</w:t>
      </w:r>
    </w:p>
    <w:p w:rsidR="006F0FAC" w:rsidRDefault="004179C1" w:rsidP="00A26C29">
      <w:pPr>
        <w:spacing w:before="120" w:line="360" w:lineRule="auto"/>
        <w:ind w:firstLine="709"/>
        <w:jc w:val="both"/>
        <w:rPr>
          <w:rFonts w:cs="Arial"/>
          <w:lang w:val="en-US"/>
        </w:rPr>
      </w:pPr>
      <w:r w:rsidRPr="00F45A80">
        <w:rPr>
          <w:rFonts w:cs="Arial"/>
          <w:lang w:val="en-US"/>
        </w:rPr>
        <w:br w:type="page"/>
      </w:r>
    </w:p>
    <w:p w:rsidR="004179C1" w:rsidRPr="008B1CBD" w:rsidRDefault="00864FA4" w:rsidP="008B1CBD">
      <w:pPr>
        <w:spacing w:before="120"/>
        <w:jc w:val="center"/>
        <w:rPr>
          <w:rFonts w:cs="Calibri"/>
          <w:b/>
          <w:sz w:val="28"/>
          <w:szCs w:val="28"/>
          <w:lang w:val="en-US"/>
        </w:rPr>
      </w:pPr>
      <w:r w:rsidRPr="008B1CBD">
        <w:rPr>
          <w:rFonts w:cs="Calibri"/>
          <w:b/>
          <w:sz w:val="28"/>
          <w:szCs w:val="28"/>
          <w:lang w:val="en-US"/>
        </w:rPr>
        <w:lastRenderedPageBreak/>
        <w:t>TABLE OF CONTENTS</w:t>
      </w:r>
    </w:p>
    <w:p w:rsidR="006F0FAC" w:rsidRPr="00DA5BF2" w:rsidRDefault="006F0FAC" w:rsidP="00A615E9">
      <w:pPr>
        <w:jc w:val="center"/>
        <w:rPr>
          <w:rFonts w:cs="Calibri"/>
          <w:b/>
          <w:lang w:val="en-US"/>
        </w:rPr>
      </w:pPr>
    </w:p>
    <w:p w:rsidR="00222529" w:rsidRPr="00222529" w:rsidRDefault="002F409C">
      <w:pPr>
        <w:pStyle w:val="11"/>
        <w:rPr>
          <w:rFonts w:asciiTheme="minorHAnsi" w:eastAsiaTheme="minorEastAsia" w:hAnsiTheme="minorHAnsi" w:cstheme="minorBidi"/>
          <w:lang w:val="ru-RU"/>
        </w:rPr>
      </w:pPr>
      <w:r w:rsidRPr="00222529">
        <w:rPr>
          <w:highlight w:val="yellow"/>
        </w:rPr>
        <w:fldChar w:fldCharType="begin"/>
      </w:r>
      <w:r w:rsidR="004179C1" w:rsidRPr="00222529">
        <w:rPr>
          <w:highlight w:val="yellow"/>
        </w:rPr>
        <w:instrText xml:space="preserve"> TOC \o "1-3" \h \z \u </w:instrText>
      </w:r>
      <w:r w:rsidRPr="00222529">
        <w:rPr>
          <w:highlight w:val="yellow"/>
        </w:rPr>
        <w:fldChar w:fldCharType="separate"/>
      </w:r>
      <w:hyperlink w:anchor="_Toc67050784" w:history="1">
        <w:r w:rsidR="00222529" w:rsidRPr="00222529">
          <w:rPr>
            <w:rStyle w:val="af0"/>
          </w:rPr>
          <w:t>ANNOTATION</w:t>
        </w:r>
        <w:r w:rsidR="00222529" w:rsidRPr="00222529">
          <w:rPr>
            <w:webHidden/>
          </w:rPr>
          <w:tab/>
        </w:r>
        <w:r w:rsidR="00222529" w:rsidRPr="00222529">
          <w:rPr>
            <w:webHidden/>
          </w:rPr>
          <w:fldChar w:fldCharType="begin"/>
        </w:r>
        <w:r w:rsidR="00222529" w:rsidRPr="00222529">
          <w:rPr>
            <w:webHidden/>
          </w:rPr>
          <w:instrText xml:space="preserve"> PAGEREF _Toc67050784 \h </w:instrText>
        </w:r>
        <w:r w:rsidR="00222529" w:rsidRPr="00222529">
          <w:rPr>
            <w:webHidden/>
          </w:rPr>
        </w:r>
        <w:r w:rsidR="00222529" w:rsidRPr="00222529">
          <w:rPr>
            <w:webHidden/>
          </w:rPr>
          <w:fldChar w:fldCharType="separate"/>
        </w:r>
        <w:r w:rsidR="007D5B72">
          <w:rPr>
            <w:webHidden/>
          </w:rPr>
          <w:t>5</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785" w:history="1">
        <w:r w:rsidR="00222529" w:rsidRPr="00222529">
          <w:rPr>
            <w:rStyle w:val="af0"/>
            <w:b/>
          </w:rPr>
          <w:t>I. BALANCE OF PAYMENTS OF THE REPUBLIC OF UZBEKISTAN</w:t>
        </w:r>
        <w:r w:rsidR="00222529" w:rsidRPr="00222529">
          <w:rPr>
            <w:webHidden/>
          </w:rPr>
          <w:tab/>
        </w:r>
        <w:r w:rsidR="00222529" w:rsidRPr="00222529">
          <w:rPr>
            <w:webHidden/>
          </w:rPr>
          <w:fldChar w:fldCharType="begin"/>
        </w:r>
        <w:r w:rsidR="00222529" w:rsidRPr="00222529">
          <w:rPr>
            <w:webHidden/>
          </w:rPr>
          <w:instrText xml:space="preserve"> PAGEREF _Toc67050785 \h </w:instrText>
        </w:r>
        <w:r w:rsidR="00222529" w:rsidRPr="00222529">
          <w:rPr>
            <w:webHidden/>
          </w:rPr>
        </w:r>
        <w:r w:rsidR="00222529" w:rsidRPr="00222529">
          <w:rPr>
            <w:webHidden/>
          </w:rPr>
          <w:fldChar w:fldCharType="separate"/>
        </w:r>
        <w:r w:rsidR="007D5B72">
          <w:rPr>
            <w:webHidden/>
          </w:rPr>
          <w:t>8</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786" w:history="1">
        <w:r w:rsidR="00222529" w:rsidRPr="00222529">
          <w:rPr>
            <w:rStyle w:val="af0"/>
          </w:rPr>
          <w:t>CURRENT ACCOUNT</w:t>
        </w:r>
        <w:r w:rsidR="00222529" w:rsidRPr="00222529">
          <w:rPr>
            <w:webHidden/>
          </w:rPr>
          <w:tab/>
        </w:r>
        <w:r w:rsidR="00222529" w:rsidRPr="00222529">
          <w:rPr>
            <w:webHidden/>
          </w:rPr>
          <w:fldChar w:fldCharType="begin"/>
        </w:r>
        <w:r w:rsidR="00222529" w:rsidRPr="00222529">
          <w:rPr>
            <w:webHidden/>
          </w:rPr>
          <w:instrText xml:space="preserve"> PAGEREF _Toc67050786 \h </w:instrText>
        </w:r>
        <w:r w:rsidR="00222529" w:rsidRPr="00222529">
          <w:rPr>
            <w:webHidden/>
          </w:rPr>
        </w:r>
        <w:r w:rsidR="00222529" w:rsidRPr="00222529">
          <w:rPr>
            <w:webHidden/>
          </w:rPr>
          <w:fldChar w:fldCharType="separate"/>
        </w:r>
        <w:r w:rsidR="007D5B72">
          <w:rPr>
            <w:webHidden/>
          </w:rPr>
          <w:t>8</w:t>
        </w:r>
        <w:r w:rsidR="00222529" w:rsidRPr="00222529">
          <w:rPr>
            <w:webHidden/>
          </w:rPr>
          <w:fldChar w:fldCharType="end"/>
        </w:r>
      </w:hyperlink>
    </w:p>
    <w:p w:rsidR="00222529" w:rsidRPr="00222529" w:rsidRDefault="001B2CDA">
      <w:pPr>
        <w:pStyle w:val="23"/>
        <w:rPr>
          <w:rFonts w:asciiTheme="minorHAnsi" w:eastAsiaTheme="minorEastAsia" w:hAnsiTheme="minorHAnsi" w:cstheme="minorBidi"/>
          <w:noProof/>
          <w:sz w:val="22"/>
          <w:szCs w:val="22"/>
        </w:rPr>
      </w:pPr>
      <w:hyperlink w:anchor="_Toc67050787" w:history="1">
        <w:r w:rsidR="00222529" w:rsidRPr="00222529">
          <w:rPr>
            <w:rStyle w:val="af0"/>
            <w:noProof/>
            <w:sz w:val="22"/>
            <w:szCs w:val="22"/>
            <w:lang w:val="en-US"/>
          </w:rPr>
          <w:t>GOODS</w:t>
        </w:r>
        <w:r w:rsidR="00222529" w:rsidRPr="00222529">
          <w:rPr>
            <w:noProof/>
            <w:webHidden/>
            <w:sz w:val="22"/>
            <w:szCs w:val="22"/>
          </w:rPr>
          <w:tab/>
        </w:r>
        <w:r w:rsidR="00222529" w:rsidRPr="00222529">
          <w:rPr>
            <w:noProof/>
            <w:webHidden/>
            <w:sz w:val="22"/>
            <w:szCs w:val="22"/>
          </w:rPr>
          <w:fldChar w:fldCharType="begin"/>
        </w:r>
        <w:r w:rsidR="00222529" w:rsidRPr="00222529">
          <w:rPr>
            <w:noProof/>
            <w:webHidden/>
            <w:sz w:val="22"/>
            <w:szCs w:val="22"/>
          </w:rPr>
          <w:instrText xml:space="preserve"> PAGEREF _Toc67050787 \h </w:instrText>
        </w:r>
        <w:r w:rsidR="00222529" w:rsidRPr="00222529">
          <w:rPr>
            <w:noProof/>
            <w:webHidden/>
            <w:sz w:val="22"/>
            <w:szCs w:val="22"/>
          </w:rPr>
        </w:r>
        <w:r w:rsidR="00222529" w:rsidRPr="00222529">
          <w:rPr>
            <w:noProof/>
            <w:webHidden/>
            <w:sz w:val="22"/>
            <w:szCs w:val="22"/>
          </w:rPr>
          <w:fldChar w:fldCharType="separate"/>
        </w:r>
        <w:r w:rsidR="007D5B72">
          <w:rPr>
            <w:noProof/>
            <w:webHidden/>
            <w:sz w:val="22"/>
            <w:szCs w:val="22"/>
          </w:rPr>
          <w:t>10</w:t>
        </w:r>
        <w:r w:rsidR="00222529" w:rsidRPr="00222529">
          <w:rPr>
            <w:noProof/>
            <w:webHidden/>
            <w:sz w:val="22"/>
            <w:szCs w:val="22"/>
          </w:rPr>
          <w:fldChar w:fldCharType="end"/>
        </w:r>
      </w:hyperlink>
    </w:p>
    <w:p w:rsidR="00222529" w:rsidRPr="00222529" w:rsidRDefault="001B2CDA">
      <w:pPr>
        <w:pStyle w:val="23"/>
        <w:rPr>
          <w:rFonts w:asciiTheme="minorHAnsi" w:eastAsiaTheme="minorEastAsia" w:hAnsiTheme="minorHAnsi" w:cstheme="minorBidi"/>
          <w:noProof/>
          <w:sz w:val="22"/>
          <w:szCs w:val="22"/>
        </w:rPr>
      </w:pPr>
      <w:hyperlink w:anchor="_Toc67050788" w:history="1">
        <w:r w:rsidR="00222529" w:rsidRPr="00222529">
          <w:rPr>
            <w:rStyle w:val="af0"/>
            <w:noProof/>
            <w:sz w:val="22"/>
            <w:szCs w:val="22"/>
            <w:lang w:val="en-US"/>
          </w:rPr>
          <w:t>SERVICES</w:t>
        </w:r>
        <w:r w:rsidR="00222529" w:rsidRPr="00222529">
          <w:rPr>
            <w:noProof/>
            <w:webHidden/>
            <w:sz w:val="22"/>
            <w:szCs w:val="22"/>
          </w:rPr>
          <w:tab/>
        </w:r>
        <w:r w:rsidR="00222529" w:rsidRPr="00222529">
          <w:rPr>
            <w:noProof/>
            <w:webHidden/>
            <w:sz w:val="22"/>
            <w:szCs w:val="22"/>
          </w:rPr>
          <w:fldChar w:fldCharType="begin"/>
        </w:r>
        <w:r w:rsidR="00222529" w:rsidRPr="00222529">
          <w:rPr>
            <w:noProof/>
            <w:webHidden/>
            <w:sz w:val="22"/>
            <w:szCs w:val="22"/>
          </w:rPr>
          <w:instrText xml:space="preserve"> PAGEREF _Toc67050788 \h </w:instrText>
        </w:r>
        <w:r w:rsidR="00222529" w:rsidRPr="00222529">
          <w:rPr>
            <w:noProof/>
            <w:webHidden/>
            <w:sz w:val="22"/>
            <w:szCs w:val="22"/>
          </w:rPr>
        </w:r>
        <w:r w:rsidR="00222529" w:rsidRPr="00222529">
          <w:rPr>
            <w:noProof/>
            <w:webHidden/>
            <w:sz w:val="22"/>
            <w:szCs w:val="22"/>
          </w:rPr>
          <w:fldChar w:fldCharType="separate"/>
        </w:r>
        <w:r w:rsidR="007D5B72">
          <w:rPr>
            <w:noProof/>
            <w:webHidden/>
            <w:sz w:val="22"/>
            <w:szCs w:val="22"/>
          </w:rPr>
          <w:t>15</w:t>
        </w:r>
        <w:r w:rsidR="00222529" w:rsidRPr="00222529">
          <w:rPr>
            <w:noProof/>
            <w:webHidden/>
            <w:sz w:val="22"/>
            <w:szCs w:val="22"/>
          </w:rPr>
          <w:fldChar w:fldCharType="end"/>
        </w:r>
      </w:hyperlink>
    </w:p>
    <w:p w:rsidR="00222529" w:rsidRPr="00222529" w:rsidRDefault="001B2CDA">
      <w:pPr>
        <w:pStyle w:val="23"/>
        <w:rPr>
          <w:rFonts w:asciiTheme="minorHAnsi" w:eastAsiaTheme="minorEastAsia" w:hAnsiTheme="minorHAnsi" w:cstheme="minorBidi"/>
          <w:noProof/>
          <w:sz w:val="22"/>
          <w:szCs w:val="22"/>
        </w:rPr>
      </w:pPr>
      <w:hyperlink w:anchor="_Toc67050789" w:history="1">
        <w:r w:rsidR="00222529" w:rsidRPr="00222529">
          <w:rPr>
            <w:rStyle w:val="af0"/>
            <w:noProof/>
            <w:sz w:val="22"/>
            <w:szCs w:val="22"/>
            <w:lang w:val="en-US"/>
          </w:rPr>
          <w:t>PRIMARY INCOME</w:t>
        </w:r>
        <w:r w:rsidR="00222529" w:rsidRPr="00222529">
          <w:rPr>
            <w:noProof/>
            <w:webHidden/>
            <w:sz w:val="22"/>
            <w:szCs w:val="22"/>
          </w:rPr>
          <w:tab/>
        </w:r>
        <w:r w:rsidR="00222529" w:rsidRPr="00222529">
          <w:rPr>
            <w:noProof/>
            <w:webHidden/>
            <w:sz w:val="22"/>
            <w:szCs w:val="22"/>
          </w:rPr>
          <w:fldChar w:fldCharType="begin"/>
        </w:r>
        <w:r w:rsidR="00222529" w:rsidRPr="00222529">
          <w:rPr>
            <w:noProof/>
            <w:webHidden/>
            <w:sz w:val="22"/>
            <w:szCs w:val="22"/>
          </w:rPr>
          <w:instrText xml:space="preserve"> PAGEREF _Toc67050789 \h </w:instrText>
        </w:r>
        <w:r w:rsidR="00222529" w:rsidRPr="00222529">
          <w:rPr>
            <w:noProof/>
            <w:webHidden/>
            <w:sz w:val="22"/>
            <w:szCs w:val="22"/>
          </w:rPr>
        </w:r>
        <w:r w:rsidR="00222529" w:rsidRPr="00222529">
          <w:rPr>
            <w:noProof/>
            <w:webHidden/>
            <w:sz w:val="22"/>
            <w:szCs w:val="22"/>
          </w:rPr>
          <w:fldChar w:fldCharType="separate"/>
        </w:r>
        <w:r w:rsidR="007D5B72">
          <w:rPr>
            <w:noProof/>
            <w:webHidden/>
            <w:sz w:val="22"/>
            <w:szCs w:val="22"/>
          </w:rPr>
          <w:t>17</w:t>
        </w:r>
        <w:r w:rsidR="00222529" w:rsidRPr="00222529">
          <w:rPr>
            <w:noProof/>
            <w:webHidden/>
            <w:sz w:val="22"/>
            <w:szCs w:val="22"/>
          </w:rPr>
          <w:fldChar w:fldCharType="end"/>
        </w:r>
      </w:hyperlink>
    </w:p>
    <w:p w:rsidR="00222529" w:rsidRPr="00222529" w:rsidRDefault="001B2CDA">
      <w:pPr>
        <w:pStyle w:val="23"/>
        <w:rPr>
          <w:rFonts w:asciiTheme="minorHAnsi" w:eastAsiaTheme="minorEastAsia" w:hAnsiTheme="minorHAnsi" w:cstheme="minorBidi"/>
          <w:noProof/>
          <w:sz w:val="22"/>
          <w:szCs w:val="22"/>
        </w:rPr>
      </w:pPr>
      <w:hyperlink w:anchor="_Toc67050790" w:history="1">
        <w:r w:rsidR="00222529" w:rsidRPr="00222529">
          <w:rPr>
            <w:rStyle w:val="af0"/>
            <w:noProof/>
            <w:sz w:val="22"/>
            <w:szCs w:val="22"/>
            <w:lang w:val="en-US"/>
          </w:rPr>
          <w:t>SECONDARY INCOME</w:t>
        </w:r>
        <w:r w:rsidR="00222529" w:rsidRPr="00222529">
          <w:rPr>
            <w:noProof/>
            <w:webHidden/>
            <w:sz w:val="22"/>
            <w:szCs w:val="22"/>
          </w:rPr>
          <w:tab/>
        </w:r>
        <w:r w:rsidR="00222529" w:rsidRPr="00222529">
          <w:rPr>
            <w:noProof/>
            <w:webHidden/>
            <w:sz w:val="22"/>
            <w:szCs w:val="22"/>
          </w:rPr>
          <w:fldChar w:fldCharType="begin"/>
        </w:r>
        <w:r w:rsidR="00222529" w:rsidRPr="00222529">
          <w:rPr>
            <w:noProof/>
            <w:webHidden/>
            <w:sz w:val="22"/>
            <w:szCs w:val="22"/>
          </w:rPr>
          <w:instrText xml:space="preserve"> PAGEREF _Toc67050790 \h </w:instrText>
        </w:r>
        <w:r w:rsidR="00222529" w:rsidRPr="00222529">
          <w:rPr>
            <w:noProof/>
            <w:webHidden/>
            <w:sz w:val="22"/>
            <w:szCs w:val="22"/>
          </w:rPr>
        </w:r>
        <w:r w:rsidR="00222529" w:rsidRPr="00222529">
          <w:rPr>
            <w:noProof/>
            <w:webHidden/>
            <w:sz w:val="22"/>
            <w:szCs w:val="22"/>
          </w:rPr>
          <w:fldChar w:fldCharType="separate"/>
        </w:r>
        <w:r w:rsidR="007D5B72">
          <w:rPr>
            <w:noProof/>
            <w:webHidden/>
            <w:sz w:val="22"/>
            <w:szCs w:val="22"/>
          </w:rPr>
          <w:t>18</w:t>
        </w:r>
        <w:r w:rsidR="00222529" w:rsidRPr="00222529">
          <w:rPr>
            <w:noProof/>
            <w:webHidden/>
            <w:sz w:val="22"/>
            <w:szCs w:val="22"/>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791" w:history="1">
        <w:r w:rsidR="00222529" w:rsidRPr="00222529">
          <w:rPr>
            <w:rStyle w:val="af0"/>
          </w:rPr>
          <w:t>CAPITAL ACCOUNT</w:t>
        </w:r>
        <w:r w:rsidR="00222529" w:rsidRPr="00222529">
          <w:rPr>
            <w:webHidden/>
          </w:rPr>
          <w:tab/>
        </w:r>
        <w:r w:rsidR="00222529" w:rsidRPr="00222529">
          <w:rPr>
            <w:webHidden/>
          </w:rPr>
          <w:fldChar w:fldCharType="begin"/>
        </w:r>
        <w:r w:rsidR="00222529" w:rsidRPr="00222529">
          <w:rPr>
            <w:webHidden/>
          </w:rPr>
          <w:instrText xml:space="preserve"> PAGEREF _Toc67050791 \h </w:instrText>
        </w:r>
        <w:r w:rsidR="00222529" w:rsidRPr="00222529">
          <w:rPr>
            <w:webHidden/>
          </w:rPr>
        </w:r>
        <w:r w:rsidR="00222529" w:rsidRPr="00222529">
          <w:rPr>
            <w:webHidden/>
          </w:rPr>
          <w:fldChar w:fldCharType="separate"/>
        </w:r>
        <w:r w:rsidR="007D5B72">
          <w:rPr>
            <w:webHidden/>
          </w:rPr>
          <w:t>20</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792" w:history="1">
        <w:r w:rsidR="00222529" w:rsidRPr="00222529">
          <w:rPr>
            <w:rStyle w:val="af0"/>
          </w:rPr>
          <w:t>FINANCIAL ACCOUNT</w:t>
        </w:r>
        <w:r w:rsidR="00222529" w:rsidRPr="00222529">
          <w:rPr>
            <w:webHidden/>
          </w:rPr>
          <w:tab/>
        </w:r>
        <w:r w:rsidR="00222529" w:rsidRPr="00222529">
          <w:rPr>
            <w:webHidden/>
          </w:rPr>
          <w:fldChar w:fldCharType="begin"/>
        </w:r>
        <w:r w:rsidR="00222529" w:rsidRPr="00222529">
          <w:rPr>
            <w:webHidden/>
          </w:rPr>
          <w:instrText xml:space="preserve"> PAGEREF _Toc67050792 \h </w:instrText>
        </w:r>
        <w:r w:rsidR="00222529" w:rsidRPr="00222529">
          <w:rPr>
            <w:webHidden/>
          </w:rPr>
        </w:r>
        <w:r w:rsidR="00222529" w:rsidRPr="00222529">
          <w:rPr>
            <w:webHidden/>
          </w:rPr>
          <w:fldChar w:fldCharType="separate"/>
        </w:r>
        <w:r w:rsidR="007D5B72">
          <w:rPr>
            <w:webHidden/>
          </w:rPr>
          <w:t>21</w:t>
        </w:r>
        <w:r w:rsidR="00222529" w:rsidRPr="00222529">
          <w:rPr>
            <w:webHidden/>
          </w:rPr>
          <w:fldChar w:fldCharType="end"/>
        </w:r>
      </w:hyperlink>
    </w:p>
    <w:p w:rsidR="00222529" w:rsidRPr="00222529" w:rsidRDefault="001B2CDA">
      <w:pPr>
        <w:pStyle w:val="23"/>
        <w:rPr>
          <w:rFonts w:asciiTheme="minorHAnsi" w:eastAsiaTheme="minorEastAsia" w:hAnsiTheme="minorHAnsi" w:cstheme="minorBidi"/>
          <w:noProof/>
          <w:sz w:val="22"/>
          <w:szCs w:val="22"/>
        </w:rPr>
      </w:pPr>
      <w:hyperlink w:anchor="_Toc67050793" w:history="1">
        <w:r w:rsidR="00222529" w:rsidRPr="00222529">
          <w:rPr>
            <w:rStyle w:val="af0"/>
            <w:noProof/>
            <w:sz w:val="22"/>
            <w:szCs w:val="22"/>
            <w:lang w:val="en-US"/>
          </w:rPr>
          <w:t>DIRECT AND PORTFOLIO INVESTMENT</w:t>
        </w:r>
        <w:r w:rsidR="00222529" w:rsidRPr="00222529">
          <w:rPr>
            <w:noProof/>
            <w:webHidden/>
            <w:sz w:val="22"/>
            <w:szCs w:val="22"/>
          </w:rPr>
          <w:tab/>
        </w:r>
        <w:r w:rsidR="00222529" w:rsidRPr="00222529">
          <w:rPr>
            <w:noProof/>
            <w:webHidden/>
            <w:sz w:val="22"/>
            <w:szCs w:val="22"/>
          </w:rPr>
          <w:fldChar w:fldCharType="begin"/>
        </w:r>
        <w:r w:rsidR="00222529" w:rsidRPr="00222529">
          <w:rPr>
            <w:noProof/>
            <w:webHidden/>
            <w:sz w:val="22"/>
            <w:szCs w:val="22"/>
          </w:rPr>
          <w:instrText xml:space="preserve"> PAGEREF _Toc67050793 \h </w:instrText>
        </w:r>
        <w:r w:rsidR="00222529" w:rsidRPr="00222529">
          <w:rPr>
            <w:noProof/>
            <w:webHidden/>
            <w:sz w:val="22"/>
            <w:szCs w:val="22"/>
          </w:rPr>
        </w:r>
        <w:r w:rsidR="00222529" w:rsidRPr="00222529">
          <w:rPr>
            <w:noProof/>
            <w:webHidden/>
            <w:sz w:val="22"/>
            <w:szCs w:val="22"/>
          </w:rPr>
          <w:fldChar w:fldCharType="separate"/>
        </w:r>
        <w:r w:rsidR="007D5B72">
          <w:rPr>
            <w:noProof/>
            <w:webHidden/>
            <w:sz w:val="22"/>
            <w:szCs w:val="22"/>
          </w:rPr>
          <w:t>22</w:t>
        </w:r>
        <w:r w:rsidR="00222529" w:rsidRPr="00222529">
          <w:rPr>
            <w:noProof/>
            <w:webHidden/>
            <w:sz w:val="22"/>
            <w:szCs w:val="22"/>
          </w:rPr>
          <w:fldChar w:fldCharType="end"/>
        </w:r>
      </w:hyperlink>
    </w:p>
    <w:p w:rsidR="00222529" w:rsidRPr="00222529" w:rsidRDefault="001B2CDA">
      <w:pPr>
        <w:pStyle w:val="23"/>
        <w:rPr>
          <w:rFonts w:asciiTheme="minorHAnsi" w:eastAsiaTheme="minorEastAsia" w:hAnsiTheme="minorHAnsi" w:cstheme="minorBidi"/>
          <w:noProof/>
          <w:sz w:val="22"/>
          <w:szCs w:val="22"/>
        </w:rPr>
      </w:pPr>
      <w:hyperlink w:anchor="_Toc67050794" w:history="1">
        <w:r w:rsidR="00222529" w:rsidRPr="00222529">
          <w:rPr>
            <w:rStyle w:val="af0"/>
            <w:noProof/>
            <w:sz w:val="22"/>
            <w:szCs w:val="22"/>
            <w:lang w:val="en-US"/>
          </w:rPr>
          <w:t>OTHER INVESTMENTS</w:t>
        </w:r>
        <w:r w:rsidR="00222529" w:rsidRPr="00222529">
          <w:rPr>
            <w:noProof/>
            <w:webHidden/>
            <w:sz w:val="22"/>
            <w:szCs w:val="22"/>
          </w:rPr>
          <w:tab/>
        </w:r>
        <w:r w:rsidR="00222529" w:rsidRPr="00222529">
          <w:rPr>
            <w:noProof/>
            <w:webHidden/>
            <w:sz w:val="22"/>
            <w:szCs w:val="22"/>
          </w:rPr>
          <w:fldChar w:fldCharType="begin"/>
        </w:r>
        <w:r w:rsidR="00222529" w:rsidRPr="00222529">
          <w:rPr>
            <w:noProof/>
            <w:webHidden/>
            <w:sz w:val="22"/>
            <w:szCs w:val="22"/>
          </w:rPr>
          <w:instrText xml:space="preserve"> PAGEREF _Toc67050794 \h </w:instrText>
        </w:r>
        <w:r w:rsidR="00222529" w:rsidRPr="00222529">
          <w:rPr>
            <w:noProof/>
            <w:webHidden/>
            <w:sz w:val="22"/>
            <w:szCs w:val="22"/>
          </w:rPr>
        </w:r>
        <w:r w:rsidR="00222529" w:rsidRPr="00222529">
          <w:rPr>
            <w:noProof/>
            <w:webHidden/>
            <w:sz w:val="22"/>
            <w:szCs w:val="22"/>
          </w:rPr>
          <w:fldChar w:fldCharType="separate"/>
        </w:r>
        <w:r w:rsidR="007D5B72">
          <w:rPr>
            <w:noProof/>
            <w:webHidden/>
            <w:sz w:val="22"/>
            <w:szCs w:val="22"/>
          </w:rPr>
          <w:t>23</w:t>
        </w:r>
        <w:r w:rsidR="00222529" w:rsidRPr="00222529">
          <w:rPr>
            <w:noProof/>
            <w:webHidden/>
            <w:sz w:val="22"/>
            <w:szCs w:val="22"/>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795" w:history="1">
        <w:r w:rsidR="00222529" w:rsidRPr="00222529">
          <w:rPr>
            <w:rStyle w:val="af0"/>
            <w:b/>
          </w:rPr>
          <w:t>II. INTERNATIONAL INVESTMENT POSITION OF THE REPUBLIC OF UZBEKISTAN</w:t>
        </w:r>
        <w:r w:rsidR="00222529" w:rsidRPr="00222529">
          <w:rPr>
            <w:webHidden/>
          </w:rPr>
          <w:tab/>
        </w:r>
        <w:r w:rsidR="00222529" w:rsidRPr="00222529">
          <w:rPr>
            <w:webHidden/>
          </w:rPr>
          <w:fldChar w:fldCharType="begin"/>
        </w:r>
        <w:r w:rsidR="00222529" w:rsidRPr="00222529">
          <w:rPr>
            <w:webHidden/>
          </w:rPr>
          <w:instrText xml:space="preserve"> PAGEREF _Toc67050795 \h </w:instrText>
        </w:r>
        <w:r w:rsidR="00222529" w:rsidRPr="00222529">
          <w:rPr>
            <w:webHidden/>
          </w:rPr>
        </w:r>
        <w:r w:rsidR="00222529" w:rsidRPr="00222529">
          <w:rPr>
            <w:webHidden/>
          </w:rPr>
          <w:fldChar w:fldCharType="separate"/>
        </w:r>
        <w:r w:rsidR="007D5B72">
          <w:rPr>
            <w:webHidden/>
          </w:rPr>
          <w:t>27</w:t>
        </w:r>
        <w:r w:rsidR="00222529" w:rsidRPr="00222529">
          <w:rPr>
            <w:webHidden/>
          </w:rPr>
          <w:fldChar w:fldCharType="end"/>
        </w:r>
      </w:hyperlink>
    </w:p>
    <w:p w:rsidR="00222529" w:rsidRPr="00222529" w:rsidRDefault="001B2CDA">
      <w:pPr>
        <w:pStyle w:val="23"/>
        <w:rPr>
          <w:rFonts w:asciiTheme="minorHAnsi" w:eastAsiaTheme="minorEastAsia" w:hAnsiTheme="minorHAnsi" w:cstheme="minorBidi"/>
          <w:noProof/>
          <w:sz w:val="22"/>
          <w:szCs w:val="22"/>
        </w:rPr>
      </w:pPr>
      <w:hyperlink w:anchor="_Toc67050796" w:history="1">
        <w:r w:rsidR="00222529" w:rsidRPr="00222529">
          <w:rPr>
            <w:rStyle w:val="af0"/>
            <w:rFonts w:cs="Calibri"/>
            <w:noProof/>
            <w:sz w:val="22"/>
            <w:szCs w:val="22"/>
            <w:lang w:val="en-US"/>
          </w:rPr>
          <w:t>GENERAL GOVERNMENT</w:t>
        </w:r>
        <w:r w:rsidR="00222529" w:rsidRPr="00222529">
          <w:rPr>
            <w:noProof/>
            <w:webHidden/>
            <w:sz w:val="22"/>
            <w:szCs w:val="22"/>
          </w:rPr>
          <w:tab/>
        </w:r>
        <w:r w:rsidR="00222529" w:rsidRPr="00222529">
          <w:rPr>
            <w:noProof/>
            <w:webHidden/>
            <w:sz w:val="22"/>
            <w:szCs w:val="22"/>
          </w:rPr>
          <w:fldChar w:fldCharType="begin"/>
        </w:r>
        <w:r w:rsidR="00222529" w:rsidRPr="00222529">
          <w:rPr>
            <w:noProof/>
            <w:webHidden/>
            <w:sz w:val="22"/>
            <w:szCs w:val="22"/>
          </w:rPr>
          <w:instrText xml:space="preserve"> PAGEREF _Toc67050796 \h </w:instrText>
        </w:r>
        <w:r w:rsidR="00222529" w:rsidRPr="00222529">
          <w:rPr>
            <w:noProof/>
            <w:webHidden/>
            <w:sz w:val="22"/>
            <w:szCs w:val="22"/>
          </w:rPr>
        </w:r>
        <w:r w:rsidR="00222529" w:rsidRPr="00222529">
          <w:rPr>
            <w:noProof/>
            <w:webHidden/>
            <w:sz w:val="22"/>
            <w:szCs w:val="22"/>
          </w:rPr>
          <w:fldChar w:fldCharType="separate"/>
        </w:r>
        <w:r w:rsidR="007D5B72">
          <w:rPr>
            <w:noProof/>
            <w:webHidden/>
            <w:sz w:val="22"/>
            <w:szCs w:val="22"/>
          </w:rPr>
          <w:t>28</w:t>
        </w:r>
        <w:r w:rsidR="00222529" w:rsidRPr="00222529">
          <w:rPr>
            <w:noProof/>
            <w:webHidden/>
            <w:sz w:val="22"/>
            <w:szCs w:val="22"/>
          </w:rPr>
          <w:fldChar w:fldCharType="end"/>
        </w:r>
      </w:hyperlink>
    </w:p>
    <w:p w:rsidR="00222529" w:rsidRPr="00222529" w:rsidRDefault="001B2CDA">
      <w:pPr>
        <w:pStyle w:val="23"/>
        <w:rPr>
          <w:rFonts w:asciiTheme="minorHAnsi" w:eastAsiaTheme="minorEastAsia" w:hAnsiTheme="minorHAnsi" w:cstheme="minorBidi"/>
          <w:noProof/>
          <w:sz w:val="22"/>
          <w:szCs w:val="22"/>
        </w:rPr>
      </w:pPr>
      <w:hyperlink w:anchor="_Toc67050797" w:history="1">
        <w:r w:rsidR="00222529" w:rsidRPr="00222529">
          <w:rPr>
            <w:rStyle w:val="af0"/>
            <w:rFonts w:cs="Calibri"/>
            <w:noProof/>
            <w:sz w:val="22"/>
            <w:szCs w:val="22"/>
            <w:lang w:val="en-US"/>
          </w:rPr>
          <w:t>BANKING SECTOR</w:t>
        </w:r>
        <w:r w:rsidR="00222529" w:rsidRPr="00222529">
          <w:rPr>
            <w:noProof/>
            <w:webHidden/>
            <w:sz w:val="22"/>
            <w:szCs w:val="22"/>
          </w:rPr>
          <w:tab/>
        </w:r>
        <w:r w:rsidR="00222529" w:rsidRPr="00222529">
          <w:rPr>
            <w:noProof/>
            <w:webHidden/>
            <w:sz w:val="22"/>
            <w:szCs w:val="22"/>
          </w:rPr>
          <w:fldChar w:fldCharType="begin"/>
        </w:r>
        <w:r w:rsidR="00222529" w:rsidRPr="00222529">
          <w:rPr>
            <w:noProof/>
            <w:webHidden/>
            <w:sz w:val="22"/>
            <w:szCs w:val="22"/>
          </w:rPr>
          <w:instrText xml:space="preserve"> PAGEREF _Toc67050797 \h </w:instrText>
        </w:r>
        <w:r w:rsidR="00222529" w:rsidRPr="00222529">
          <w:rPr>
            <w:noProof/>
            <w:webHidden/>
            <w:sz w:val="22"/>
            <w:szCs w:val="22"/>
          </w:rPr>
        </w:r>
        <w:r w:rsidR="00222529" w:rsidRPr="00222529">
          <w:rPr>
            <w:noProof/>
            <w:webHidden/>
            <w:sz w:val="22"/>
            <w:szCs w:val="22"/>
          </w:rPr>
          <w:fldChar w:fldCharType="separate"/>
        </w:r>
        <w:r w:rsidR="007D5B72">
          <w:rPr>
            <w:noProof/>
            <w:webHidden/>
            <w:sz w:val="22"/>
            <w:szCs w:val="22"/>
          </w:rPr>
          <w:t>29</w:t>
        </w:r>
        <w:r w:rsidR="00222529" w:rsidRPr="00222529">
          <w:rPr>
            <w:noProof/>
            <w:webHidden/>
            <w:sz w:val="22"/>
            <w:szCs w:val="22"/>
          </w:rPr>
          <w:fldChar w:fldCharType="end"/>
        </w:r>
      </w:hyperlink>
    </w:p>
    <w:p w:rsidR="00222529" w:rsidRPr="00222529" w:rsidRDefault="001B2CDA">
      <w:pPr>
        <w:pStyle w:val="23"/>
        <w:rPr>
          <w:rFonts w:asciiTheme="minorHAnsi" w:eastAsiaTheme="minorEastAsia" w:hAnsiTheme="minorHAnsi" w:cstheme="minorBidi"/>
          <w:noProof/>
          <w:sz w:val="22"/>
          <w:szCs w:val="22"/>
        </w:rPr>
      </w:pPr>
      <w:hyperlink w:anchor="_Toc67050798" w:history="1">
        <w:r w:rsidR="00222529" w:rsidRPr="00222529">
          <w:rPr>
            <w:rStyle w:val="af0"/>
            <w:rFonts w:cs="Calibri"/>
            <w:noProof/>
            <w:sz w:val="22"/>
            <w:szCs w:val="22"/>
            <w:lang w:val="en-US"/>
          </w:rPr>
          <w:t>OTHER SECTORS</w:t>
        </w:r>
        <w:r w:rsidR="00222529" w:rsidRPr="00222529">
          <w:rPr>
            <w:noProof/>
            <w:webHidden/>
            <w:sz w:val="22"/>
            <w:szCs w:val="22"/>
          </w:rPr>
          <w:tab/>
        </w:r>
        <w:r w:rsidR="00222529" w:rsidRPr="00222529">
          <w:rPr>
            <w:noProof/>
            <w:webHidden/>
            <w:sz w:val="22"/>
            <w:szCs w:val="22"/>
          </w:rPr>
          <w:fldChar w:fldCharType="begin"/>
        </w:r>
        <w:r w:rsidR="00222529" w:rsidRPr="00222529">
          <w:rPr>
            <w:noProof/>
            <w:webHidden/>
            <w:sz w:val="22"/>
            <w:szCs w:val="22"/>
          </w:rPr>
          <w:instrText xml:space="preserve"> PAGEREF _Toc67050798 \h </w:instrText>
        </w:r>
        <w:r w:rsidR="00222529" w:rsidRPr="00222529">
          <w:rPr>
            <w:noProof/>
            <w:webHidden/>
            <w:sz w:val="22"/>
            <w:szCs w:val="22"/>
          </w:rPr>
        </w:r>
        <w:r w:rsidR="00222529" w:rsidRPr="00222529">
          <w:rPr>
            <w:noProof/>
            <w:webHidden/>
            <w:sz w:val="22"/>
            <w:szCs w:val="22"/>
          </w:rPr>
          <w:fldChar w:fldCharType="separate"/>
        </w:r>
        <w:r w:rsidR="007D5B72">
          <w:rPr>
            <w:noProof/>
            <w:webHidden/>
            <w:sz w:val="22"/>
            <w:szCs w:val="22"/>
          </w:rPr>
          <w:t>30</w:t>
        </w:r>
        <w:r w:rsidR="00222529" w:rsidRPr="00222529">
          <w:rPr>
            <w:noProof/>
            <w:webHidden/>
            <w:sz w:val="22"/>
            <w:szCs w:val="22"/>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799" w:history="1">
        <w:r w:rsidR="00222529" w:rsidRPr="00222529">
          <w:rPr>
            <w:rStyle w:val="af0"/>
            <w:b/>
          </w:rPr>
          <w:t>III. EXTERNAL DEBT OF THE REPUBLIC OF UZBEKISTAN</w:t>
        </w:r>
        <w:r w:rsidR="00222529" w:rsidRPr="00222529">
          <w:rPr>
            <w:webHidden/>
          </w:rPr>
          <w:tab/>
        </w:r>
        <w:r w:rsidR="00222529" w:rsidRPr="00222529">
          <w:rPr>
            <w:webHidden/>
          </w:rPr>
          <w:fldChar w:fldCharType="begin"/>
        </w:r>
        <w:r w:rsidR="00222529" w:rsidRPr="00222529">
          <w:rPr>
            <w:webHidden/>
          </w:rPr>
          <w:instrText xml:space="preserve"> PAGEREF _Toc67050799 \h </w:instrText>
        </w:r>
        <w:r w:rsidR="00222529" w:rsidRPr="00222529">
          <w:rPr>
            <w:webHidden/>
          </w:rPr>
        </w:r>
        <w:r w:rsidR="00222529" w:rsidRPr="00222529">
          <w:rPr>
            <w:webHidden/>
          </w:rPr>
          <w:fldChar w:fldCharType="separate"/>
        </w:r>
        <w:r w:rsidR="007D5B72">
          <w:rPr>
            <w:webHidden/>
          </w:rPr>
          <w:t>31</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800" w:history="1">
        <w:r w:rsidR="00222529" w:rsidRPr="00222529">
          <w:rPr>
            <w:rStyle w:val="af0"/>
          </w:rPr>
          <w:t>BALANCE OF PAYMENTS FOR 2010 AND 2020</w:t>
        </w:r>
        <w:r w:rsidR="00222529" w:rsidRPr="00222529">
          <w:rPr>
            <w:webHidden/>
          </w:rPr>
          <w:tab/>
        </w:r>
        <w:r w:rsidR="00222529" w:rsidRPr="00222529">
          <w:rPr>
            <w:webHidden/>
          </w:rPr>
          <w:fldChar w:fldCharType="begin"/>
        </w:r>
        <w:r w:rsidR="00222529" w:rsidRPr="00222529">
          <w:rPr>
            <w:webHidden/>
          </w:rPr>
          <w:instrText xml:space="preserve"> PAGEREF _Toc67050800 \h </w:instrText>
        </w:r>
        <w:r w:rsidR="00222529" w:rsidRPr="00222529">
          <w:rPr>
            <w:webHidden/>
          </w:rPr>
        </w:r>
        <w:r w:rsidR="00222529" w:rsidRPr="00222529">
          <w:rPr>
            <w:webHidden/>
          </w:rPr>
          <w:fldChar w:fldCharType="separate"/>
        </w:r>
        <w:r w:rsidR="007D5B72">
          <w:rPr>
            <w:webHidden/>
          </w:rPr>
          <w:t>37</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801" w:history="1">
        <w:r w:rsidR="00222529" w:rsidRPr="00222529">
          <w:rPr>
            <w:rStyle w:val="af0"/>
          </w:rPr>
          <w:t>INTERNATIONAL INVESTMENT POSITION FOR 2010 AND 2020</w:t>
        </w:r>
        <w:r w:rsidR="00222529" w:rsidRPr="00222529">
          <w:rPr>
            <w:webHidden/>
          </w:rPr>
          <w:tab/>
        </w:r>
        <w:r w:rsidR="00222529" w:rsidRPr="00222529">
          <w:rPr>
            <w:webHidden/>
          </w:rPr>
          <w:fldChar w:fldCharType="begin"/>
        </w:r>
        <w:r w:rsidR="00222529" w:rsidRPr="00222529">
          <w:rPr>
            <w:webHidden/>
          </w:rPr>
          <w:instrText xml:space="preserve"> PAGEREF _Toc67050801 \h </w:instrText>
        </w:r>
        <w:r w:rsidR="00222529" w:rsidRPr="00222529">
          <w:rPr>
            <w:webHidden/>
          </w:rPr>
        </w:r>
        <w:r w:rsidR="00222529" w:rsidRPr="00222529">
          <w:rPr>
            <w:webHidden/>
          </w:rPr>
          <w:fldChar w:fldCharType="separate"/>
        </w:r>
        <w:r w:rsidR="007D5B72">
          <w:rPr>
            <w:webHidden/>
          </w:rPr>
          <w:t>39</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802" w:history="1">
        <w:r w:rsidR="00222529" w:rsidRPr="00222529">
          <w:rPr>
            <w:rStyle w:val="af0"/>
            <w:rFonts w:cstheme="minorHAnsi"/>
          </w:rPr>
          <w:t>GROSS EXTERNAL DEBT FOR 2010</w:t>
        </w:r>
        <w:r w:rsidR="00B33C6E">
          <w:rPr>
            <w:rStyle w:val="af0"/>
            <w:rFonts w:cstheme="minorHAnsi"/>
          </w:rPr>
          <w:t xml:space="preserve"> AND </w:t>
        </w:r>
        <w:r w:rsidR="00222529" w:rsidRPr="00222529">
          <w:rPr>
            <w:rStyle w:val="af0"/>
            <w:rFonts w:cstheme="minorHAnsi"/>
          </w:rPr>
          <w:t>2020</w:t>
        </w:r>
        <w:r w:rsidR="00222529" w:rsidRPr="00222529">
          <w:rPr>
            <w:webHidden/>
          </w:rPr>
          <w:tab/>
        </w:r>
        <w:r w:rsidR="00222529" w:rsidRPr="00222529">
          <w:rPr>
            <w:webHidden/>
          </w:rPr>
          <w:fldChar w:fldCharType="begin"/>
        </w:r>
        <w:r w:rsidR="00222529" w:rsidRPr="00222529">
          <w:rPr>
            <w:webHidden/>
          </w:rPr>
          <w:instrText xml:space="preserve"> PAGEREF _Toc67050802 \h </w:instrText>
        </w:r>
        <w:r w:rsidR="00222529" w:rsidRPr="00222529">
          <w:rPr>
            <w:webHidden/>
          </w:rPr>
        </w:r>
        <w:r w:rsidR="00222529" w:rsidRPr="00222529">
          <w:rPr>
            <w:webHidden/>
          </w:rPr>
          <w:fldChar w:fldCharType="separate"/>
        </w:r>
        <w:r w:rsidR="007D5B72">
          <w:rPr>
            <w:webHidden/>
          </w:rPr>
          <w:t>42</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803" w:history="1">
        <w:r w:rsidR="00222529" w:rsidRPr="00222529">
          <w:rPr>
            <w:rStyle w:val="af0"/>
          </w:rPr>
          <w:t xml:space="preserve">FOREIGN MERCHANDISE TRADE TURNOVER FOR 2018 </w:t>
        </w:r>
        <w:r w:rsidR="00B33C6E">
          <w:rPr>
            <w:rStyle w:val="af0"/>
          </w:rPr>
          <w:t>AND</w:t>
        </w:r>
        <w:r w:rsidR="00222529" w:rsidRPr="00222529">
          <w:rPr>
            <w:rStyle w:val="af0"/>
          </w:rPr>
          <w:t xml:space="preserve"> 2020.</w:t>
        </w:r>
        <w:r w:rsidR="00222529" w:rsidRPr="00222529">
          <w:rPr>
            <w:webHidden/>
          </w:rPr>
          <w:tab/>
        </w:r>
        <w:r w:rsidR="00222529" w:rsidRPr="00222529">
          <w:rPr>
            <w:webHidden/>
          </w:rPr>
          <w:fldChar w:fldCharType="begin"/>
        </w:r>
        <w:r w:rsidR="00222529" w:rsidRPr="00222529">
          <w:rPr>
            <w:webHidden/>
          </w:rPr>
          <w:instrText xml:space="preserve"> PAGEREF _Toc67050803 \h </w:instrText>
        </w:r>
        <w:r w:rsidR="00222529" w:rsidRPr="00222529">
          <w:rPr>
            <w:webHidden/>
          </w:rPr>
        </w:r>
        <w:r w:rsidR="00222529" w:rsidRPr="00222529">
          <w:rPr>
            <w:webHidden/>
          </w:rPr>
          <w:fldChar w:fldCharType="separate"/>
        </w:r>
        <w:r w:rsidR="007D5B72">
          <w:rPr>
            <w:webHidden/>
          </w:rPr>
          <w:t>45</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804" w:history="1">
        <w:r w:rsidR="00222529" w:rsidRPr="00222529">
          <w:rPr>
            <w:rStyle w:val="af0"/>
          </w:rPr>
          <w:t>STRUCTURE OF MERCHANDISE EXPORTS AND IMPORTS FOR 201</w:t>
        </w:r>
        <w:r w:rsidR="00222529" w:rsidRPr="00222529">
          <w:rPr>
            <w:rStyle w:val="af0"/>
            <w:lang w:val="uz-Cyrl-UZ"/>
          </w:rPr>
          <w:t>8</w:t>
        </w:r>
        <w:r w:rsidR="00222529" w:rsidRPr="00222529">
          <w:rPr>
            <w:rStyle w:val="af0"/>
          </w:rPr>
          <w:t xml:space="preserve"> </w:t>
        </w:r>
        <w:r w:rsidR="00B33C6E">
          <w:rPr>
            <w:rStyle w:val="af0"/>
          </w:rPr>
          <w:t>AND</w:t>
        </w:r>
        <w:r w:rsidR="00222529" w:rsidRPr="00222529">
          <w:rPr>
            <w:rStyle w:val="af0"/>
          </w:rPr>
          <w:t xml:space="preserve"> 20</w:t>
        </w:r>
        <w:r w:rsidR="00222529" w:rsidRPr="00222529">
          <w:rPr>
            <w:rStyle w:val="af0"/>
            <w:lang w:val="uz-Cyrl-UZ"/>
          </w:rPr>
          <w:t>20</w:t>
        </w:r>
        <w:r w:rsidR="00222529" w:rsidRPr="00222529">
          <w:rPr>
            <w:webHidden/>
          </w:rPr>
          <w:tab/>
        </w:r>
        <w:r w:rsidR="00222529" w:rsidRPr="00222529">
          <w:rPr>
            <w:webHidden/>
          </w:rPr>
          <w:fldChar w:fldCharType="begin"/>
        </w:r>
        <w:r w:rsidR="00222529" w:rsidRPr="00222529">
          <w:rPr>
            <w:webHidden/>
          </w:rPr>
          <w:instrText xml:space="preserve"> PAGEREF _Toc67050804 \h </w:instrText>
        </w:r>
        <w:r w:rsidR="00222529" w:rsidRPr="00222529">
          <w:rPr>
            <w:webHidden/>
          </w:rPr>
        </w:r>
        <w:r w:rsidR="00222529" w:rsidRPr="00222529">
          <w:rPr>
            <w:webHidden/>
          </w:rPr>
          <w:fldChar w:fldCharType="separate"/>
        </w:r>
        <w:r w:rsidR="007D5B72">
          <w:rPr>
            <w:webHidden/>
          </w:rPr>
          <w:t>46</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805" w:history="1">
        <w:r w:rsidR="00222529" w:rsidRPr="00222529">
          <w:rPr>
            <w:rStyle w:val="af0"/>
          </w:rPr>
          <w:t xml:space="preserve">EXPORTED GOODS WITH HIGH COEFFICIENT OF PRODUCT CONCENTRATION FOR 2018 </w:t>
        </w:r>
        <w:r w:rsidR="00B33C6E">
          <w:rPr>
            <w:rStyle w:val="af0"/>
          </w:rPr>
          <w:t>AND</w:t>
        </w:r>
        <w:r w:rsidR="00222529" w:rsidRPr="00222529">
          <w:rPr>
            <w:rStyle w:val="af0"/>
          </w:rPr>
          <w:t xml:space="preserve"> 2020</w:t>
        </w:r>
        <w:r w:rsidR="00222529" w:rsidRPr="00222529">
          <w:rPr>
            <w:webHidden/>
          </w:rPr>
          <w:tab/>
        </w:r>
        <w:r w:rsidR="00222529" w:rsidRPr="00222529">
          <w:rPr>
            <w:webHidden/>
          </w:rPr>
          <w:fldChar w:fldCharType="begin"/>
        </w:r>
        <w:r w:rsidR="00222529" w:rsidRPr="00222529">
          <w:rPr>
            <w:webHidden/>
          </w:rPr>
          <w:instrText xml:space="preserve"> PAGEREF _Toc67050805 \h </w:instrText>
        </w:r>
        <w:r w:rsidR="00222529" w:rsidRPr="00222529">
          <w:rPr>
            <w:webHidden/>
          </w:rPr>
        </w:r>
        <w:r w:rsidR="00222529" w:rsidRPr="00222529">
          <w:rPr>
            <w:webHidden/>
          </w:rPr>
          <w:fldChar w:fldCharType="separate"/>
        </w:r>
        <w:r w:rsidR="007D5B72">
          <w:rPr>
            <w:webHidden/>
          </w:rPr>
          <w:t>47</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806" w:history="1">
        <w:r w:rsidR="00222529" w:rsidRPr="00222529">
          <w:rPr>
            <w:rStyle w:val="af0"/>
          </w:rPr>
          <w:t>IMPORTED GOODS WITH HIGH COEFFICIENT OF PRODUCT CONCENTRATION  FOR 2018</w:t>
        </w:r>
        <w:r w:rsidR="00B33C6E">
          <w:rPr>
            <w:rStyle w:val="af0"/>
          </w:rPr>
          <w:t xml:space="preserve"> AND </w:t>
        </w:r>
        <w:r w:rsidR="00222529" w:rsidRPr="00222529">
          <w:rPr>
            <w:rStyle w:val="af0"/>
          </w:rPr>
          <w:t>2020</w:t>
        </w:r>
        <w:r w:rsidR="00222529" w:rsidRPr="00222529">
          <w:rPr>
            <w:webHidden/>
          </w:rPr>
          <w:tab/>
        </w:r>
        <w:r w:rsidR="00222529" w:rsidRPr="00222529">
          <w:rPr>
            <w:webHidden/>
          </w:rPr>
          <w:fldChar w:fldCharType="begin"/>
        </w:r>
        <w:r w:rsidR="00222529" w:rsidRPr="00222529">
          <w:rPr>
            <w:webHidden/>
          </w:rPr>
          <w:instrText xml:space="preserve"> PAGEREF _Toc67050806 \h </w:instrText>
        </w:r>
        <w:r w:rsidR="00222529" w:rsidRPr="00222529">
          <w:rPr>
            <w:webHidden/>
          </w:rPr>
        </w:r>
        <w:r w:rsidR="00222529" w:rsidRPr="00222529">
          <w:rPr>
            <w:webHidden/>
          </w:rPr>
          <w:fldChar w:fldCharType="separate"/>
        </w:r>
        <w:r w:rsidR="007D5B72">
          <w:rPr>
            <w:webHidden/>
          </w:rPr>
          <w:t>50</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807" w:history="1">
        <w:r w:rsidR="00222529" w:rsidRPr="00222529">
          <w:rPr>
            <w:rStyle w:val="af0"/>
          </w:rPr>
          <w:t>REGIONAL STRUCTURE OF INTERNATIONAL MERCHANDISE TRADE FOR 2018</w:t>
        </w:r>
        <w:r w:rsidR="00B33C6E">
          <w:rPr>
            <w:rStyle w:val="af0"/>
          </w:rPr>
          <w:t xml:space="preserve"> AND</w:t>
        </w:r>
        <w:r w:rsidR="00222529" w:rsidRPr="00222529">
          <w:rPr>
            <w:rStyle w:val="af0"/>
          </w:rPr>
          <w:t xml:space="preserve"> 2020</w:t>
        </w:r>
        <w:r w:rsidR="00222529" w:rsidRPr="00222529">
          <w:rPr>
            <w:webHidden/>
          </w:rPr>
          <w:tab/>
        </w:r>
        <w:r w:rsidR="00222529" w:rsidRPr="00222529">
          <w:rPr>
            <w:webHidden/>
          </w:rPr>
          <w:fldChar w:fldCharType="begin"/>
        </w:r>
        <w:r w:rsidR="00222529" w:rsidRPr="00222529">
          <w:rPr>
            <w:webHidden/>
          </w:rPr>
          <w:instrText xml:space="preserve"> PAGEREF _Toc67050807 \h </w:instrText>
        </w:r>
        <w:r w:rsidR="00222529" w:rsidRPr="00222529">
          <w:rPr>
            <w:webHidden/>
          </w:rPr>
        </w:r>
        <w:r w:rsidR="00222529" w:rsidRPr="00222529">
          <w:rPr>
            <w:webHidden/>
          </w:rPr>
          <w:fldChar w:fldCharType="separate"/>
        </w:r>
        <w:r w:rsidR="007D5B72">
          <w:rPr>
            <w:webHidden/>
          </w:rPr>
          <w:t>55</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808" w:history="1">
        <w:r w:rsidR="00222529" w:rsidRPr="00222529">
          <w:rPr>
            <w:rStyle w:val="af0"/>
          </w:rPr>
          <w:t xml:space="preserve">EXTENDED CLASSIFICATION OF BALANCE OF INTERNATIONAL SERVICES FOR 2018 </w:t>
        </w:r>
        <w:r w:rsidR="00B33C6E">
          <w:rPr>
            <w:rStyle w:val="af0"/>
          </w:rPr>
          <w:t>AND</w:t>
        </w:r>
        <w:r w:rsidR="00222529" w:rsidRPr="00222529">
          <w:rPr>
            <w:rStyle w:val="af0"/>
          </w:rPr>
          <w:t xml:space="preserve"> 2020</w:t>
        </w:r>
        <w:r w:rsidR="00222529" w:rsidRPr="00222529">
          <w:rPr>
            <w:webHidden/>
          </w:rPr>
          <w:tab/>
        </w:r>
        <w:r w:rsidR="00222529" w:rsidRPr="00222529">
          <w:rPr>
            <w:webHidden/>
          </w:rPr>
          <w:fldChar w:fldCharType="begin"/>
        </w:r>
        <w:r w:rsidR="00222529" w:rsidRPr="00222529">
          <w:rPr>
            <w:webHidden/>
          </w:rPr>
          <w:instrText xml:space="preserve"> PAGEREF _Toc67050808 \h </w:instrText>
        </w:r>
        <w:r w:rsidR="00222529" w:rsidRPr="00222529">
          <w:rPr>
            <w:webHidden/>
          </w:rPr>
        </w:r>
        <w:r w:rsidR="00222529" w:rsidRPr="00222529">
          <w:rPr>
            <w:webHidden/>
          </w:rPr>
          <w:fldChar w:fldCharType="separate"/>
        </w:r>
        <w:r w:rsidR="007D5B72">
          <w:rPr>
            <w:webHidden/>
          </w:rPr>
          <w:t>59</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809" w:history="1">
        <w:r w:rsidR="00222529" w:rsidRPr="00222529">
          <w:rPr>
            <w:rStyle w:val="af0"/>
          </w:rPr>
          <w:t xml:space="preserve">PERSONAL TRANSFERS FOR 2018 </w:t>
        </w:r>
        <w:r w:rsidR="00B33C6E">
          <w:rPr>
            <w:rStyle w:val="af0"/>
          </w:rPr>
          <w:t>AND</w:t>
        </w:r>
        <w:r w:rsidR="00222529" w:rsidRPr="00222529">
          <w:rPr>
            <w:rStyle w:val="af0"/>
          </w:rPr>
          <w:t xml:space="preserve"> 2020</w:t>
        </w:r>
        <w:r w:rsidR="00222529" w:rsidRPr="00222529">
          <w:rPr>
            <w:webHidden/>
          </w:rPr>
          <w:tab/>
        </w:r>
        <w:r w:rsidR="00222529" w:rsidRPr="00222529">
          <w:rPr>
            <w:webHidden/>
          </w:rPr>
          <w:fldChar w:fldCharType="begin"/>
        </w:r>
        <w:r w:rsidR="00222529" w:rsidRPr="00222529">
          <w:rPr>
            <w:webHidden/>
          </w:rPr>
          <w:instrText xml:space="preserve"> PAGEREF _Toc67050809 \h </w:instrText>
        </w:r>
        <w:r w:rsidR="00222529" w:rsidRPr="00222529">
          <w:rPr>
            <w:webHidden/>
          </w:rPr>
        </w:r>
        <w:r w:rsidR="00222529" w:rsidRPr="00222529">
          <w:rPr>
            <w:webHidden/>
          </w:rPr>
          <w:fldChar w:fldCharType="separate"/>
        </w:r>
        <w:r w:rsidR="007D5B72">
          <w:rPr>
            <w:webHidden/>
          </w:rPr>
          <w:t>64</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810" w:history="1">
        <w:r w:rsidR="00222529" w:rsidRPr="00222529">
          <w:rPr>
            <w:rStyle w:val="af0"/>
          </w:rPr>
          <w:t xml:space="preserve">BALANCE OF PRIMARY INCOME FOR 2018 </w:t>
        </w:r>
        <w:r w:rsidR="00B33C6E">
          <w:rPr>
            <w:rStyle w:val="af0"/>
          </w:rPr>
          <w:t>AND</w:t>
        </w:r>
        <w:r w:rsidR="00222529" w:rsidRPr="00222529">
          <w:rPr>
            <w:rStyle w:val="af0"/>
          </w:rPr>
          <w:t xml:space="preserve"> 2020</w:t>
        </w:r>
        <w:r w:rsidR="00222529" w:rsidRPr="00222529">
          <w:rPr>
            <w:webHidden/>
          </w:rPr>
          <w:tab/>
        </w:r>
        <w:r w:rsidR="00222529" w:rsidRPr="00222529">
          <w:rPr>
            <w:webHidden/>
          </w:rPr>
          <w:fldChar w:fldCharType="begin"/>
        </w:r>
        <w:r w:rsidR="00222529" w:rsidRPr="00222529">
          <w:rPr>
            <w:webHidden/>
          </w:rPr>
          <w:instrText xml:space="preserve"> PAGEREF _Toc67050810 \h </w:instrText>
        </w:r>
        <w:r w:rsidR="00222529" w:rsidRPr="00222529">
          <w:rPr>
            <w:webHidden/>
          </w:rPr>
        </w:r>
        <w:r w:rsidR="00222529" w:rsidRPr="00222529">
          <w:rPr>
            <w:webHidden/>
          </w:rPr>
          <w:fldChar w:fldCharType="separate"/>
        </w:r>
        <w:r w:rsidR="007D5B72">
          <w:rPr>
            <w:webHidden/>
          </w:rPr>
          <w:t>66</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811" w:history="1">
        <w:r w:rsidR="00222529" w:rsidRPr="00222529">
          <w:rPr>
            <w:rStyle w:val="af0"/>
          </w:rPr>
          <w:t>BALANCE OF SECONDARY INCOME FOR 2018</w:t>
        </w:r>
        <w:r w:rsidR="00B33C6E">
          <w:rPr>
            <w:rStyle w:val="af0"/>
          </w:rPr>
          <w:t xml:space="preserve"> AND </w:t>
        </w:r>
        <w:r w:rsidR="00222529" w:rsidRPr="00222529">
          <w:rPr>
            <w:rStyle w:val="af0"/>
          </w:rPr>
          <w:t>2020</w:t>
        </w:r>
        <w:r w:rsidR="00222529" w:rsidRPr="00222529">
          <w:rPr>
            <w:webHidden/>
          </w:rPr>
          <w:tab/>
        </w:r>
        <w:r w:rsidR="00222529" w:rsidRPr="00222529">
          <w:rPr>
            <w:webHidden/>
          </w:rPr>
          <w:fldChar w:fldCharType="begin"/>
        </w:r>
        <w:r w:rsidR="00222529" w:rsidRPr="00222529">
          <w:rPr>
            <w:webHidden/>
          </w:rPr>
          <w:instrText xml:space="preserve"> PAGEREF _Toc67050811 \h </w:instrText>
        </w:r>
        <w:r w:rsidR="00222529" w:rsidRPr="00222529">
          <w:rPr>
            <w:webHidden/>
          </w:rPr>
        </w:r>
        <w:r w:rsidR="00222529" w:rsidRPr="00222529">
          <w:rPr>
            <w:webHidden/>
          </w:rPr>
          <w:fldChar w:fldCharType="separate"/>
        </w:r>
        <w:r w:rsidR="007D5B72">
          <w:rPr>
            <w:webHidden/>
          </w:rPr>
          <w:t>67</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812" w:history="1">
        <w:r w:rsidR="00222529" w:rsidRPr="00222529">
          <w:rPr>
            <w:rStyle w:val="af0"/>
          </w:rPr>
          <w:t>NET INFLOWS OF FOREIGN DIRECT INVESTMENT FOR 2019</w:t>
        </w:r>
        <w:r w:rsidR="00B33C6E">
          <w:rPr>
            <w:rStyle w:val="af0"/>
          </w:rPr>
          <w:t xml:space="preserve"> AND </w:t>
        </w:r>
        <w:r w:rsidR="00222529" w:rsidRPr="00222529">
          <w:rPr>
            <w:rStyle w:val="af0"/>
          </w:rPr>
          <w:t>2020*</w:t>
        </w:r>
        <w:r w:rsidR="00222529" w:rsidRPr="00222529">
          <w:rPr>
            <w:webHidden/>
          </w:rPr>
          <w:tab/>
        </w:r>
        <w:r w:rsidR="00222529" w:rsidRPr="00222529">
          <w:rPr>
            <w:webHidden/>
          </w:rPr>
          <w:fldChar w:fldCharType="begin"/>
        </w:r>
        <w:r w:rsidR="00222529" w:rsidRPr="00222529">
          <w:rPr>
            <w:webHidden/>
          </w:rPr>
          <w:instrText xml:space="preserve"> PAGEREF _Toc67050812 \h </w:instrText>
        </w:r>
        <w:r w:rsidR="00222529" w:rsidRPr="00222529">
          <w:rPr>
            <w:webHidden/>
          </w:rPr>
        </w:r>
        <w:r w:rsidR="00222529" w:rsidRPr="00222529">
          <w:rPr>
            <w:webHidden/>
          </w:rPr>
          <w:fldChar w:fldCharType="separate"/>
        </w:r>
        <w:r w:rsidR="007D5B72">
          <w:rPr>
            <w:webHidden/>
          </w:rPr>
          <w:t>68</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813" w:history="1">
        <w:r w:rsidR="00222529" w:rsidRPr="00222529">
          <w:rPr>
            <w:rStyle w:val="af0"/>
          </w:rPr>
          <w:t>INTERNATIONAL INVESTMENT POSITION FOR 2020</w:t>
        </w:r>
        <w:r w:rsidR="00222529" w:rsidRPr="00222529">
          <w:rPr>
            <w:webHidden/>
          </w:rPr>
          <w:tab/>
        </w:r>
        <w:r w:rsidR="00222529" w:rsidRPr="00222529">
          <w:rPr>
            <w:webHidden/>
          </w:rPr>
          <w:fldChar w:fldCharType="begin"/>
        </w:r>
        <w:r w:rsidR="00222529" w:rsidRPr="00222529">
          <w:rPr>
            <w:webHidden/>
          </w:rPr>
          <w:instrText xml:space="preserve"> PAGEREF _Toc67050813 \h </w:instrText>
        </w:r>
        <w:r w:rsidR="00222529" w:rsidRPr="00222529">
          <w:rPr>
            <w:webHidden/>
          </w:rPr>
        </w:r>
        <w:r w:rsidR="00222529" w:rsidRPr="00222529">
          <w:rPr>
            <w:webHidden/>
          </w:rPr>
          <w:fldChar w:fldCharType="separate"/>
        </w:r>
        <w:r w:rsidR="007D5B72">
          <w:rPr>
            <w:webHidden/>
          </w:rPr>
          <w:t>69</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814" w:history="1">
        <w:r w:rsidR="00222529" w:rsidRPr="00222529">
          <w:rPr>
            <w:rStyle w:val="af0"/>
          </w:rPr>
          <w:t>INTERNATIONAL INVESTMENT POSITION OF GENERAL GOVERNMENT SECTOR FOR 2020</w:t>
        </w:r>
        <w:r w:rsidR="00222529" w:rsidRPr="00222529">
          <w:rPr>
            <w:webHidden/>
          </w:rPr>
          <w:tab/>
        </w:r>
        <w:r w:rsidR="00222529" w:rsidRPr="00222529">
          <w:rPr>
            <w:webHidden/>
          </w:rPr>
          <w:fldChar w:fldCharType="begin"/>
        </w:r>
        <w:r w:rsidR="00222529" w:rsidRPr="00222529">
          <w:rPr>
            <w:webHidden/>
          </w:rPr>
          <w:instrText xml:space="preserve"> PAGEREF _Toc67050814 \h </w:instrText>
        </w:r>
        <w:r w:rsidR="00222529" w:rsidRPr="00222529">
          <w:rPr>
            <w:webHidden/>
          </w:rPr>
        </w:r>
        <w:r w:rsidR="00222529" w:rsidRPr="00222529">
          <w:rPr>
            <w:webHidden/>
          </w:rPr>
          <w:fldChar w:fldCharType="separate"/>
        </w:r>
        <w:r w:rsidR="007D5B72">
          <w:rPr>
            <w:webHidden/>
          </w:rPr>
          <w:t>70</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815" w:history="1">
        <w:r w:rsidR="00222529" w:rsidRPr="00222529">
          <w:rPr>
            <w:rStyle w:val="af0"/>
          </w:rPr>
          <w:t>INTERNATIONAL INVESTMENT POSITION OF BANKING SECTOR FOR 2020</w:t>
        </w:r>
        <w:r w:rsidR="00222529" w:rsidRPr="00222529">
          <w:rPr>
            <w:webHidden/>
          </w:rPr>
          <w:tab/>
        </w:r>
        <w:r w:rsidR="00222529" w:rsidRPr="00222529">
          <w:rPr>
            <w:webHidden/>
          </w:rPr>
          <w:fldChar w:fldCharType="begin"/>
        </w:r>
        <w:r w:rsidR="00222529" w:rsidRPr="00222529">
          <w:rPr>
            <w:webHidden/>
          </w:rPr>
          <w:instrText xml:space="preserve"> PAGEREF _Toc67050815 \h </w:instrText>
        </w:r>
        <w:r w:rsidR="00222529" w:rsidRPr="00222529">
          <w:rPr>
            <w:webHidden/>
          </w:rPr>
        </w:r>
        <w:r w:rsidR="00222529" w:rsidRPr="00222529">
          <w:rPr>
            <w:webHidden/>
          </w:rPr>
          <w:fldChar w:fldCharType="separate"/>
        </w:r>
        <w:r w:rsidR="007D5B72">
          <w:rPr>
            <w:webHidden/>
          </w:rPr>
          <w:t>71</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816" w:history="1">
        <w:r w:rsidR="00222529" w:rsidRPr="00222529">
          <w:rPr>
            <w:rStyle w:val="af0"/>
          </w:rPr>
          <w:t>INTERNATIONAL INVESTMENT POSITION OF OTHER SECTORS FOR 2020</w:t>
        </w:r>
        <w:r w:rsidR="00222529" w:rsidRPr="00222529">
          <w:rPr>
            <w:webHidden/>
          </w:rPr>
          <w:tab/>
        </w:r>
        <w:r w:rsidR="00222529" w:rsidRPr="00222529">
          <w:rPr>
            <w:webHidden/>
          </w:rPr>
          <w:fldChar w:fldCharType="begin"/>
        </w:r>
        <w:r w:rsidR="00222529" w:rsidRPr="00222529">
          <w:rPr>
            <w:webHidden/>
          </w:rPr>
          <w:instrText xml:space="preserve"> PAGEREF _Toc67050816 \h </w:instrText>
        </w:r>
        <w:r w:rsidR="00222529" w:rsidRPr="00222529">
          <w:rPr>
            <w:webHidden/>
          </w:rPr>
        </w:r>
        <w:r w:rsidR="00222529" w:rsidRPr="00222529">
          <w:rPr>
            <w:webHidden/>
          </w:rPr>
          <w:fldChar w:fldCharType="separate"/>
        </w:r>
        <w:r w:rsidR="007D5B72">
          <w:rPr>
            <w:webHidden/>
          </w:rPr>
          <w:t>72</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817" w:history="1">
        <w:r w:rsidR="00222529" w:rsidRPr="00222529">
          <w:rPr>
            <w:rStyle w:val="af0"/>
          </w:rPr>
          <w:t>INFORMATION ON RECEIPTS AND PAYMENTS OF PRIVATE EXTERNAL DEBT FOR 2020</w:t>
        </w:r>
        <w:r w:rsidR="00222529" w:rsidRPr="00222529">
          <w:rPr>
            <w:webHidden/>
          </w:rPr>
          <w:tab/>
        </w:r>
        <w:r w:rsidR="00222529" w:rsidRPr="00222529">
          <w:rPr>
            <w:webHidden/>
          </w:rPr>
          <w:fldChar w:fldCharType="begin"/>
        </w:r>
        <w:r w:rsidR="00222529" w:rsidRPr="00222529">
          <w:rPr>
            <w:webHidden/>
          </w:rPr>
          <w:instrText xml:space="preserve"> PAGEREF _Toc67050817 \h </w:instrText>
        </w:r>
        <w:r w:rsidR="00222529" w:rsidRPr="00222529">
          <w:rPr>
            <w:webHidden/>
          </w:rPr>
        </w:r>
        <w:r w:rsidR="00222529" w:rsidRPr="00222529">
          <w:rPr>
            <w:webHidden/>
          </w:rPr>
          <w:fldChar w:fldCharType="separate"/>
        </w:r>
        <w:r w:rsidR="007D5B72">
          <w:rPr>
            <w:webHidden/>
          </w:rPr>
          <w:t>73</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818" w:history="1">
        <w:r w:rsidR="00222529" w:rsidRPr="00222529">
          <w:rPr>
            <w:rStyle w:val="af0"/>
          </w:rPr>
          <w:t>FORECAST OF FUTURE PAYMENTS OF PRINCIPAL DEBT AND INTEREST</w:t>
        </w:r>
        <w:r w:rsidR="00222529" w:rsidRPr="00222529">
          <w:rPr>
            <w:webHidden/>
          </w:rPr>
          <w:tab/>
        </w:r>
        <w:r w:rsidR="00222529" w:rsidRPr="00222529">
          <w:rPr>
            <w:webHidden/>
          </w:rPr>
          <w:fldChar w:fldCharType="begin"/>
        </w:r>
        <w:r w:rsidR="00222529" w:rsidRPr="00222529">
          <w:rPr>
            <w:webHidden/>
          </w:rPr>
          <w:instrText xml:space="preserve"> PAGEREF _Toc67050818 \h </w:instrText>
        </w:r>
        <w:r w:rsidR="00222529" w:rsidRPr="00222529">
          <w:rPr>
            <w:webHidden/>
          </w:rPr>
        </w:r>
        <w:r w:rsidR="00222529" w:rsidRPr="00222529">
          <w:rPr>
            <w:webHidden/>
          </w:rPr>
          <w:fldChar w:fldCharType="separate"/>
        </w:r>
        <w:r w:rsidR="007D5B72">
          <w:rPr>
            <w:webHidden/>
          </w:rPr>
          <w:t>74</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819" w:history="1">
        <w:r w:rsidR="00222529" w:rsidRPr="00222529">
          <w:rPr>
            <w:rStyle w:val="af0"/>
          </w:rPr>
          <w:t>METHODOLOGICAL COMMENTS</w:t>
        </w:r>
        <w:r w:rsidR="00222529" w:rsidRPr="00222529">
          <w:rPr>
            <w:webHidden/>
          </w:rPr>
          <w:tab/>
        </w:r>
        <w:r w:rsidR="00222529" w:rsidRPr="00222529">
          <w:rPr>
            <w:webHidden/>
          </w:rPr>
          <w:fldChar w:fldCharType="begin"/>
        </w:r>
        <w:r w:rsidR="00222529" w:rsidRPr="00222529">
          <w:rPr>
            <w:webHidden/>
          </w:rPr>
          <w:instrText xml:space="preserve"> PAGEREF _Toc67050819 \h </w:instrText>
        </w:r>
        <w:r w:rsidR="00222529" w:rsidRPr="00222529">
          <w:rPr>
            <w:webHidden/>
          </w:rPr>
        </w:r>
        <w:r w:rsidR="00222529" w:rsidRPr="00222529">
          <w:rPr>
            <w:webHidden/>
          </w:rPr>
          <w:fldChar w:fldCharType="separate"/>
        </w:r>
        <w:r w:rsidR="007D5B72">
          <w:rPr>
            <w:webHidden/>
          </w:rPr>
          <w:t>81</w:t>
        </w:r>
        <w:r w:rsidR="00222529" w:rsidRPr="00222529">
          <w:rPr>
            <w:webHidden/>
          </w:rPr>
          <w:fldChar w:fldCharType="end"/>
        </w:r>
      </w:hyperlink>
    </w:p>
    <w:p w:rsidR="00222529" w:rsidRPr="00222529" w:rsidRDefault="001B2CDA">
      <w:pPr>
        <w:pStyle w:val="11"/>
        <w:rPr>
          <w:rFonts w:asciiTheme="minorHAnsi" w:eastAsiaTheme="minorEastAsia" w:hAnsiTheme="minorHAnsi" w:cstheme="minorBidi"/>
          <w:lang w:val="ru-RU"/>
        </w:rPr>
      </w:pPr>
      <w:hyperlink w:anchor="_Toc67050820" w:history="1">
        <w:r w:rsidR="00222529" w:rsidRPr="00222529">
          <w:rPr>
            <w:rStyle w:val="af0"/>
          </w:rPr>
          <w:t>GLOSSARY OF TERMS</w:t>
        </w:r>
        <w:r w:rsidR="00222529" w:rsidRPr="00222529">
          <w:rPr>
            <w:webHidden/>
          </w:rPr>
          <w:tab/>
        </w:r>
        <w:r w:rsidR="00222529" w:rsidRPr="00222529">
          <w:rPr>
            <w:webHidden/>
          </w:rPr>
          <w:fldChar w:fldCharType="begin"/>
        </w:r>
        <w:r w:rsidR="00222529" w:rsidRPr="00222529">
          <w:rPr>
            <w:webHidden/>
          </w:rPr>
          <w:instrText xml:space="preserve"> PAGEREF _Toc67050820 \h </w:instrText>
        </w:r>
        <w:r w:rsidR="00222529" w:rsidRPr="00222529">
          <w:rPr>
            <w:webHidden/>
          </w:rPr>
        </w:r>
        <w:r w:rsidR="00222529" w:rsidRPr="00222529">
          <w:rPr>
            <w:webHidden/>
          </w:rPr>
          <w:fldChar w:fldCharType="separate"/>
        </w:r>
        <w:r w:rsidR="007D5B72">
          <w:rPr>
            <w:webHidden/>
          </w:rPr>
          <w:t>88</w:t>
        </w:r>
        <w:r w:rsidR="00222529" w:rsidRPr="00222529">
          <w:rPr>
            <w:webHidden/>
          </w:rPr>
          <w:fldChar w:fldCharType="end"/>
        </w:r>
      </w:hyperlink>
    </w:p>
    <w:p w:rsidR="00DA5BF2" w:rsidRDefault="002F409C" w:rsidP="00DA5BF2">
      <w:pPr>
        <w:pStyle w:val="11"/>
        <w:rPr>
          <w:sz w:val="23"/>
          <w:szCs w:val="23"/>
        </w:rPr>
      </w:pPr>
      <w:r w:rsidRPr="00222529">
        <w:rPr>
          <w:highlight w:val="yellow"/>
        </w:rPr>
        <w:fldChar w:fldCharType="end"/>
      </w:r>
    </w:p>
    <w:p w:rsidR="00C125F4" w:rsidRDefault="00C125F4" w:rsidP="00DA5BF2">
      <w:pPr>
        <w:pStyle w:val="11"/>
        <w:rPr>
          <w:rFonts w:ascii="Times New Roman" w:hAnsi="Times New Roman"/>
          <w:color w:val="000000"/>
          <w:sz w:val="28"/>
          <w:szCs w:val="28"/>
        </w:rPr>
      </w:pPr>
      <w:r>
        <w:rPr>
          <w:rFonts w:ascii="Times New Roman" w:hAnsi="Times New Roman"/>
          <w:color w:val="000000"/>
          <w:sz w:val="28"/>
          <w:szCs w:val="28"/>
        </w:rPr>
        <w:br w:type="page"/>
      </w:r>
    </w:p>
    <w:p w:rsidR="006F0FAC" w:rsidRPr="003C6314" w:rsidRDefault="006F0FAC" w:rsidP="0078342D">
      <w:pPr>
        <w:spacing w:before="60" w:after="60"/>
        <w:rPr>
          <w:rFonts w:ascii="Times New Roman" w:hAnsi="Times New Roman"/>
          <w:color w:val="000000"/>
          <w:sz w:val="20"/>
          <w:szCs w:val="20"/>
          <w:lang w:val="en-US"/>
        </w:rPr>
      </w:pPr>
    </w:p>
    <w:p w:rsidR="006F0FAC" w:rsidRPr="00147844" w:rsidRDefault="00C125F4" w:rsidP="003C6314">
      <w:pPr>
        <w:pStyle w:val="1"/>
        <w:spacing w:before="0" w:after="360"/>
        <w:ind w:left="0" w:firstLine="709"/>
      </w:pPr>
      <w:bookmarkStart w:id="0" w:name="_Toc67050784"/>
      <w:r w:rsidRPr="00147844">
        <w:t>ANNOTATION</w:t>
      </w:r>
      <w:bookmarkEnd w:id="0"/>
      <w:r w:rsidRPr="00147844">
        <w:t xml:space="preserve"> </w:t>
      </w:r>
    </w:p>
    <w:p w:rsidR="00F42CD9" w:rsidRPr="00147844" w:rsidRDefault="00F42CD9" w:rsidP="00F42CD9">
      <w:pPr>
        <w:spacing w:before="120" w:line="288" w:lineRule="auto"/>
        <w:ind w:firstLine="709"/>
        <w:jc w:val="both"/>
        <w:rPr>
          <w:sz w:val="26"/>
          <w:szCs w:val="26"/>
          <w:lang w:val="uz-Cyrl-UZ"/>
        </w:rPr>
      </w:pPr>
      <w:r w:rsidRPr="00141EEC">
        <w:rPr>
          <w:sz w:val="26"/>
          <w:szCs w:val="26"/>
          <w:lang w:val="uz-Cyrl-UZ"/>
        </w:rPr>
        <w:t xml:space="preserve">The main factors that influenced the formation of the balance of payments indicators of the Republic of Uzbekistan </w:t>
      </w:r>
      <w:r w:rsidR="001B2CDA">
        <w:rPr>
          <w:sz w:val="26"/>
          <w:szCs w:val="26"/>
          <w:lang w:val="en-US"/>
        </w:rPr>
        <w:t>in</w:t>
      </w:r>
      <w:r w:rsidR="003E198A" w:rsidRPr="00141EEC">
        <w:rPr>
          <w:sz w:val="26"/>
          <w:szCs w:val="26"/>
          <w:lang w:val="en-US"/>
        </w:rPr>
        <w:t xml:space="preserve"> </w:t>
      </w:r>
      <w:r w:rsidR="00473063" w:rsidRPr="00141EEC">
        <w:rPr>
          <w:rFonts w:cs="Calibri"/>
          <w:sz w:val="26"/>
          <w:szCs w:val="26"/>
          <w:lang w:val="en-US"/>
        </w:rPr>
        <w:t>2020</w:t>
      </w:r>
      <w:r w:rsidRPr="00141EEC">
        <w:rPr>
          <w:sz w:val="26"/>
          <w:szCs w:val="26"/>
          <w:lang w:val="uz-Cyrl-UZ"/>
        </w:rPr>
        <w:t xml:space="preserve"> were changes in the internal and external conditions associated with the </w:t>
      </w:r>
      <w:r w:rsidR="00473063" w:rsidRPr="00141EEC">
        <w:rPr>
          <w:sz w:val="26"/>
          <w:szCs w:val="26"/>
          <w:lang w:val="en-US"/>
        </w:rPr>
        <w:t>ongoing</w:t>
      </w:r>
      <w:r w:rsidR="004E12E7">
        <w:rPr>
          <w:sz w:val="26"/>
          <w:szCs w:val="26"/>
          <w:lang w:val="uz-Cyrl-UZ"/>
        </w:rPr>
        <w:t xml:space="preserve"> coron</w:t>
      </w:r>
      <w:r w:rsidR="001B2CDA">
        <w:rPr>
          <w:sz w:val="26"/>
          <w:szCs w:val="26"/>
          <w:lang w:val="en-US"/>
        </w:rPr>
        <w:t>a</w:t>
      </w:r>
      <w:r w:rsidR="004E12E7">
        <w:rPr>
          <w:sz w:val="26"/>
          <w:szCs w:val="26"/>
          <w:lang w:val="uz-Cyrl-UZ"/>
        </w:rPr>
        <w:t>crisis</w:t>
      </w:r>
      <w:r w:rsidRPr="00141EEC">
        <w:rPr>
          <w:sz w:val="26"/>
          <w:szCs w:val="26"/>
          <w:lang w:val="uz-Cyrl-UZ"/>
        </w:rPr>
        <w:t xml:space="preserve">, which led to a reduction in foreign trade, a slowdown in global business activity and </w:t>
      </w:r>
      <w:r w:rsidR="005724D8" w:rsidRPr="00141EEC">
        <w:rPr>
          <w:sz w:val="26"/>
          <w:szCs w:val="26"/>
          <w:lang w:val="en-US"/>
        </w:rPr>
        <w:t xml:space="preserve">an </w:t>
      </w:r>
      <w:r w:rsidR="005724D8" w:rsidRPr="00141EEC">
        <w:rPr>
          <w:sz w:val="26"/>
          <w:szCs w:val="26"/>
          <w:lang w:val="uz-Cyrl-UZ"/>
        </w:rPr>
        <w:t>increase in</w:t>
      </w:r>
      <w:r w:rsidRPr="00141EEC">
        <w:rPr>
          <w:sz w:val="26"/>
          <w:szCs w:val="26"/>
          <w:lang w:val="uz-Cyrl-UZ"/>
        </w:rPr>
        <w:t xml:space="preserve"> financial risks.</w:t>
      </w:r>
    </w:p>
    <w:p w:rsidR="00F42CD9" w:rsidRPr="00147844" w:rsidRDefault="00BC6B9A" w:rsidP="00F42CD9">
      <w:pPr>
        <w:spacing w:before="120" w:line="288" w:lineRule="auto"/>
        <w:ind w:firstLine="709"/>
        <w:jc w:val="both"/>
        <w:rPr>
          <w:sz w:val="26"/>
          <w:szCs w:val="26"/>
          <w:lang w:val="uz-Cyrl-UZ"/>
        </w:rPr>
      </w:pPr>
      <w:r w:rsidRPr="00141EEC">
        <w:rPr>
          <w:sz w:val="26"/>
          <w:szCs w:val="26"/>
          <w:lang w:val="en-US"/>
        </w:rPr>
        <w:t>In addition,</w:t>
      </w:r>
      <w:r w:rsidR="00F42CD9" w:rsidRPr="00141EEC">
        <w:rPr>
          <w:sz w:val="26"/>
          <w:szCs w:val="26"/>
          <w:lang w:val="uz-Cyrl-UZ"/>
        </w:rPr>
        <w:t xml:space="preserve"> taking into account the fact that </w:t>
      </w:r>
      <w:r w:rsidR="001B2CDA">
        <w:rPr>
          <w:sz w:val="26"/>
          <w:szCs w:val="26"/>
          <w:lang w:val="en-US"/>
        </w:rPr>
        <w:t>in</w:t>
      </w:r>
      <w:r w:rsidR="003E198A" w:rsidRPr="00141EEC">
        <w:rPr>
          <w:sz w:val="26"/>
          <w:szCs w:val="26"/>
          <w:lang w:val="en-US"/>
        </w:rPr>
        <w:t xml:space="preserve"> </w:t>
      </w:r>
      <w:r w:rsidR="00F42CD9" w:rsidRPr="00141EEC">
        <w:rPr>
          <w:sz w:val="26"/>
          <w:szCs w:val="26"/>
          <w:lang w:val="uz-Cyrl-UZ"/>
        </w:rPr>
        <w:t xml:space="preserve">2020 </w:t>
      </w:r>
      <w:r w:rsidR="005724D8" w:rsidRPr="00141EEC">
        <w:rPr>
          <w:sz w:val="26"/>
          <w:szCs w:val="26"/>
          <w:lang w:val="en-US"/>
        </w:rPr>
        <w:t>introduction</w:t>
      </w:r>
      <w:r w:rsidR="00F42CD9" w:rsidRPr="00141EEC">
        <w:rPr>
          <w:sz w:val="26"/>
          <w:szCs w:val="26"/>
          <w:lang w:val="uz-Cyrl-UZ"/>
        </w:rPr>
        <w:t xml:space="preserve"> of quarantine measures </w:t>
      </w:r>
      <w:r w:rsidR="001B2CDA">
        <w:rPr>
          <w:sz w:val="26"/>
          <w:szCs w:val="26"/>
          <w:lang w:val="en-US"/>
        </w:rPr>
        <w:t xml:space="preserve">in countries sending money transfers to Uzbekistan </w:t>
      </w:r>
      <w:r w:rsidR="00F42CD9" w:rsidRPr="00141EEC">
        <w:rPr>
          <w:sz w:val="26"/>
          <w:szCs w:val="26"/>
          <w:lang w:val="uz-Cyrl-UZ"/>
        </w:rPr>
        <w:t xml:space="preserve">was </w:t>
      </w:r>
      <w:r w:rsidR="001B2CDA">
        <w:rPr>
          <w:sz w:val="26"/>
          <w:szCs w:val="26"/>
          <w:lang w:val="en-US"/>
        </w:rPr>
        <w:t xml:space="preserve">not nation wide and formalization of cash brought in by individuals </w:t>
      </w:r>
      <w:r w:rsidR="00473063" w:rsidRPr="00141EEC">
        <w:rPr>
          <w:sz w:val="26"/>
          <w:szCs w:val="26"/>
          <w:lang w:val="en-US"/>
        </w:rPr>
        <w:t xml:space="preserve">transfers to residents </w:t>
      </w:r>
      <w:r w:rsidR="00BD4919" w:rsidRPr="00141EEC">
        <w:rPr>
          <w:sz w:val="26"/>
          <w:szCs w:val="26"/>
          <w:lang w:val="en-US"/>
        </w:rPr>
        <w:t xml:space="preserve">remained at the </w:t>
      </w:r>
      <w:r w:rsidR="00473063" w:rsidRPr="00141EEC">
        <w:rPr>
          <w:sz w:val="26"/>
          <w:szCs w:val="26"/>
          <w:lang w:val="en-US"/>
        </w:rPr>
        <w:t>level</w:t>
      </w:r>
      <w:r w:rsidR="00F42CD9" w:rsidRPr="00141EEC">
        <w:rPr>
          <w:sz w:val="26"/>
          <w:szCs w:val="26"/>
          <w:lang w:val="uz-Cyrl-UZ"/>
        </w:rPr>
        <w:t xml:space="preserve"> </w:t>
      </w:r>
      <w:r w:rsidR="00BD4919" w:rsidRPr="00141EEC">
        <w:rPr>
          <w:sz w:val="26"/>
          <w:szCs w:val="26"/>
          <w:lang w:val="en-US"/>
        </w:rPr>
        <w:t>of</w:t>
      </w:r>
      <w:r w:rsidR="00F42CD9" w:rsidRPr="00141EEC">
        <w:rPr>
          <w:sz w:val="26"/>
          <w:szCs w:val="26"/>
          <w:lang w:val="uz-Cyrl-UZ"/>
        </w:rPr>
        <w:t xml:space="preserve"> corresponding period of </w:t>
      </w:r>
      <w:r w:rsidR="006475C7" w:rsidRPr="00141EEC">
        <w:rPr>
          <w:sz w:val="26"/>
          <w:szCs w:val="26"/>
          <w:lang w:val="uz-Cyrl-UZ"/>
        </w:rPr>
        <w:t>20</w:t>
      </w:r>
      <w:r w:rsidR="001B6E9B">
        <w:rPr>
          <w:sz w:val="26"/>
          <w:szCs w:val="26"/>
          <w:lang w:val="en-US"/>
        </w:rPr>
        <w:t>19</w:t>
      </w:r>
      <w:r w:rsidR="00F42CD9" w:rsidRPr="00141EEC">
        <w:rPr>
          <w:sz w:val="26"/>
          <w:szCs w:val="26"/>
          <w:lang w:val="uz-Cyrl-UZ"/>
        </w:rPr>
        <w:t xml:space="preserve">. </w:t>
      </w:r>
      <w:r w:rsidR="00B33662" w:rsidRPr="00141EEC">
        <w:rPr>
          <w:sz w:val="26"/>
          <w:szCs w:val="26"/>
          <w:lang w:val="en-US"/>
        </w:rPr>
        <w:t>Also</w:t>
      </w:r>
      <w:r w:rsidR="001B2CDA">
        <w:rPr>
          <w:sz w:val="26"/>
          <w:szCs w:val="26"/>
          <w:lang w:val="en-US"/>
        </w:rPr>
        <w:t>,</w:t>
      </w:r>
      <w:r w:rsidR="00F42CD9" w:rsidRPr="00141EEC">
        <w:rPr>
          <w:sz w:val="26"/>
          <w:szCs w:val="26"/>
          <w:lang w:val="uz-Cyrl-UZ"/>
        </w:rPr>
        <w:t xml:space="preserve"> observed positive dynamics in world gold prices partially offset the decline in exports.</w:t>
      </w:r>
    </w:p>
    <w:p w:rsidR="00F42CD9" w:rsidRPr="00147844" w:rsidRDefault="00F42CD9" w:rsidP="00F42CD9">
      <w:pPr>
        <w:spacing w:before="120" w:line="288" w:lineRule="auto"/>
        <w:ind w:firstLine="709"/>
        <w:jc w:val="both"/>
        <w:rPr>
          <w:sz w:val="26"/>
          <w:szCs w:val="26"/>
          <w:lang w:val="uz-Cyrl-UZ"/>
        </w:rPr>
      </w:pPr>
      <w:r w:rsidRPr="00E912A0">
        <w:rPr>
          <w:sz w:val="26"/>
          <w:szCs w:val="26"/>
          <w:lang w:val="uz-Cyrl-UZ"/>
        </w:rPr>
        <w:t xml:space="preserve">Under the influence of the above factors, the current account formed with a deficit of USD </w:t>
      </w:r>
      <w:r w:rsidR="005F61F0" w:rsidRPr="00E912A0">
        <w:rPr>
          <w:sz w:val="26"/>
          <w:szCs w:val="26"/>
          <w:lang w:val="en-US"/>
        </w:rPr>
        <w:t>3</w:t>
      </w:r>
      <w:r w:rsidR="00473063" w:rsidRPr="00E912A0">
        <w:rPr>
          <w:sz w:val="26"/>
          <w:szCs w:val="26"/>
          <w:lang w:val="en-US"/>
        </w:rPr>
        <w:t>.</w:t>
      </w:r>
      <w:r w:rsidR="005F61F0" w:rsidRPr="00E912A0">
        <w:rPr>
          <w:sz w:val="26"/>
          <w:szCs w:val="26"/>
          <w:lang w:val="en-US"/>
        </w:rPr>
        <w:t>1</w:t>
      </w:r>
      <w:r w:rsidRPr="00E912A0">
        <w:rPr>
          <w:sz w:val="26"/>
          <w:szCs w:val="26"/>
          <w:lang w:val="uz-Cyrl-UZ"/>
        </w:rPr>
        <w:t xml:space="preserve"> </w:t>
      </w:r>
      <w:r w:rsidR="005F61F0" w:rsidRPr="00E912A0">
        <w:rPr>
          <w:sz w:val="26"/>
          <w:szCs w:val="26"/>
          <w:lang w:val="en-US"/>
        </w:rPr>
        <w:t>billion</w:t>
      </w:r>
      <w:r w:rsidRPr="00E912A0">
        <w:rPr>
          <w:sz w:val="26"/>
          <w:szCs w:val="26"/>
          <w:lang w:val="uz-Cyrl-UZ"/>
        </w:rPr>
        <w:t xml:space="preserve"> (</w:t>
      </w:r>
      <w:r w:rsidRPr="00E912A0">
        <w:rPr>
          <w:i/>
          <w:sz w:val="26"/>
          <w:szCs w:val="26"/>
          <w:lang w:val="uz-Cyrl-UZ"/>
        </w:rPr>
        <w:t>USD</w:t>
      </w:r>
      <w:r w:rsidRPr="00E912A0">
        <w:rPr>
          <w:sz w:val="26"/>
          <w:szCs w:val="26"/>
          <w:lang w:val="uz-Cyrl-UZ"/>
        </w:rPr>
        <w:t xml:space="preserve"> </w:t>
      </w:r>
      <w:r w:rsidR="005F61F0" w:rsidRPr="00E912A0">
        <w:rPr>
          <w:i/>
          <w:sz w:val="26"/>
          <w:szCs w:val="26"/>
          <w:lang w:val="uz-Cyrl-UZ"/>
        </w:rPr>
        <w:t>3</w:t>
      </w:r>
      <w:r w:rsidRPr="00E912A0">
        <w:rPr>
          <w:i/>
          <w:sz w:val="26"/>
          <w:szCs w:val="26"/>
          <w:lang w:val="uz-Cyrl-UZ"/>
        </w:rPr>
        <w:t>.</w:t>
      </w:r>
      <w:r w:rsidR="005F61F0" w:rsidRPr="00E912A0">
        <w:rPr>
          <w:i/>
          <w:sz w:val="26"/>
          <w:szCs w:val="26"/>
          <w:lang w:val="en-US"/>
        </w:rPr>
        <w:t>4</w:t>
      </w:r>
      <w:r w:rsidRPr="00E912A0">
        <w:rPr>
          <w:i/>
          <w:sz w:val="26"/>
          <w:szCs w:val="26"/>
          <w:lang w:val="uz-Cyrl-UZ"/>
        </w:rPr>
        <w:t xml:space="preserve"> billion in 2019</w:t>
      </w:r>
      <w:r w:rsidRPr="00E912A0">
        <w:rPr>
          <w:sz w:val="26"/>
          <w:szCs w:val="26"/>
          <w:lang w:val="uz-Cyrl-UZ"/>
        </w:rPr>
        <w:t>). At the same time, the negative trade balance</w:t>
      </w:r>
      <w:r w:rsidR="003E198A" w:rsidRPr="00E912A0">
        <w:rPr>
          <w:sz w:val="26"/>
          <w:szCs w:val="26"/>
          <w:lang w:val="en-US"/>
        </w:rPr>
        <w:t xml:space="preserve"> (</w:t>
      </w:r>
      <w:r w:rsidR="00094EC9">
        <w:rPr>
          <w:sz w:val="26"/>
          <w:szCs w:val="26"/>
          <w:lang w:val="en-US"/>
        </w:rPr>
        <w:t>goods and</w:t>
      </w:r>
      <w:r w:rsidR="003E198A" w:rsidRPr="00E912A0">
        <w:rPr>
          <w:sz w:val="26"/>
          <w:szCs w:val="26"/>
          <w:lang w:val="uz-Cyrl-UZ"/>
        </w:rPr>
        <w:t xml:space="preserve"> services</w:t>
      </w:r>
      <w:r w:rsidR="003E198A" w:rsidRPr="00E912A0">
        <w:rPr>
          <w:sz w:val="26"/>
          <w:szCs w:val="26"/>
          <w:lang w:val="en-US"/>
        </w:rPr>
        <w:t>)</w:t>
      </w:r>
      <w:r w:rsidRPr="00E912A0">
        <w:rPr>
          <w:sz w:val="26"/>
          <w:szCs w:val="26"/>
          <w:lang w:val="uz-Cyrl-UZ"/>
        </w:rPr>
        <w:t xml:space="preserve"> and</w:t>
      </w:r>
      <w:r w:rsidR="003E198A" w:rsidRPr="00E912A0">
        <w:rPr>
          <w:sz w:val="26"/>
          <w:szCs w:val="26"/>
          <w:lang w:val="en-US"/>
        </w:rPr>
        <w:t xml:space="preserve"> primary income</w:t>
      </w:r>
      <w:r w:rsidRPr="00E912A0">
        <w:rPr>
          <w:sz w:val="26"/>
          <w:szCs w:val="26"/>
          <w:lang w:val="uz-Cyrl-UZ"/>
        </w:rPr>
        <w:t xml:space="preserve"> (</w:t>
      </w:r>
      <w:r w:rsidR="00473063" w:rsidRPr="00E912A0">
        <w:rPr>
          <w:i/>
          <w:sz w:val="26"/>
          <w:szCs w:val="26"/>
          <w:lang w:val="uz-Cyrl-UZ"/>
        </w:rPr>
        <w:t xml:space="preserve">USD </w:t>
      </w:r>
      <w:r w:rsidR="005F61F0" w:rsidRPr="00E912A0">
        <w:rPr>
          <w:i/>
          <w:sz w:val="26"/>
          <w:szCs w:val="26"/>
          <w:lang w:val="en-US"/>
        </w:rPr>
        <w:t>8</w:t>
      </w:r>
      <w:r w:rsidR="00473063" w:rsidRPr="00E912A0">
        <w:rPr>
          <w:i/>
          <w:sz w:val="26"/>
          <w:szCs w:val="26"/>
          <w:lang w:val="uz-Cyrl-UZ"/>
        </w:rPr>
        <w:t>.</w:t>
      </w:r>
      <w:r w:rsidR="00473063" w:rsidRPr="00E912A0">
        <w:rPr>
          <w:i/>
          <w:sz w:val="26"/>
          <w:szCs w:val="26"/>
          <w:lang w:val="en-US"/>
        </w:rPr>
        <w:t>2</w:t>
      </w:r>
      <w:r w:rsidRPr="00E912A0">
        <w:rPr>
          <w:i/>
          <w:sz w:val="26"/>
          <w:szCs w:val="26"/>
          <w:lang w:val="uz-Cyrl-UZ"/>
        </w:rPr>
        <w:t xml:space="preserve"> billion</w:t>
      </w:r>
      <w:r w:rsidRPr="00E912A0">
        <w:rPr>
          <w:sz w:val="26"/>
          <w:szCs w:val="26"/>
          <w:lang w:val="uz-Cyrl-UZ"/>
        </w:rPr>
        <w:t>) was partially offset by the positive balance of secondary income (</w:t>
      </w:r>
      <w:r w:rsidR="00473063" w:rsidRPr="00E912A0">
        <w:rPr>
          <w:i/>
          <w:sz w:val="26"/>
          <w:szCs w:val="26"/>
          <w:lang w:val="uz-Cyrl-UZ"/>
        </w:rPr>
        <w:t xml:space="preserve">USD </w:t>
      </w:r>
      <w:r w:rsidR="005F61F0" w:rsidRPr="00E912A0">
        <w:rPr>
          <w:i/>
          <w:sz w:val="26"/>
          <w:szCs w:val="26"/>
          <w:lang w:val="en-US"/>
        </w:rPr>
        <w:t>5</w:t>
      </w:r>
      <w:r w:rsidRPr="00E912A0">
        <w:rPr>
          <w:i/>
          <w:sz w:val="26"/>
          <w:szCs w:val="26"/>
          <w:lang w:val="uz-Cyrl-UZ"/>
        </w:rPr>
        <w:t>.</w:t>
      </w:r>
      <w:r w:rsidR="005F61F0" w:rsidRPr="00E912A0">
        <w:rPr>
          <w:i/>
          <w:sz w:val="26"/>
          <w:szCs w:val="26"/>
          <w:lang w:val="en-US"/>
        </w:rPr>
        <w:t>1</w:t>
      </w:r>
      <w:r w:rsidRPr="00E912A0">
        <w:rPr>
          <w:i/>
          <w:sz w:val="26"/>
          <w:szCs w:val="26"/>
          <w:lang w:val="uz-Cyrl-UZ"/>
        </w:rPr>
        <w:t xml:space="preserve"> billion</w:t>
      </w:r>
      <w:r w:rsidRPr="00E912A0">
        <w:rPr>
          <w:sz w:val="26"/>
          <w:szCs w:val="26"/>
          <w:lang w:val="uz-Cyrl-UZ"/>
        </w:rPr>
        <w:t>).</w:t>
      </w:r>
      <w:r w:rsidRPr="00147844">
        <w:rPr>
          <w:sz w:val="26"/>
          <w:szCs w:val="26"/>
          <w:lang w:val="uz-Cyrl-UZ"/>
        </w:rPr>
        <w:t xml:space="preserve"> </w:t>
      </w:r>
    </w:p>
    <w:p w:rsidR="00F42CD9" w:rsidRPr="00147844" w:rsidRDefault="001B2CDA" w:rsidP="00F42CD9">
      <w:pPr>
        <w:spacing w:before="120" w:line="288" w:lineRule="auto"/>
        <w:ind w:firstLine="709"/>
        <w:jc w:val="both"/>
        <w:rPr>
          <w:sz w:val="26"/>
          <w:szCs w:val="26"/>
          <w:lang w:val="uz-Cyrl-UZ"/>
        </w:rPr>
      </w:pPr>
      <w:r>
        <w:rPr>
          <w:sz w:val="26"/>
          <w:szCs w:val="26"/>
          <w:lang w:val="en-US"/>
        </w:rPr>
        <w:t>N</w:t>
      </w:r>
      <w:r w:rsidR="00F42CD9" w:rsidRPr="00E912A0">
        <w:rPr>
          <w:sz w:val="26"/>
          <w:szCs w:val="26"/>
          <w:lang w:val="uz-Cyrl-UZ"/>
        </w:rPr>
        <w:t xml:space="preserve">egative balance of the financial account amounted to </w:t>
      </w:r>
      <w:r w:rsidR="00F42CD9" w:rsidRPr="00E912A0">
        <w:rPr>
          <w:sz w:val="26"/>
          <w:szCs w:val="26"/>
          <w:lang w:val="en-US"/>
        </w:rPr>
        <w:t xml:space="preserve">USD </w:t>
      </w:r>
      <w:r w:rsidR="00DA2CEC" w:rsidRPr="00E912A0">
        <w:rPr>
          <w:sz w:val="26"/>
          <w:szCs w:val="26"/>
          <w:lang w:val="en-US"/>
        </w:rPr>
        <w:t>4 billion</w:t>
      </w:r>
      <w:r w:rsidR="00F42CD9" w:rsidRPr="00E912A0">
        <w:rPr>
          <w:sz w:val="26"/>
          <w:szCs w:val="26"/>
          <w:lang w:val="uz-Cyrl-UZ"/>
        </w:rPr>
        <w:t xml:space="preserve"> due to the growth of financial </w:t>
      </w:r>
      <w:r w:rsidR="00E63FF5" w:rsidRPr="00E912A0">
        <w:rPr>
          <w:sz w:val="26"/>
          <w:szCs w:val="26"/>
          <w:lang w:val="en-US"/>
        </w:rPr>
        <w:t>liabilities</w:t>
      </w:r>
      <w:r w:rsidR="00F42CD9" w:rsidRPr="00E912A0">
        <w:rPr>
          <w:sz w:val="26"/>
          <w:szCs w:val="26"/>
          <w:lang w:val="uz-Cyrl-UZ"/>
        </w:rPr>
        <w:t xml:space="preserve"> of residents (</w:t>
      </w:r>
      <w:r w:rsidR="00F42CD9" w:rsidRPr="00E912A0">
        <w:rPr>
          <w:i/>
          <w:sz w:val="26"/>
          <w:szCs w:val="26"/>
          <w:lang w:val="en-US"/>
        </w:rPr>
        <w:t>USD</w:t>
      </w:r>
      <w:r w:rsidR="00F42CD9" w:rsidRPr="00E912A0">
        <w:rPr>
          <w:sz w:val="26"/>
          <w:szCs w:val="26"/>
          <w:lang w:val="en-US"/>
        </w:rPr>
        <w:t xml:space="preserve"> </w:t>
      </w:r>
      <w:r w:rsidR="00DA2CEC" w:rsidRPr="00E912A0">
        <w:rPr>
          <w:sz w:val="26"/>
          <w:szCs w:val="26"/>
          <w:lang w:val="en-US"/>
        </w:rPr>
        <w:t>11.0</w:t>
      </w:r>
      <w:r w:rsidR="00F42CD9" w:rsidRPr="00E912A0">
        <w:rPr>
          <w:i/>
          <w:sz w:val="26"/>
          <w:szCs w:val="26"/>
          <w:lang w:val="uz-Cyrl-UZ"/>
        </w:rPr>
        <w:t xml:space="preserve"> billion</w:t>
      </w:r>
      <w:r w:rsidR="00F42CD9" w:rsidRPr="00E912A0">
        <w:rPr>
          <w:sz w:val="26"/>
          <w:szCs w:val="26"/>
          <w:lang w:val="uz-Cyrl-UZ"/>
        </w:rPr>
        <w:t>), as well as the acquisition of financial assets by residents (</w:t>
      </w:r>
      <w:r w:rsidR="00C06AEB" w:rsidRPr="00E912A0">
        <w:rPr>
          <w:i/>
          <w:sz w:val="26"/>
          <w:szCs w:val="26"/>
          <w:lang w:val="en-US"/>
        </w:rPr>
        <w:t>USD</w:t>
      </w:r>
      <w:r w:rsidR="00C06AEB" w:rsidRPr="00E912A0">
        <w:rPr>
          <w:sz w:val="26"/>
          <w:szCs w:val="26"/>
          <w:lang w:val="en-US"/>
        </w:rPr>
        <w:t xml:space="preserve"> </w:t>
      </w:r>
      <w:r w:rsidR="00DA2CEC" w:rsidRPr="00E912A0">
        <w:rPr>
          <w:sz w:val="26"/>
          <w:szCs w:val="26"/>
          <w:lang w:val="en-US"/>
        </w:rPr>
        <w:t>7</w:t>
      </w:r>
      <w:r w:rsidR="00BC48E8" w:rsidRPr="00E912A0">
        <w:rPr>
          <w:sz w:val="26"/>
          <w:szCs w:val="26"/>
          <w:lang w:val="en-US"/>
        </w:rPr>
        <w:t>.</w:t>
      </w:r>
      <w:r w:rsidR="00DA2CEC" w:rsidRPr="00E912A0">
        <w:rPr>
          <w:sz w:val="26"/>
          <w:szCs w:val="26"/>
          <w:lang w:val="en-US"/>
        </w:rPr>
        <w:t>0</w:t>
      </w:r>
      <w:r w:rsidR="00F42CD9" w:rsidRPr="00E912A0">
        <w:rPr>
          <w:i/>
          <w:sz w:val="26"/>
          <w:szCs w:val="26"/>
          <w:lang w:val="uz-Cyrl-UZ"/>
        </w:rPr>
        <w:t xml:space="preserve"> </w:t>
      </w:r>
      <w:r w:rsidR="006336C5" w:rsidRPr="00E912A0">
        <w:rPr>
          <w:i/>
          <w:sz w:val="26"/>
          <w:szCs w:val="26"/>
          <w:lang w:val="en-US"/>
        </w:rPr>
        <w:t>billion</w:t>
      </w:r>
      <w:r w:rsidR="00F42CD9" w:rsidRPr="00E912A0">
        <w:rPr>
          <w:sz w:val="26"/>
          <w:szCs w:val="26"/>
          <w:lang w:val="uz-Cyrl-UZ"/>
        </w:rPr>
        <w:t>).</w:t>
      </w:r>
    </w:p>
    <w:p w:rsidR="00DA2CEC" w:rsidRDefault="001B2CDA" w:rsidP="00F42CD9">
      <w:pPr>
        <w:spacing w:before="120" w:line="288" w:lineRule="auto"/>
        <w:ind w:firstLine="709"/>
        <w:jc w:val="both"/>
        <w:rPr>
          <w:sz w:val="26"/>
          <w:szCs w:val="26"/>
          <w:lang w:val="en-US"/>
        </w:rPr>
      </w:pPr>
      <w:r w:rsidRPr="00E912A0">
        <w:rPr>
          <w:sz w:val="26"/>
          <w:szCs w:val="26"/>
          <w:lang w:val="en-US"/>
        </w:rPr>
        <w:t>Growth</w:t>
      </w:r>
      <w:r>
        <w:rPr>
          <w:sz w:val="26"/>
          <w:szCs w:val="26"/>
          <w:lang w:val="en-US"/>
        </w:rPr>
        <w:t xml:space="preserve"> of n</w:t>
      </w:r>
      <w:r w:rsidR="00DA2CEC" w:rsidRPr="00E912A0">
        <w:rPr>
          <w:sz w:val="26"/>
          <w:szCs w:val="26"/>
          <w:lang w:val="en-US"/>
        </w:rPr>
        <w:t>et external debt</w:t>
      </w:r>
      <w:r>
        <w:rPr>
          <w:sz w:val="26"/>
          <w:szCs w:val="26"/>
          <w:lang w:val="en-US"/>
        </w:rPr>
        <w:t xml:space="preserve"> in the form of loans</w:t>
      </w:r>
      <w:r w:rsidR="00DA2CEC" w:rsidRPr="00E912A0">
        <w:rPr>
          <w:sz w:val="26"/>
          <w:szCs w:val="26"/>
          <w:lang w:val="en-US"/>
        </w:rPr>
        <w:t xml:space="preserve"> </w:t>
      </w:r>
      <w:r>
        <w:rPr>
          <w:sz w:val="26"/>
          <w:szCs w:val="26"/>
          <w:lang w:val="en-US"/>
        </w:rPr>
        <w:t>increased</w:t>
      </w:r>
      <w:r w:rsidR="00DA2CEC" w:rsidRPr="00E912A0">
        <w:rPr>
          <w:sz w:val="26"/>
          <w:szCs w:val="26"/>
          <w:lang w:val="en-US"/>
        </w:rPr>
        <w:t xml:space="preserve"> by 20%, </w:t>
      </w:r>
      <w:r>
        <w:rPr>
          <w:sz w:val="26"/>
          <w:szCs w:val="26"/>
          <w:lang w:val="en-US"/>
        </w:rPr>
        <w:t xml:space="preserve">up to USD 7.1 </w:t>
      </w:r>
      <w:r w:rsidR="00DA2CEC" w:rsidRPr="00E912A0">
        <w:rPr>
          <w:sz w:val="26"/>
          <w:szCs w:val="26"/>
          <w:lang w:val="en-US"/>
        </w:rPr>
        <w:t>billion</w:t>
      </w:r>
      <w:r w:rsidR="00E912A0" w:rsidRPr="00E912A0">
        <w:rPr>
          <w:sz w:val="26"/>
          <w:szCs w:val="26"/>
          <w:lang w:val="en-US"/>
        </w:rPr>
        <w:t xml:space="preserve"> </w:t>
      </w:r>
      <w:r w:rsidR="00DA2CEC" w:rsidRPr="00E912A0">
        <w:rPr>
          <w:sz w:val="26"/>
          <w:szCs w:val="26"/>
          <w:lang w:val="en-US"/>
        </w:rPr>
        <w:t>compare</w:t>
      </w:r>
      <w:r>
        <w:rPr>
          <w:sz w:val="26"/>
          <w:szCs w:val="26"/>
          <w:lang w:val="en-US"/>
        </w:rPr>
        <w:t>d</w:t>
      </w:r>
      <w:r w:rsidR="00DA2CEC" w:rsidRPr="00E912A0">
        <w:rPr>
          <w:sz w:val="26"/>
          <w:szCs w:val="26"/>
          <w:lang w:val="en-US"/>
        </w:rPr>
        <w:t xml:space="preserve"> to previous year and </w:t>
      </w:r>
      <w:r>
        <w:rPr>
          <w:sz w:val="26"/>
          <w:szCs w:val="26"/>
          <w:lang w:val="en-US"/>
        </w:rPr>
        <w:t xml:space="preserve">it’s stock </w:t>
      </w:r>
      <w:r w:rsidR="00DA2CEC" w:rsidRPr="00E912A0">
        <w:rPr>
          <w:sz w:val="26"/>
          <w:szCs w:val="26"/>
          <w:lang w:val="en-US"/>
        </w:rPr>
        <w:t>amounted USD 30 billion</w:t>
      </w:r>
      <w:r w:rsidR="008F3F66">
        <w:rPr>
          <w:rStyle w:val="a9"/>
          <w:sz w:val="26"/>
          <w:szCs w:val="26"/>
          <w:lang w:val="en-US"/>
        </w:rPr>
        <w:footnoteReference w:id="1"/>
      </w:r>
      <w:r w:rsidR="00DA2CEC" w:rsidRPr="00E912A0">
        <w:rPr>
          <w:sz w:val="26"/>
          <w:szCs w:val="26"/>
          <w:lang w:val="en-US"/>
        </w:rPr>
        <w:t xml:space="preserve"> </w:t>
      </w:r>
      <w:r>
        <w:rPr>
          <w:sz w:val="26"/>
          <w:szCs w:val="26"/>
          <w:lang w:val="en-US"/>
        </w:rPr>
        <w:t>at</w:t>
      </w:r>
      <w:r w:rsidR="00DA2CEC" w:rsidRPr="00E912A0">
        <w:rPr>
          <w:sz w:val="26"/>
          <w:szCs w:val="26"/>
          <w:lang w:val="en-US"/>
        </w:rPr>
        <w:t xml:space="preserve"> the end of the year. </w:t>
      </w:r>
      <w:r>
        <w:rPr>
          <w:sz w:val="26"/>
          <w:szCs w:val="26"/>
          <w:lang w:val="en-US"/>
        </w:rPr>
        <w:br/>
      </w:r>
      <w:r w:rsidR="0050770B" w:rsidRPr="00E912A0">
        <w:rPr>
          <w:sz w:val="26"/>
          <w:szCs w:val="26"/>
          <w:lang w:val="en-US"/>
        </w:rPr>
        <w:t xml:space="preserve">The </w:t>
      </w:r>
      <w:r>
        <w:rPr>
          <w:sz w:val="26"/>
          <w:szCs w:val="26"/>
          <w:lang w:val="en-US"/>
        </w:rPr>
        <w:t>largest</w:t>
      </w:r>
      <w:r w:rsidR="0050770B" w:rsidRPr="00E912A0">
        <w:rPr>
          <w:sz w:val="26"/>
          <w:szCs w:val="26"/>
          <w:lang w:val="en-US"/>
        </w:rPr>
        <w:t xml:space="preserve"> borrowings </w:t>
      </w:r>
      <w:r>
        <w:rPr>
          <w:sz w:val="26"/>
          <w:szCs w:val="26"/>
          <w:lang w:val="en-US"/>
        </w:rPr>
        <w:t xml:space="preserve">were </w:t>
      </w:r>
      <w:r w:rsidR="0050770B" w:rsidRPr="00E912A0">
        <w:rPr>
          <w:sz w:val="26"/>
          <w:szCs w:val="26"/>
          <w:lang w:val="en-US"/>
        </w:rPr>
        <w:t>made by government and banking sectors.</w:t>
      </w:r>
    </w:p>
    <w:p w:rsidR="0050770B" w:rsidRDefault="0050770B" w:rsidP="00F42CD9">
      <w:pPr>
        <w:spacing w:before="120" w:line="288" w:lineRule="auto"/>
        <w:ind w:firstLine="709"/>
        <w:jc w:val="both"/>
        <w:rPr>
          <w:sz w:val="26"/>
          <w:szCs w:val="26"/>
          <w:lang w:val="en-US"/>
        </w:rPr>
      </w:pPr>
      <w:r w:rsidRPr="00E912A0">
        <w:rPr>
          <w:sz w:val="26"/>
          <w:szCs w:val="26"/>
          <w:lang w:val="en-US"/>
        </w:rPr>
        <w:t xml:space="preserve">In addition, </w:t>
      </w:r>
      <w:r w:rsidR="001B2CDA" w:rsidRPr="00E912A0">
        <w:rPr>
          <w:sz w:val="26"/>
          <w:szCs w:val="26"/>
          <w:lang w:val="en-US"/>
        </w:rPr>
        <w:t>portfolio borrowings</w:t>
      </w:r>
      <w:r w:rsidR="001B2CDA">
        <w:rPr>
          <w:sz w:val="26"/>
          <w:szCs w:val="26"/>
          <w:lang w:val="en-US"/>
        </w:rPr>
        <w:t xml:space="preserve"> of</w:t>
      </w:r>
      <w:r w:rsidR="001B2CDA" w:rsidRPr="00E912A0">
        <w:rPr>
          <w:sz w:val="26"/>
          <w:szCs w:val="26"/>
          <w:lang w:val="en-US"/>
        </w:rPr>
        <w:t xml:space="preserve"> </w:t>
      </w:r>
      <w:r w:rsidRPr="00E912A0">
        <w:rPr>
          <w:sz w:val="26"/>
          <w:szCs w:val="26"/>
          <w:lang w:val="en-US"/>
        </w:rPr>
        <w:t>government and banking sectors amount</w:t>
      </w:r>
      <w:r w:rsidR="001B2CDA">
        <w:rPr>
          <w:sz w:val="26"/>
          <w:szCs w:val="26"/>
          <w:lang w:val="en-US"/>
        </w:rPr>
        <w:t>ed</w:t>
      </w:r>
      <w:r w:rsidRPr="00E912A0">
        <w:rPr>
          <w:sz w:val="26"/>
          <w:szCs w:val="26"/>
          <w:lang w:val="en-US"/>
        </w:rPr>
        <w:t xml:space="preserve"> </w:t>
      </w:r>
      <w:r w:rsidR="00416C2B">
        <w:rPr>
          <w:sz w:val="26"/>
          <w:szCs w:val="26"/>
          <w:lang w:val="en-US"/>
        </w:rPr>
        <w:t>to</w:t>
      </w:r>
      <w:r w:rsidRPr="00E912A0">
        <w:rPr>
          <w:sz w:val="26"/>
          <w:szCs w:val="26"/>
          <w:lang w:val="en-US"/>
        </w:rPr>
        <w:t xml:space="preserve"> </w:t>
      </w:r>
      <w:r w:rsidR="00416C2B">
        <w:rPr>
          <w:sz w:val="26"/>
          <w:szCs w:val="26"/>
          <w:lang w:val="en-US"/>
        </w:rPr>
        <w:br/>
      </w:r>
      <w:r w:rsidRPr="00E912A0">
        <w:rPr>
          <w:sz w:val="26"/>
          <w:szCs w:val="26"/>
          <w:lang w:val="en-US"/>
        </w:rPr>
        <w:t>USD 1.4 billion</w:t>
      </w:r>
      <w:r w:rsidR="001B2CDA">
        <w:rPr>
          <w:sz w:val="26"/>
          <w:szCs w:val="26"/>
          <w:lang w:val="en-US"/>
        </w:rPr>
        <w:t>, as a result of</w:t>
      </w:r>
      <w:r w:rsidRPr="00E912A0">
        <w:rPr>
          <w:sz w:val="26"/>
          <w:szCs w:val="26"/>
          <w:lang w:val="en-US"/>
        </w:rPr>
        <w:t xml:space="preserve"> placing</w:t>
      </w:r>
      <w:r w:rsidR="001B6E9B">
        <w:rPr>
          <w:sz w:val="26"/>
          <w:szCs w:val="26"/>
          <w:lang w:val="en-US"/>
        </w:rPr>
        <w:t xml:space="preserve"> </w:t>
      </w:r>
      <w:r w:rsidRPr="00E912A0">
        <w:rPr>
          <w:sz w:val="26"/>
          <w:szCs w:val="26"/>
          <w:lang w:val="en-US"/>
        </w:rPr>
        <w:t>Eurobonds in international markets.</w:t>
      </w:r>
    </w:p>
    <w:p w:rsidR="00DA2CEC" w:rsidRDefault="00374FDC" w:rsidP="00F42CD9">
      <w:pPr>
        <w:spacing w:before="120" w:line="288" w:lineRule="auto"/>
        <w:ind w:firstLine="709"/>
        <w:jc w:val="both"/>
        <w:rPr>
          <w:sz w:val="26"/>
          <w:szCs w:val="26"/>
          <w:lang w:val="en-US"/>
        </w:rPr>
      </w:pPr>
      <w:r w:rsidRPr="00E912A0">
        <w:rPr>
          <w:sz w:val="26"/>
          <w:szCs w:val="26"/>
          <w:lang w:val="en-US"/>
        </w:rPr>
        <w:t xml:space="preserve">Net foreign direct investment amounted to USD 1.7 billion (USD 2.3 billion in 2019). </w:t>
      </w:r>
      <w:r w:rsidR="00D0106A">
        <w:rPr>
          <w:sz w:val="26"/>
          <w:szCs w:val="26"/>
          <w:lang w:val="en-US"/>
        </w:rPr>
        <w:br/>
        <w:t>N</w:t>
      </w:r>
      <w:r w:rsidRPr="00E912A0">
        <w:rPr>
          <w:sz w:val="26"/>
          <w:szCs w:val="26"/>
          <w:lang w:val="en-US"/>
        </w:rPr>
        <w:t xml:space="preserve">et investments, excluding operations of enterprises operating on the basis of product sharing agreements, amounted to USD 1.8 billion, in the </w:t>
      </w:r>
      <w:r w:rsidR="00871ADE" w:rsidRPr="00E912A0">
        <w:rPr>
          <w:sz w:val="26"/>
          <w:szCs w:val="26"/>
          <w:lang w:val="en-US"/>
        </w:rPr>
        <w:t>form of</w:t>
      </w:r>
      <w:r w:rsidRPr="00E912A0">
        <w:rPr>
          <w:sz w:val="26"/>
          <w:szCs w:val="26"/>
          <w:lang w:val="en-US"/>
        </w:rPr>
        <w:t xml:space="preserve"> debt instruments from parent </w:t>
      </w:r>
      <w:r w:rsidR="00871ADE" w:rsidRPr="00E912A0">
        <w:rPr>
          <w:sz w:val="26"/>
          <w:szCs w:val="26"/>
          <w:lang w:val="en-US"/>
        </w:rPr>
        <w:t>companies USD 153.2 million. A net decrease in investment by enterprises operating on the basis of production sharing agreements is USD 276.1 million. Uncertainty associated with the duration of the coronavirus pandemic had a negative impact on the foreign</w:t>
      </w:r>
      <w:r w:rsidR="00D0106A">
        <w:rPr>
          <w:sz w:val="26"/>
          <w:szCs w:val="26"/>
          <w:lang w:val="en-US"/>
        </w:rPr>
        <w:t xml:space="preserve"> </w:t>
      </w:r>
      <w:r w:rsidR="00871ADE" w:rsidRPr="00E912A0">
        <w:rPr>
          <w:sz w:val="26"/>
          <w:szCs w:val="26"/>
          <w:lang w:val="en-US"/>
        </w:rPr>
        <w:t>investment</w:t>
      </w:r>
      <w:r w:rsidR="00D0106A">
        <w:rPr>
          <w:sz w:val="26"/>
          <w:szCs w:val="26"/>
          <w:lang w:val="en-US"/>
        </w:rPr>
        <w:t>s</w:t>
      </w:r>
      <w:r w:rsidR="00871ADE" w:rsidRPr="00E912A0">
        <w:rPr>
          <w:sz w:val="26"/>
          <w:szCs w:val="26"/>
          <w:lang w:val="en-US"/>
        </w:rPr>
        <w:t>.</w:t>
      </w:r>
    </w:p>
    <w:p w:rsidR="00871ADE" w:rsidRDefault="00871ADE" w:rsidP="00F42CD9">
      <w:pPr>
        <w:spacing w:before="120" w:line="288" w:lineRule="auto"/>
        <w:ind w:firstLine="709"/>
        <w:jc w:val="both"/>
        <w:rPr>
          <w:sz w:val="26"/>
          <w:szCs w:val="26"/>
          <w:lang w:val="en-US"/>
        </w:rPr>
      </w:pPr>
      <w:r w:rsidRPr="00E912A0">
        <w:rPr>
          <w:sz w:val="26"/>
          <w:szCs w:val="26"/>
          <w:lang w:val="en-US"/>
        </w:rPr>
        <w:t>Operations with reserve assets in foreign currencies amounted to USD 1.7 billion.</w:t>
      </w:r>
      <w:r w:rsidR="00D0106A">
        <w:rPr>
          <w:sz w:val="26"/>
          <w:szCs w:val="26"/>
          <w:lang w:val="en-US"/>
        </w:rPr>
        <w:t xml:space="preserve"> </w:t>
      </w:r>
      <w:r w:rsidR="00D0106A">
        <w:rPr>
          <w:sz w:val="26"/>
          <w:szCs w:val="26"/>
          <w:lang w:val="en-US"/>
        </w:rPr>
        <w:br/>
        <w:t>D</w:t>
      </w:r>
      <w:r w:rsidRPr="00E912A0">
        <w:rPr>
          <w:sz w:val="26"/>
          <w:szCs w:val="26"/>
          <w:lang w:val="en-US"/>
        </w:rPr>
        <w:t>ue to positive dynamics of the price of gold on the international market (increased</w:t>
      </w:r>
      <w:r w:rsidR="00D0106A">
        <w:rPr>
          <w:sz w:val="26"/>
          <w:szCs w:val="26"/>
          <w:lang w:val="en-US"/>
        </w:rPr>
        <w:t xml:space="preserve"> by</w:t>
      </w:r>
      <w:r w:rsidRPr="00E912A0">
        <w:rPr>
          <w:sz w:val="26"/>
          <w:szCs w:val="26"/>
          <w:lang w:val="en-US"/>
        </w:rPr>
        <w:t xml:space="preserve"> 25.1% from USD 1511.5 to 1891.1 troy/ounce), the volume of gold </w:t>
      </w:r>
      <w:r w:rsidR="009F1532">
        <w:rPr>
          <w:sz w:val="26"/>
          <w:szCs w:val="26"/>
          <w:lang w:val="en-US"/>
        </w:rPr>
        <w:t>reserve</w:t>
      </w:r>
      <w:r w:rsidRPr="00E912A0">
        <w:rPr>
          <w:sz w:val="26"/>
          <w:szCs w:val="26"/>
          <w:lang w:val="en-US"/>
        </w:rPr>
        <w:t xml:space="preserve"> of Uzbekistan increased and reached USD 34.9 billion as of January 1, 2021.</w:t>
      </w:r>
    </w:p>
    <w:p w:rsidR="00871ADE" w:rsidRDefault="00C06356" w:rsidP="00F42CD9">
      <w:pPr>
        <w:spacing w:before="120" w:line="288" w:lineRule="auto"/>
        <w:ind w:firstLine="709"/>
        <w:jc w:val="both"/>
        <w:rPr>
          <w:sz w:val="26"/>
          <w:szCs w:val="26"/>
          <w:lang w:val="en-US"/>
        </w:rPr>
      </w:pPr>
      <w:r w:rsidRPr="00A11015">
        <w:rPr>
          <w:sz w:val="26"/>
          <w:szCs w:val="26"/>
          <w:lang w:val="en-US"/>
        </w:rPr>
        <w:lastRenderedPageBreak/>
        <w:t xml:space="preserve">The real weakening of the index of bilateral real exchange rates of the sum against the currencies of countries – main trading partners relative to the base period, having cheapened goods produced in Uzbekistan relative to goods produced in trading partner countries, </w:t>
      </w:r>
      <w:r w:rsidR="00D0106A">
        <w:rPr>
          <w:sz w:val="26"/>
          <w:szCs w:val="26"/>
          <w:lang w:val="en-US"/>
        </w:rPr>
        <w:br/>
      </w:r>
      <w:r w:rsidRPr="00A11015">
        <w:rPr>
          <w:sz w:val="26"/>
          <w:szCs w:val="26"/>
          <w:lang w:val="en-US"/>
        </w:rPr>
        <w:t>was at the level supporting export</w:t>
      </w:r>
      <w:r w:rsidR="000F04EB">
        <w:rPr>
          <w:sz w:val="26"/>
          <w:szCs w:val="26"/>
          <w:lang w:val="en-US"/>
        </w:rPr>
        <w:t xml:space="preserve"> </w:t>
      </w:r>
      <w:r w:rsidR="000F04EB" w:rsidRPr="000F04EB">
        <w:rPr>
          <w:color w:val="4472C4" w:themeColor="accent5"/>
          <w:sz w:val="26"/>
          <w:szCs w:val="26"/>
          <w:lang w:val="en-US"/>
        </w:rPr>
        <w:t>(Figure 1)</w:t>
      </w:r>
      <w:r w:rsidRPr="00A11015">
        <w:rPr>
          <w:sz w:val="26"/>
          <w:szCs w:val="26"/>
          <w:lang w:val="en-US"/>
        </w:rPr>
        <w:t>.</w:t>
      </w:r>
      <w:r w:rsidR="00D0106A">
        <w:rPr>
          <w:sz w:val="26"/>
          <w:szCs w:val="26"/>
          <w:lang w:val="en-US"/>
        </w:rPr>
        <w:t xml:space="preserve"> </w:t>
      </w:r>
    </w:p>
    <w:p w:rsidR="00E912A0" w:rsidRPr="003B78E9" w:rsidRDefault="00E912A0" w:rsidP="00E912A0">
      <w:pPr>
        <w:jc w:val="right"/>
        <w:rPr>
          <w:lang w:val="en-US"/>
        </w:rPr>
      </w:pPr>
      <w:r w:rsidRPr="00147844">
        <w:rPr>
          <w:lang w:val="en-US"/>
        </w:rPr>
        <w:t xml:space="preserve">Figure </w:t>
      </w:r>
      <w:r>
        <w:rPr>
          <w:lang w:val="en-US"/>
        </w:rPr>
        <w:t>1</w:t>
      </w:r>
    </w:p>
    <w:p w:rsidR="00E912A0" w:rsidRPr="0040034D" w:rsidRDefault="00E912A0" w:rsidP="00E912A0">
      <w:pPr>
        <w:jc w:val="right"/>
        <w:rPr>
          <w:sz w:val="20"/>
          <w:szCs w:val="20"/>
          <w:lang w:val="en-US"/>
        </w:rPr>
      </w:pPr>
    </w:p>
    <w:p w:rsidR="006D3614" w:rsidRPr="00D0106A" w:rsidRDefault="006D3614" w:rsidP="008F3F66">
      <w:pPr>
        <w:jc w:val="center"/>
        <w:rPr>
          <w:rFonts w:asciiTheme="minorHAnsi" w:hAnsiTheme="minorHAnsi" w:cstheme="minorHAnsi"/>
          <w:b/>
          <w:sz w:val="28"/>
          <w:szCs w:val="28"/>
          <w:lang w:val="en-US"/>
        </w:rPr>
      </w:pPr>
      <w:r w:rsidRPr="00D0106A">
        <w:rPr>
          <w:rFonts w:asciiTheme="minorHAnsi" w:hAnsiTheme="minorHAnsi" w:cstheme="minorHAnsi"/>
          <w:b/>
          <w:sz w:val="28"/>
          <w:szCs w:val="28"/>
          <w:lang w:val="en-US"/>
        </w:rPr>
        <w:t>REAL EXCHANGE RATES OF SUM TO MAIN CURRENCIES</w:t>
      </w:r>
      <w:r w:rsidR="00A11015" w:rsidRPr="00D0106A">
        <w:rPr>
          <w:rStyle w:val="a9"/>
          <w:rFonts w:asciiTheme="minorHAnsi" w:hAnsiTheme="minorHAnsi" w:cstheme="minorHAnsi"/>
          <w:b/>
          <w:sz w:val="28"/>
          <w:szCs w:val="28"/>
          <w:lang w:val="en-US"/>
        </w:rPr>
        <w:footnoteReference w:id="2"/>
      </w:r>
    </w:p>
    <w:p w:rsidR="0040034D" w:rsidRPr="0040034D" w:rsidRDefault="0040034D" w:rsidP="008F3F66">
      <w:pPr>
        <w:jc w:val="center"/>
        <w:rPr>
          <w:rFonts w:asciiTheme="minorHAnsi" w:hAnsiTheme="minorHAnsi" w:cstheme="minorHAnsi"/>
          <w:b/>
          <w:i/>
          <w:sz w:val="20"/>
          <w:szCs w:val="20"/>
          <w:lang w:val="en-US"/>
        </w:rPr>
      </w:pPr>
    </w:p>
    <w:p w:rsidR="00E912A0" w:rsidRPr="008F3F66" w:rsidRDefault="00E912A0" w:rsidP="008F3F66">
      <w:pPr>
        <w:jc w:val="right"/>
        <w:rPr>
          <w:rFonts w:cs="Calibri"/>
          <w:i/>
          <w:sz w:val="20"/>
          <w:szCs w:val="20"/>
          <w:lang w:val="en-US"/>
        </w:rPr>
      </w:pPr>
      <w:r w:rsidRPr="008F3F66">
        <w:rPr>
          <w:rFonts w:cs="Calibri"/>
          <w:i/>
          <w:sz w:val="20"/>
          <w:szCs w:val="20"/>
          <w:lang w:val="en-US"/>
        </w:rPr>
        <w:t>(</w:t>
      </w:r>
      <w:r w:rsidR="006D3614" w:rsidRPr="008F3F66">
        <w:rPr>
          <w:rFonts w:cs="Calibri"/>
          <w:i/>
          <w:sz w:val="20"/>
          <w:szCs w:val="20"/>
          <w:lang w:val="en-US"/>
        </w:rPr>
        <w:t>January 2010=100</w:t>
      </w:r>
      <w:r w:rsidRPr="008F3F66">
        <w:rPr>
          <w:rFonts w:cs="Calibri"/>
          <w:i/>
          <w:sz w:val="20"/>
          <w:szCs w:val="20"/>
          <w:lang w:val="en-US"/>
        </w:rPr>
        <w:t>)</w:t>
      </w:r>
    </w:p>
    <w:p w:rsidR="00871ADE" w:rsidRDefault="008F3F66" w:rsidP="008F3F66">
      <w:pPr>
        <w:spacing w:before="120"/>
        <w:jc w:val="both"/>
        <w:rPr>
          <w:sz w:val="26"/>
          <w:szCs w:val="26"/>
          <w:lang w:val="en-US"/>
        </w:rPr>
      </w:pPr>
      <w:r>
        <w:rPr>
          <w:noProof/>
        </w:rPr>
        <w:drawing>
          <wp:inline distT="0" distB="0" distL="0" distR="0" wp14:anchorId="5714026E" wp14:editId="67453D7E">
            <wp:extent cx="6299835" cy="4393870"/>
            <wp:effectExtent l="0" t="0" r="5715" b="698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42CD9" w:rsidRPr="00A11015" w:rsidRDefault="00F42CD9" w:rsidP="00F42CD9">
      <w:pPr>
        <w:spacing w:before="120" w:line="288" w:lineRule="auto"/>
        <w:ind w:firstLine="709"/>
        <w:jc w:val="both"/>
        <w:rPr>
          <w:sz w:val="26"/>
          <w:szCs w:val="26"/>
          <w:lang w:val="uz-Cyrl-UZ"/>
        </w:rPr>
      </w:pPr>
      <w:r w:rsidRPr="00A11015">
        <w:rPr>
          <w:sz w:val="26"/>
          <w:szCs w:val="26"/>
          <w:lang w:val="uz-Cyrl-UZ"/>
        </w:rPr>
        <w:t xml:space="preserve">The net international investment position of the Republic of Uzbekistan as of </w:t>
      </w:r>
      <w:r w:rsidR="00E95D6D" w:rsidRPr="00A11015">
        <w:rPr>
          <w:sz w:val="26"/>
          <w:szCs w:val="26"/>
          <w:lang w:val="en-US"/>
        </w:rPr>
        <w:t>the end</w:t>
      </w:r>
      <w:r w:rsidRPr="00A11015">
        <w:rPr>
          <w:sz w:val="26"/>
          <w:szCs w:val="26"/>
          <w:lang w:val="uz-Cyrl-UZ"/>
        </w:rPr>
        <w:t xml:space="preserve">, 2020 </w:t>
      </w:r>
      <w:r w:rsidRPr="00A11015">
        <w:rPr>
          <w:sz w:val="26"/>
          <w:szCs w:val="26"/>
          <w:lang w:val="en-US"/>
        </w:rPr>
        <w:t>equaled</w:t>
      </w:r>
      <w:r w:rsidRPr="00A11015">
        <w:rPr>
          <w:sz w:val="26"/>
          <w:szCs w:val="26"/>
          <w:lang w:val="uz-Cyrl-UZ"/>
        </w:rPr>
        <w:t xml:space="preserve"> USD </w:t>
      </w:r>
      <w:r w:rsidR="00E95D6D" w:rsidRPr="00A11015">
        <w:rPr>
          <w:sz w:val="26"/>
          <w:szCs w:val="26"/>
          <w:lang w:val="en-US"/>
        </w:rPr>
        <w:t>20</w:t>
      </w:r>
      <w:r w:rsidRPr="00A11015">
        <w:rPr>
          <w:sz w:val="26"/>
          <w:szCs w:val="26"/>
          <w:lang w:val="uz-Cyrl-UZ"/>
        </w:rPr>
        <w:t>.</w:t>
      </w:r>
      <w:r w:rsidR="00E95D6D" w:rsidRPr="00A11015">
        <w:rPr>
          <w:sz w:val="26"/>
          <w:szCs w:val="26"/>
          <w:lang w:val="en-US"/>
        </w:rPr>
        <w:t>4</w:t>
      </w:r>
      <w:r w:rsidRPr="00A11015">
        <w:rPr>
          <w:sz w:val="26"/>
          <w:szCs w:val="26"/>
          <w:lang w:val="uz-Cyrl-UZ"/>
        </w:rPr>
        <w:t xml:space="preserve"> billion. An analysis of the international investment position by sectors of the economy showed that in 2020, the general government and other sectors retain the position of </w:t>
      </w:r>
      <w:r w:rsidRPr="00A11015">
        <w:rPr>
          <w:sz w:val="26"/>
          <w:szCs w:val="26"/>
          <w:lang w:val="en-US"/>
        </w:rPr>
        <w:t>«</w:t>
      </w:r>
      <w:r w:rsidRPr="00A11015">
        <w:rPr>
          <w:sz w:val="26"/>
          <w:szCs w:val="26"/>
          <w:lang w:val="uz-Cyrl-UZ"/>
        </w:rPr>
        <w:t>net creditor</w:t>
      </w:r>
      <w:r w:rsidRPr="00A11015">
        <w:rPr>
          <w:sz w:val="26"/>
          <w:szCs w:val="26"/>
          <w:lang w:val="en-US"/>
        </w:rPr>
        <w:t>»</w:t>
      </w:r>
      <w:r w:rsidRPr="00A11015">
        <w:rPr>
          <w:sz w:val="26"/>
          <w:szCs w:val="26"/>
          <w:lang w:val="uz-Cyrl-UZ"/>
        </w:rPr>
        <w:t xml:space="preserve">, while the banking sector is a </w:t>
      </w:r>
      <w:r w:rsidRPr="00A11015">
        <w:rPr>
          <w:sz w:val="26"/>
          <w:szCs w:val="26"/>
          <w:lang w:val="en-US"/>
        </w:rPr>
        <w:t>«</w:t>
      </w:r>
      <w:r w:rsidRPr="00A11015">
        <w:rPr>
          <w:sz w:val="26"/>
          <w:szCs w:val="26"/>
          <w:lang w:val="uz-Cyrl-UZ"/>
        </w:rPr>
        <w:t>net borrower</w:t>
      </w:r>
      <w:r w:rsidRPr="00A11015">
        <w:rPr>
          <w:sz w:val="26"/>
          <w:szCs w:val="26"/>
          <w:lang w:val="en-US"/>
        </w:rPr>
        <w:t>»</w:t>
      </w:r>
      <w:r w:rsidRPr="00A11015">
        <w:rPr>
          <w:sz w:val="26"/>
          <w:szCs w:val="26"/>
          <w:lang w:val="uz-Cyrl-UZ"/>
        </w:rPr>
        <w:t>.</w:t>
      </w:r>
    </w:p>
    <w:p w:rsidR="0040034D" w:rsidRPr="00D0106A" w:rsidRDefault="00F42CD9" w:rsidP="00D0106A">
      <w:pPr>
        <w:spacing w:before="120" w:line="288" w:lineRule="auto"/>
        <w:ind w:firstLine="709"/>
        <w:jc w:val="both"/>
        <w:rPr>
          <w:sz w:val="26"/>
          <w:szCs w:val="26"/>
          <w:lang w:val="en-US"/>
        </w:rPr>
      </w:pPr>
      <w:r w:rsidRPr="00A11015">
        <w:rPr>
          <w:sz w:val="26"/>
          <w:szCs w:val="26"/>
          <w:lang w:val="uz-Cyrl-UZ"/>
        </w:rPr>
        <w:t xml:space="preserve">As of </w:t>
      </w:r>
      <w:r w:rsidR="00E95D6D" w:rsidRPr="00A11015">
        <w:rPr>
          <w:sz w:val="26"/>
          <w:szCs w:val="26"/>
          <w:lang w:val="en-US"/>
        </w:rPr>
        <w:t>January</w:t>
      </w:r>
      <w:r w:rsidRPr="00A11015">
        <w:rPr>
          <w:sz w:val="26"/>
          <w:szCs w:val="26"/>
          <w:lang w:val="uz-Cyrl-UZ"/>
        </w:rPr>
        <w:t xml:space="preserve"> 1, 202</w:t>
      </w:r>
      <w:r w:rsidR="00E95D6D" w:rsidRPr="00A11015">
        <w:rPr>
          <w:sz w:val="26"/>
          <w:szCs w:val="26"/>
          <w:lang w:val="en-US"/>
        </w:rPr>
        <w:t>1</w:t>
      </w:r>
      <w:r w:rsidRPr="00A11015">
        <w:rPr>
          <w:sz w:val="26"/>
          <w:szCs w:val="26"/>
          <w:lang w:val="uz-Cyrl-UZ"/>
        </w:rPr>
        <w:t xml:space="preserve">, the total external debt of the Republic of Uzbekistan </w:t>
      </w:r>
      <w:r w:rsidRPr="00A11015">
        <w:rPr>
          <w:sz w:val="26"/>
          <w:szCs w:val="26"/>
          <w:lang w:val="en-US"/>
        </w:rPr>
        <w:t>accounted for</w:t>
      </w:r>
      <w:r w:rsidRPr="00A11015">
        <w:rPr>
          <w:sz w:val="26"/>
          <w:szCs w:val="26"/>
          <w:lang w:val="uz-Cyrl-UZ"/>
        </w:rPr>
        <w:t xml:space="preserve"> USD </w:t>
      </w:r>
      <w:r w:rsidR="00E95D6D" w:rsidRPr="00A11015">
        <w:rPr>
          <w:sz w:val="26"/>
          <w:szCs w:val="26"/>
          <w:lang w:val="en-US"/>
        </w:rPr>
        <w:t>33</w:t>
      </w:r>
      <w:r w:rsidRPr="00A11015">
        <w:rPr>
          <w:sz w:val="26"/>
          <w:szCs w:val="26"/>
          <w:lang w:val="uz-Cyrl-UZ"/>
        </w:rPr>
        <w:t>.</w:t>
      </w:r>
      <w:r w:rsidR="00E95D6D" w:rsidRPr="00A11015">
        <w:rPr>
          <w:sz w:val="26"/>
          <w:szCs w:val="26"/>
          <w:lang w:val="en-US"/>
        </w:rPr>
        <w:t>8</w:t>
      </w:r>
      <w:r w:rsidRPr="00A11015">
        <w:rPr>
          <w:sz w:val="26"/>
          <w:szCs w:val="26"/>
          <w:lang w:val="uz-Cyrl-UZ"/>
        </w:rPr>
        <w:t xml:space="preserve"> billion, </w:t>
      </w:r>
      <w:r w:rsidR="00D0106A" w:rsidRPr="00A11015">
        <w:rPr>
          <w:sz w:val="26"/>
          <w:szCs w:val="26"/>
          <w:lang w:val="uz-Cyrl-UZ"/>
        </w:rPr>
        <w:t xml:space="preserve">of which </w:t>
      </w:r>
      <w:r w:rsidRPr="00A11015">
        <w:rPr>
          <w:sz w:val="26"/>
          <w:szCs w:val="26"/>
          <w:lang w:val="uz-Cyrl-UZ"/>
        </w:rPr>
        <w:t xml:space="preserve">USD </w:t>
      </w:r>
      <w:r w:rsidR="0092112A" w:rsidRPr="00A11015">
        <w:rPr>
          <w:sz w:val="26"/>
          <w:szCs w:val="26"/>
          <w:lang w:val="en-US"/>
        </w:rPr>
        <w:t>21</w:t>
      </w:r>
      <w:r w:rsidRPr="00A11015">
        <w:rPr>
          <w:sz w:val="26"/>
          <w:szCs w:val="26"/>
          <w:lang w:val="uz-Cyrl-UZ"/>
        </w:rPr>
        <w:t>.</w:t>
      </w:r>
      <w:r w:rsidR="0092112A" w:rsidRPr="00A11015">
        <w:rPr>
          <w:sz w:val="26"/>
          <w:szCs w:val="26"/>
          <w:lang w:val="en-US"/>
        </w:rPr>
        <w:t>3</w:t>
      </w:r>
      <w:r w:rsidRPr="00A11015">
        <w:rPr>
          <w:sz w:val="26"/>
          <w:szCs w:val="26"/>
          <w:lang w:val="uz-Cyrl-UZ"/>
        </w:rPr>
        <w:t xml:space="preserve"> billion </w:t>
      </w:r>
      <w:r w:rsidR="00D0106A">
        <w:rPr>
          <w:sz w:val="26"/>
          <w:szCs w:val="26"/>
          <w:lang w:val="en-US"/>
        </w:rPr>
        <w:t>-</w:t>
      </w:r>
      <w:r w:rsidRPr="00A11015">
        <w:rPr>
          <w:sz w:val="26"/>
          <w:szCs w:val="26"/>
          <w:lang w:val="uz-Cyrl-UZ"/>
        </w:rPr>
        <w:t xml:space="preserve"> </w:t>
      </w:r>
      <w:r w:rsidR="00103264" w:rsidRPr="00A11015">
        <w:rPr>
          <w:sz w:val="26"/>
          <w:szCs w:val="26"/>
          <w:lang w:val="uz-Cyrl-UZ"/>
        </w:rPr>
        <w:t xml:space="preserve">government </w:t>
      </w:r>
      <w:r w:rsidR="00D0106A">
        <w:rPr>
          <w:sz w:val="26"/>
          <w:szCs w:val="26"/>
          <w:lang w:val="en-US"/>
        </w:rPr>
        <w:t>and government guaranteed external debt</w:t>
      </w:r>
      <w:r w:rsidRPr="00A11015">
        <w:rPr>
          <w:sz w:val="26"/>
          <w:szCs w:val="26"/>
          <w:lang w:val="uz-Cyrl-UZ"/>
        </w:rPr>
        <w:t xml:space="preserve">, </w:t>
      </w:r>
      <w:r w:rsidR="00D0106A">
        <w:rPr>
          <w:sz w:val="26"/>
          <w:szCs w:val="26"/>
          <w:lang w:val="en-US"/>
        </w:rPr>
        <w:t xml:space="preserve">and </w:t>
      </w:r>
      <w:r w:rsidRPr="00A11015">
        <w:rPr>
          <w:sz w:val="26"/>
          <w:szCs w:val="26"/>
          <w:lang w:val="uz-Cyrl-UZ"/>
        </w:rPr>
        <w:t xml:space="preserve">USD </w:t>
      </w:r>
      <w:r w:rsidR="0092112A" w:rsidRPr="00A11015">
        <w:rPr>
          <w:sz w:val="26"/>
          <w:szCs w:val="26"/>
          <w:lang w:val="en-US"/>
        </w:rPr>
        <w:t>12</w:t>
      </w:r>
      <w:r w:rsidRPr="00A11015">
        <w:rPr>
          <w:sz w:val="26"/>
          <w:szCs w:val="26"/>
          <w:lang w:val="uz-Cyrl-UZ"/>
        </w:rPr>
        <w:t>.</w:t>
      </w:r>
      <w:r w:rsidR="0092112A" w:rsidRPr="00A11015">
        <w:rPr>
          <w:sz w:val="26"/>
          <w:szCs w:val="26"/>
          <w:lang w:val="en-US"/>
        </w:rPr>
        <w:t>5</w:t>
      </w:r>
      <w:r w:rsidRPr="00A11015">
        <w:rPr>
          <w:sz w:val="26"/>
          <w:szCs w:val="26"/>
          <w:lang w:val="uz-Cyrl-UZ"/>
        </w:rPr>
        <w:t xml:space="preserve"> billion</w:t>
      </w:r>
      <w:r w:rsidR="00D0106A">
        <w:rPr>
          <w:sz w:val="26"/>
          <w:szCs w:val="26"/>
          <w:lang w:val="en-US"/>
        </w:rPr>
        <w:t xml:space="preserve"> – non guaranteed external </w:t>
      </w:r>
      <w:r w:rsidRPr="00A11015">
        <w:rPr>
          <w:sz w:val="26"/>
          <w:szCs w:val="26"/>
          <w:lang w:val="uz-Cyrl-UZ"/>
        </w:rPr>
        <w:t>debt.</w:t>
      </w:r>
    </w:p>
    <w:p w:rsidR="00C125F4" w:rsidRPr="00C125F4" w:rsidRDefault="00C125F4" w:rsidP="00C125F4">
      <w:pPr>
        <w:rPr>
          <w:lang w:val="x-none" w:eastAsia="x-none"/>
        </w:rPr>
      </w:pPr>
    </w:p>
    <w:p w:rsidR="0040034D" w:rsidRPr="001C59DD" w:rsidRDefault="0040034D" w:rsidP="0040034D">
      <w:pPr>
        <w:ind w:right="111"/>
        <w:jc w:val="right"/>
        <w:rPr>
          <w:rFonts w:asciiTheme="minorHAnsi" w:hAnsiTheme="minorHAnsi" w:cstheme="minorHAnsi"/>
          <w:lang w:val="en-US"/>
        </w:rPr>
        <w:sectPr w:rsidR="0040034D" w:rsidRPr="001C59DD" w:rsidSect="00477150">
          <w:footerReference w:type="first" r:id="rId20"/>
          <w:pgSz w:w="11906" w:h="16838" w:code="9"/>
          <w:pgMar w:top="1134" w:right="851" w:bottom="851" w:left="1134" w:header="709" w:footer="0" w:gutter="0"/>
          <w:cols w:space="708"/>
          <w:titlePg/>
          <w:docGrid w:linePitch="360"/>
        </w:sectPr>
      </w:pPr>
    </w:p>
    <w:p w:rsidR="0040034D" w:rsidRPr="007455DF" w:rsidRDefault="007455DF" w:rsidP="0040034D">
      <w:pPr>
        <w:ind w:right="111"/>
        <w:jc w:val="right"/>
        <w:rPr>
          <w:rFonts w:asciiTheme="minorHAnsi" w:hAnsiTheme="minorHAnsi" w:cstheme="minorHAnsi"/>
          <w:lang w:val="en-US"/>
        </w:rPr>
      </w:pPr>
      <w:r>
        <w:rPr>
          <w:rFonts w:asciiTheme="minorHAnsi" w:hAnsiTheme="minorHAnsi" w:cstheme="minorHAnsi"/>
          <w:lang w:val="en-US"/>
        </w:rPr>
        <w:lastRenderedPageBreak/>
        <w:t>Table</w:t>
      </w:r>
      <w:r w:rsidR="0040034D" w:rsidRPr="007455DF">
        <w:rPr>
          <w:rFonts w:asciiTheme="minorHAnsi" w:hAnsiTheme="minorHAnsi" w:cstheme="minorHAnsi"/>
          <w:lang w:val="en-US"/>
        </w:rPr>
        <w:t xml:space="preserve"> 1</w:t>
      </w:r>
    </w:p>
    <w:p w:rsidR="0040034D" w:rsidRPr="007455DF" w:rsidRDefault="007455DF" w:rsidP="0040034D">
      <w:pPr>
        <w:jc w:val="center"/>
        <w:rPr>
          <w:rFonts w:asciiTheme="minorHAnsi" w:hAnsiTheme="minorHAnsi" w:cstheme="minorHAnsi"/>
          <w:b/>
          <w:bCs/>
          <w:color w:val="000000"/>
          <w:sz w:val="28"/>
          <w:szCs w:val="28"/>
          <w:lang w:val="en-US"/>
        </w:rPr>
      </w:pPr>
      <w:r w:rsidRPr="002240A4">
        <w:rPr>
          <w:rFonts w:cs="Calibri"/>
          <w:b/>
          <w:bCs/>
          <w:color w:val="000000"/>
          <w:sz w:val="28"/>
          <w:szCs w:val="28"/>
          <w:lang w:val="en-US"/>
        </w:rPr>
        <w:t>MAIN INDICATORS OF EXTERNAL SECTOR OF UZBEKISTAN</w:t>
      </w:r>
    </w:p>
    <w:p w:rsidR="0040034D" w:rsidRPr="00C92486" w:rsidRDefault="007455DF" w:rsidP="0040034D">
      <w:pPr>
        <w:ind w:right="111"/>
        <w:jc w:val="right"/>
        <w:rPr>
          <w:rFonts w:asciiTheme="minorHAnsi" w:hAnsiTheme="minorHAnsi" w:cstheme="minorHAnsi"/>
          <w:b/>
          <w:bCs/>
          <w:color w:val="000000"/>
          <w:sz w:val="10"/>
          <w:szCs w:val="10"/>
        </w:rPr>
      </w:pPr>
      <w:r>
        <w:rPr>
          <w:rFonts w:asciiTheme="minorHAnsi" w:hAnsiTheme="minorHAnsi" w:cstheme="minorHAnsi"/>
          <w:bCs/>
          <w:i/>
          <w:color w:val="000000"/>
          <w:lang w:val="en-US"/>
        </w:rPr>
        <w:t>billion</w:t>
      </w:r>
      <w:r w:rsidRPr="007455DF">
        <w:rPr>
          <w:rFonts w:asciiTheme="minorHAnsi" w:hAnsiTheme="minorHAnsi" w:cstheme="minorHAnsi"/>
          <w:bCs/>
          <w:i/>
          <w:color w:val="000000"/>
          <w:lang w:val="en-US"/>
        </w:rPr>
        <w:t xml:space="preserve"> </w:t>
      </w:r>
      <w:r>
        <w:rPr>
          <w:rFonts w:asciiTheme="minorHAnsi" w:hAnsiTheme="minorHAnsi" w:cstheme="minorHAnsi"/>
          <w:bCs/>
          <w:i/>
          <w:color w:val="000000"/>
          <w:lang w:val="en-US"/>
        </w:rPr>
        <w:t>USD</w:t>
      </w:r>
    </w:p>
    <w:tbl>
      <w:tblPr>
        <w:tblW w:w="14843" w:type="dxa"/>
        <w:jc w:val="center"/>
        <w:tblLook w:val="04A0" w:firstRow="1" w:lastRow="0" w:firstColumn="1" w:lastColumn="0" w:noHBand="0" w:noVBand="1"/>
      </w:tblPr>
      <w:tblGrid>
        <w:gridCol w:w="3610"/>
        <w:gridCol w:w="1022"/>
        <w:gridCol w:w="1022"/>
        <w:gridCol w:w="1021"/>
        <w:gridCol w:w="1021"/>
        <w:gridCol w:w="1021"/>
        <w:gridCol w:w="1021"/>
        <w:gridCol w:w="1021"/>
        <w:gridCol w:w="1021"/>
        <w:gridCol w:w="1021"/>
        <w:gridCol w:w="1021"/>
        <w:gridCol w:w="1021"/>
      </w:tblGrid>
      <w:tr w:rsidR="0040034D" w:rsidRPr="00C92486" w:rsidTr="00C73D4D">
        <w:trPr>
          <w:trHeight w:val="447"/>
          <w:tblHeader/>
          <w:jc w:val="center"/>
        </w:trPr>
        <w:tc>
          <w:tcPr>
            <w:tcW w:w="3610" w:type="dxa"/>
            <w:tcBorders>
              <w:top w:val="single" w:sz="4" w:space="0" w:color="5B9BD5" w:themeColor="accent1"/>
              <w:left w:val="single" w:sz="4" w:space="0" w:color="5B9BD5" w:themeColor="accent1"/>
              <w:bottom w:val="single" w:sz="4" w:space="0" w:color="5B9BD5" w:themeColor="accent1"/>
            </w:tcBorders>
            <w:shd w:val="clear" w:color="auto" w:fill="BDD6EE" w:themeFill="accent1" w:themeFillTint="66"/>
            <w:vAlign w:val="bottom"/>
            <w:hideMark/>
          </w:tcPr>
          <w:p w:rsidR="0040034D" w:rsidRPr="00C92486" w:rsidRDefault="0040034D" w:rsidP="007455DF">
            <w:pPr>
              <w:rPr>
                <w:rFonts w:asciiTheme="minorHAnsi" w:hAnsiTheme="minorHAnsi" w:cstheme="minorHAnsi"/>
                <w:b/>
                <w:color w:val="000000"/>
                <w:sz w:val="20"/>
                <w:szCs w:val="20"/>
              </w:rPr>
            </w:pPr>
          </w:p>
        </w:tc>
        <w:tc>
          <w:tcPr>
            <w:tcW w:w="1022" w:type="dxa"/>
            <w:tcBorders>
              <w:top w:val="single" w:sz="4" w:space="0" w:color="5B9BD5" w:themeColor="accent1"/>
              <w:bottom w:val="single" w:sz="4" w:space="0" w:color="5B9BD5" w:themeColor="accent1"/>
            </w:tcBorders>
            <w:shd w:val="clear" w:color="auto" w:fill="BDD6EE" w:themeFill="accent1" w:themeFillTint="66"/>
            <w:vAlign w:val="center"/>
          </w:tcPr>
          <w:p w:rsidR="0040034D" w:rsidRPr="00C92486" w:rsidRDefault="0040034D" w:rsidP="007455DF">
            <w:pPr>
              <w:jc w:val="center"/>
              <w:rPr>
                <w:rFonts w:asciiTheme="minorHAnsi" w:hAnsiTheme="minorHAnsi" w:cstheme="minorHAnsi"/>
                <w:b/>
                <w:color w:val="000000"/>
                <w:sz w:val="20"/>
                <w:szCs w:val="20"/>
              </w:rPr>
            </w:pPr>
            <w:r w:rsidRPr="00C92486">
              <w:rPr>
                <w:rFonts w:asciiTheme="minorHAnsi" w:hAnsiTheme="minorHAnsi" w:cstheme="minorHAnsi"/>
                <w:b/>
                <w:color w:val="000000"/>
                <w:sz w:val="20"/>
                <w:szCs w:val="20"/>
              </w:rPr>
              <w:t>2010</w:t>
            </w:r>
          </w:p>
        </w:tc>
        <w:tc>
          <w:tcPr>
            <w:tcW w:w="1022" w:type="dxa"/>
            <w:tcBorders>
              <w:top w:val="single" w:sz="4" w:space="0" w:color="5B9BD5" w:themeColor="accent1"/>
              <w:bottom w:val="single" w:sz="4" w:space="0" w:color="5B9BD5" w:themeColor="accent1"/>
            </w:tcBorders>
            <w:shd w:val="clear" w:color="auto" w:fill="BDD6EE" w:themeFill="accent1" w:themeFillTint="66"/>
            <w:vAlign w:val="center"/>
          </w:tcPr>
          <w:p w:rsidR="0040034D" w:rsidRPr="00C92486" w:rsidRDefault="0040034D" w:rsidP="007455DF">
            <w:pPr>
              <w:jc w:val="center"/>
              <w:rPr>
                <w:rFonts w:asciiTheme="minorHAnsi" w:hAnsiTheme="minorHAnsi" w:cstheme="minorHAnsi"/>
                <w:b/>
                <w:color w:val="000000"/>
                <w:sz w:val="20"/>
                <w:szCs w:val="20"/>
              </w:rPr>
            </w:pPr>
            <w:r w:rsidRPr="00C92486">
              <w:rPr>
                <w:rFonts w:asciiTheme="minorHAnsi" w:hAnsiTheme="minorHAnsi" w:cstheme="minorHAnsi"/>
                <w:b/>
                <w:color w:val="000000"/>
                <w:sz w:val="20"/>
                <w:szCs w:val="20"/>
              </w:rPr>
              <w:t>2011</w:t>
            </w:r>
          </w:p>
        </w:tc>
        <w:tc>
          <w:tcPr>
            <w:tcW w:w="1021" w:type="dxa"/>
            <w:tcBorders>
              <w:top w:val="single" w:sz="4" w:space="0" w:color="5B9BD5" w:themeColor="accent1"/>
              <w:bottom w:val="single" w:sz="4" w:space="0" w:color="5B9BD5" w:themeColor="accent1"/>
            </w:tcBorders>
            <w:shd w:val="clear" w:color="auto" w:fill="BDD6EE" w:themeFill="accent1" w:themeFillTint="66"/>
            <w:vAlign w:val="center"/>
          </w:tcPr>
          <w:p w:rsidR="0040034D" w:rsidRPr="00C92486" w:rsidRDefault="0040034D" w:rsidP="007455DF">
            <w:pPr>
              <w:jc w:val="center"/>
              <w:rPr>
                <w:rFonts w:asciiTheme="minorHAnsi" w:hAnsiTheme="minorHAnsi" w:cstheme="minorHAnsi"/>
                <w:b/>
                <w:color w:val="000000"/>
                <w:sz w:val="20"/>
                <w:szCs w:val="20"/>
              </w:rPr>
            </w:pPr>
            <w:r w:rsidRPr="00C92486">
              <w:rPr>
                <w:rFonts w:asciiTheme="minorHAnsi" w:hAnsiTheme="minorHAnsi" w:cstheme="minorHAnsi"/>
                <w:b/>
                <w:color w:val="000000"/>
                <w:sz w:val="20"/>
                <w:szCs w:val="20"/>
              </w:rPr>
              <w:t>2012</w:t>
            </w:r>
          </w:p>
        </w:tc>
        <w:tc>
          <w:tcPr>
            <w:tcW w:w="1021" w:type="dxa"/>
            <w:tcBorders>
              <w:top w:val="single" w:sz="4" w:space="0" w:color="5B9BD5" w:themeColor="accent1"/>
              <w:bottom w:val="single" w:sz="4" w:space="0" w:color="5B9BD5" w:themeColor="accent1"/>
            </w:tcBorders>
            <w:shd w:val="clear" w:color="auto" w:fill="BDD6EE" w:themeFill="accent1" w:themeFillTint="66"/>
            <w:vAlign w:val="center"/>
          </w:tcPr>
          <w:p w:rsidR="0040034D" w:rsidRPr="00C92486" w:rsidRDefault="0040034D" w:rsidP="007455DF">
            <w:pPr>
              <w:jc w:val="center"/>
              <w:rPr>
                <w:rFonts w:asciiTheme="minorHAnsi" w:hAnsiTheme="minorHAnsi" w:cstheme="minorHAnsi"/>
                <w:b/>
                <w:color w:val="000000"/>
                <w:sz w:val="20"/>
                <w:szCs w:val="20"/>
              </w:rPr>
            </w:pPr>
            <w:r w:rsidRPr="00C92486">
              <w:rPr>
                <w:rFonts w:asciiTheme="minorHAnsi" w:hAnsiTheme="minorHAnsi" w:cstheme="minorHAnsi"/>
                <w:b/>
                <w:color w:val="000000"/>
                <w:sz w:val="20"/>
                <w:szCs w:val="20"/>
              </w:rPr>
              <w:t>2013</w:t>
            </w:r>
          </w:p>
        </w:tc>
        <w:tc>
          <w:tcPr>
            <w:tcW w:w="1021" w:type="dxa"/>
            <w:tcBorders>
              <w:top w:val="single" w:sz="4" w:space="0" w:color="5B9BD5" w:themeColor="accent1"/>
              <w:bottom w:val="single" w:sz="4" w:space="0" w:color="5B9BD5" w:themeColor="accent1"/>
            </w:tcBorders>
            <w:shd w:val="clear" w:color="auto" w:fill="BDD6EE" w:themeFill="accent1" w:themeFillTint="66"/>
            <w:vAlign w:val="center"/>
          </w:tcPr>
          <w:p w:rsidR="0040034D" w:rsidRPr="00C92486" w:rsidRDefault="0040034D" w:rsidP="007455DF">
            <w:pPr>
              <w:jc w:val="center"/>
              <w:rPr>
                <w:rFonts w:asciiTheme="minorHAnsi" w:hAnsiTheme="minorHAnsi" w:cstheme="minorHAnsi"/>
                <w:b/>
                <w:color w:val="000000"/>
                <w:sz w:val="20"/>
                <w:szCs w:val="20"/>
              </w:rPr>
            </w:pPr>
            <w:r w:rsidRPr="00C92486">
              <w:rPr>
                <w:rFonts w:asciiTheme="minorHAnsi" w:hAnsiTheme="minorHAnsi" w:cstheme="minorHAnsi"/>
                <w:b/>
                <w:color w:val="000000"/>
                <w:sz w:val="20"/>
                <w:szCs w:val="20"/>
              </w:rPr>
              <w:t>2014</w:t>
            </w:r>
          </w:p>
        </w:tc>
        <w:tc>
          <w:tcPr>
            <w:tcW w:w="1021" w:type="dxa"/>
            <w:tcBorders>
              <w:top w:val="single" w:sz="4" w:space="0" w:color="5B9BD5" w:themeColor="accent1"/>
              <w:bottom w:val="single" w:sz="4" w:space="0" w:color="5B9BD5" w:themeColor="accent1"/>
            </w:tcBorders>
            <w:shd w:val="clear" w:color="auto" w:fill="BDD6EE" w:themeFill="accent1" w:themeFillTint="66"/>
            <w:vAlign w:val="center"/>
          </w:tcPr>
          <w:p w:rsidR="0040034D" w:rsidRPr="00C92486" w:rsidRDefault="0040034D" w:rsidP="007455DF">
            <w:pPr>
              <w:jc w:val="center"/>
              <w:rPr>
                <w:rFonts w:asciiTheme="minorHAnsi" w:hAnsiTheme="minorHAnsi" w:cstheme="minorHAnsi"/>
                <w:b/>
                <w:color w:val="000000"/>
                <w:sz w:val="20"/>
                <w:szCs w:val="20"/>
              </w:rPr>
            </w:pPr>
            <w:r w:rsidRPr="00C92486">
              <w:rPr>
                <w:rFonts w:asciiTheme="minorHAnsi" w:hAnsiTheme="minorHAnsi" w:cstheme="minorHAnsi"/>
                <w:b/>
                <w:color w:val="000000"/>
                <w:sz w:val="20"/>
                <w:szCs w:val="20"/>
              </w:rPr>
              <w:t>2015</w:t>
            </w:r>
          </w:p>
        </w:tc>
        <w:tc>
          <w:tcPr>
            <w:tcW w:w="1021" w:type="dxa"/>
            <w:tcBorders>
              <w:top w:val="single" w:sz="4" w:space="0" w:color="5B9BD5" w:themeColor="accent1"/>
              <w:bottom w:val="single" w:sz="4" w:space="0" w:color="5B9BD5" w:themeColor="accent1"/>
            </w:tcBorders>
            <w:shd w:val="clear" w:color="auto" w:fill="BDD6EE" w:themeFill="accent1" w:themeFillTint="66"/>
            <w:vAlign w:val="center"/>
            <w:hideMark/>
          </w:tcPr>
          <w:p w:rsidR="0040034D" w:rsidRPr="00C92486" w:rsidRDefault="0040034D" w:rsidP="007455DF">
            <w:pPr>
              <w:jc w:val="center"/>
              <w:rPr>
                <w:rFonts w:asciiTheme="minorHAnsi" w:hAnsiTheme="minorHAnsi" w:cstheme="minorHAnsi"/>
                <w:b/>
                <w:color w:val="000000"/>
                <w:sz w:val="20"/>
                <w:szCs w:val="20"/>
              </w:rPr>
            </w:pPr>
            <w:r w:rsidRPr="00C92486">
              <w:rPr>
                <w:rFonts w:asciiTheme="minorHAnsi" w:hAnsiTheme="minorHAnsi" w:cstheme="minorHAnsi"/>
                <w:b/>
                <w:color w:val="000000"/>
                <w:sz w:val="20"/>
                <w:szCs w:val="20"/>
              </w:rPr>
              <w:t>2016</w:t>
            </w:r>
          </w:p>
        </w:tc>
        <w:tc>
          <w:tcPr>
            <w:tcW w:w="1021" w:type="dxa"/>
            <w:tcBorders>
              <w:top w:val="single" w:sz="4" w:space="0" w:color="5B9BD5" w:themeColor="accent1"/>
              <w:bottom w:val="single" w:sz="4" w:space="0" w:color="5B9BD5" w:themeColor="accent1"/>
            </w:tcBorders>
            <w:shd w:val="clear" w:color="auto" w:fill="BDD6EE" w:themeFill="accent1" w:themeFillTint="66"/>
            <w:vAlign w:val="center"/>
            <w:hideMark/>
          </w:tcPr>
          <w:p w:rsidR="0040034D" w:rsidRPr="00C92486" w:rsidRDefault="0040034D" w:rsidP="007455DF">
            <w:pPr>
              <w:jc w:val="center"/>
              <w:rPr>
                <w:rFonts w:asciiTheme="minorHAnsi" w:hAnsiTheme="minorHAnsi" w:cstheme="minorHAnsi"/>
                <w:b/>
                <w:color w:val="000000"/>
                <w:sz w:val="20"/>
                <w:szCs w:val="20"/>
              </w:rPr>
            </w:pPr>
            <w:r w:rsidRPr="00C92486">
              <w:rPr>
                <w:rFonts w:asciiTheme="minorHAnsi" w:hAnsiTheme="minorHAnsi" w:cstheme="minorHAnsi"/>
                <w:b/>
                <w:color w:val="000000"/>
                <w:sz w:val="20"/>
                <w:szCs w:val="20"/>
              </w:rPr>
              <w:t>2017</w:t>
            </w:r>
          </w:p>
        </w:tc>
        <w:tc>
          <w:tcPr>
            <w:tcW w:w="1021" w:type="dxa"/>
            <w:tcBorders>
              <w:top w:val="single" w:sz="4" w:space="0" w:color="5B9BD5" w:themeColor="accent1"/>
              <w:bottom w:val="single" w:sz="4" w:space="0" w:color="5B9BD5" w:themeColor="accent1"/>
            </w:tcBorders>
            <w:shd w:val="clear" w:color="auto" w:fill="BDD6EE" w:themeFill="accent1" w:themeFillTint="66"/>
            <w:vAlign w:val="center"/>
            <w:hideMark/>
          </w:tcPr>
          <w:p w:rsidR="0040034D" w:rsidRPr="00C92486" w:rsidRDefault="0040034D" w:rsidP="007455DF">
            <w:pPr>
              <w:jc w:val="center"/>
              <w:rPr>
                <w:rFonts w:asciiTheme="minorHAnsi" w:hAnsiTheme="minorHAnsi" w:cstheme="minorHAnsi"/>
                <w:b/>
                <w:color w:val="000000"/>
                <w:sz w:val="20"/>
                <w:szCs w:val="20"/>
              </w:rPr>
            </w:pPr>
            <w:r w:rsidRPr="00C92486">
              <w:rPr>
                <w:rFonts w:asciiTheme="minorHAnsi" w:hAnsiTheme="minorHAnsi" w:cstheme="minorHAnsi"/>
                <w:b/>
                <w:color w:val="000000"/>
                <w:sz w:val="20"/>
                <w:szCs w:val="20"/>
              </w:rPr>
              <w:t>2018</w:t>
            </w:r>
          </w:p>
        </w:tc>
        <w:tc>
          <w:tcPr>
            <w:tcW w:w="1021" w:type="dxa"/>
            <w:tcBorders>
              <w:top w:val="single" w:sz="4" w:space="0" w:color="5B9BD5" w:themeColor="accent1"/>
              <w:bottom w:val="single" w:sz="4" w:space="0" w:color="5B9BD5" w:themeColor="accent1"/>
            </w:tcBorders>
            <w:shd w:val="clear" w:color="auto" w:fill="BDD6EE" w:themeFill="accent1" w:themeFillTint="66"/>
            <w:vAlign w:val="center"/>
          </w:tcPr>
          <w:p w:rsidR="0040034D" w:rsidRPr="00C92486" w:rsidRDefault="0040034D" w:rsidP="007455DF">
            <w:pPr>
              <w:jc w:val="center"/>
              <w:rPr>
                <w:rFonts w:asciiTheme="minorHAnsi" w:hAnsiTheme="minorHAnsi" w:cstheme="minorHAnsi"/>
                <w:b/>
                <w:color w:val="000000"/>
                <w:sz w:val="20"/>
                <w:szCs w:val="20"/>
              </w:rPr>
            </w:pPr>
            <w:r w:rsidRPr="00C92486">
              <w:rPr>
                <w:rFonts w:asciiTheme="minorHAnsi" w:hAnsiTheme="minorHAnsi" w:cstheme="minorHAnsi"/>
                <w:b/>
                <w:color w:val="000000"/>
                <w:sz w:val="20"/>
                <w:szCs w:val="20"/>
              </w:rPr>
              <w:t>2019</w:t>
            </w:r>
          </w:p>
        </w:tc>
        <w:tc>
          <w:tcPr>
            <w:tcW w:w="1021" w:type="dxa"/>
            <w:tcBorders>
              <w:top w:val="single" w:sz="4" w:space="0" w:color="5B9BD5" w:themeColor="accent1"/>
              <w:bottom w:val="single" w:sz="4" w:space="0" w:color="5B9BD5" w:themeColor="accent1"/>
              <w:right w:val="single" w:sz="4" w:space="0" w:color="5B9BD5" w:themeColor="accent1"/>
            </w:tcBorders>
            <w:shd w:val="clear" w:color="auto" w:fill="BDD6EE" w:themeFill="accent1" w:themeFillTint="66"/>
            <w:vAlign w:val="center"/>
          </w:tcPr>
          <w:p w:rsidR="0040034D" w:rsidRPr="00C92486" w:rsidRDefault="0040034D" w:rsidP="007455DF">
            <w:pPr>
              <w:jc w:val="center"/>
              <w:rPr>
                <w:rFonts w:asciiTheme="minorHAnsi" w:hAnsiTheme="minorHAnsi" w:cstheme="minorHAnsi"/>
                <w:b/>
                <w:color w:val="000000"/>
                <w:sz w:val="20"/>
                <w:szCs w:val="20"/>
              </w:rPr>
            </w:pPr>
            <w:r w:rsidRPr="00C92486">
              <w:rPr>
                <w:rFonts w:asciiTheme="minorHAnsi" w:hAnsiTheme="minorHAnsi" w:cstheme="minorHAnsi"/>
                <w:b/>
                <w:color w:val="000000"/>
                <w:sz w:val="20"/>
                <w:szCs w:val="20"/>
              </w:rPr>
              <w:t>2020</w:t>
            </w:r>
          </w:p>
        </w:tc>
      </w:tr>
      <w:tr w:rsidR="0040034D" w:rsidRPr="00C92486" w:rsidTr="00C73D4D">
        <w:trPr>
          <w:trHeight w:val="314"/>
          <w:jc w:val="center"/>
        </w:trPr>
        <w:tc>
          <w:tcPr>
            <w:tcW w:w="3610" w:type="dxa"/>
            <w:tcBorders>
              <w:top w:val="single" w:sz="4" w:space="0" w:color="5B9BD5" w:themeColor="accent1"/>
              <w:left w:val="single" w:sz="4" w:space="0" w:color="5B9BD5" w:themeColor="accent1"/>
              <w:bottom w:val="single" w:sz="4" w:space="0" w:color="5B9BD5" w:themeColor="accent1"/>
            </w:tcBorders>
            <w:shd w:val="clear" w:color="auto" w:fill="F2F2F2" w:themeFill="background1" w:themeFillShade="F2"/>
            <w:vAlign w:val="center"/>
            <w:hideMark/>
          </w:tcPr>
          <w:p w:rsidR="007455DF" w:rsidRPr="007A024C" w:rsidRDefault="007455DF" w:rsidP="007455DF">
            <w:pPr>
              <w:rPr>
                <w:rFonts w:asciiTheme="minorHAnsi" w:hAnsiTheme="minorHAnsi" w:cstheme="minorHAnsi"/>
                <w:b/>
                <w:color w:val="000000"/>
                <w:sz w:val="20"/>
                <w:szCs w:val="20"/>
                <w:lang w:val="en-US"/>
              </w:rPr>
            </w:pPr>
            <w:r>
              <w:rPr>
                <w:rFonts w:asciiTheme="minorHAnsi" w:hAnsiTheme="minorHAnsi" w:cstheme="minorHAnsi"/>
                <w:b/>
                <w:color w:val="000000"/>
                <w:sz w:val="20"/>
                <w:szCs w:val="20"/>
                <w:lang w:val="en-US"/>
              </w:rPr>
              <w:t>Current account balance</w:t>
            </w:r>
          </w:p>
          <w:p w:rsidR="0040034D" w:rsidRPr="00C73D4D" w:rsidRDefault="007455DF" w:rsidP="007455DF">
            <w:pPr>
              <w:rPr>
                <w:rFonts w:asciiTheme="minorHAnsi" w:hAnsiTheme="minorHAnsi" w:cstheme="minorHAnsi"/>
                <w:i/>
                <w:color w:val="000000"/>
                <w:sz w:val="20"/>
                <w:szCs w:val="20"/>
                <w:lang w:val="en-US"/>
              </w:rPr>
            </w:pPr>
            <w:r w:rsidRPr="00A43D5F">
              <w:rPr>
                <w:rFonts w:asciiTheme="minorHAnsi" w:hAnsiTheme="minorHAnsi" w:cstheme="minorHAnsi"/>
                <w:i/>
                <w:color w:val="000000"/>
                <w:sz w:val="18"/>
                <w:szCs w:val="18"/>
                <w:lang w:val="uz-Cyrl-UZ"/>
              </w:rPr>
              <w:t>(</w:t>
            </w:r>
            <w:r>
              <w:rPr>
                <w:rFonts w:asciiTheme="minorHAnsi" w:hAnsiTheme="minorHAnsi" w:cstheme="minorHAnsi"/>
                <w:i/>
                <w:color w:val="000000"/>
                <w:sz w:val="18"/>
                <w:szCs w:val="18"/>
                <w:lang w:val="en-US"/>
              </w:rPr>
              <w:t>USD billion</w:t>
            </w:r>
            <w:r w:rsidRPr="00A43D5F">
              <w:rPr>
                <w:rFonts w:asciiTheme="minorHAnsi" w:hAnsiTheme="minorHAnsi" w:cstheme="minorHAnsi"/>
                <w:i/>
                <w:color w:val="000000"/>
                <w:sz w:val="18"/>
                <w:szCs w:val="18"/>
                <w:lang w:val="uz-Cyrl-UZ"/>
              </w:rPr>
              <w:t>)</w:t>
            </w:r>
          </w:p>
        </w:tc>
        <w:tc>
          <w:tcPr>
            <w:tcW w:w="1022" w:type="dxa"/>
            <w:tcBorders>
              <w:top w:val="single" w:sz="4" w:space="0" w:color="5B9BD5" w:themeColor="accent1"/>
              <w:bottom w:val="single" w:sz="4" w:space="0" w:color="5B9BD5" w:themeColor="accent1"/>
            </w:tcBorders>
            <w:shd w:val="clear" w:color="auto" w:fill="F2F2F2" w:themeFill="background1" w:themeFillShade="F2"/>
            <w:vAlign w:val="center"/>
          </w:tcPr>
          <w:p w:rsidR="0040034D" w:rsidRPr="00C92486" w:rsidRDefault="0040034D" w:rsidP="007455DF">
            <w:pPr>
              <w:jc w:val="center"/>
              <w:rPr>
                <w:rFonts w:asciiTheme="minorHAnsi" w:hAnsiTheme="minorHAnsi" w:cstheme="minorHAnsi"/>
                <w:b/>
                <w:iCs/>
                <w:color w:val="000000"/>
                <w:sz w:val="20"/>
                <w:szCs w:val="20"/>
              </w:rPr>
            </w:pPr>
            <w:r w:rsidRPr="00C92486">
              <w:rPr>
                <w:rFonts w:asciiTheme="minorHAnsi" w:hAnsiTheme="minorHAnsi" w:cstheme="minorHAnsi"/>
                <w:iCs/>
                <w:color w:val="000000"/>
                <w:sz w:val="20"/>
                <w:szCs w:val="20"/>
              </w:rPr>
              <w:t>2,5</w:t>
            </w:r>
          </w:p>
        </w:tc>
        <w:tc>
          <w:tcPr>
            <w:tcW w:w="1022" w:type="dxa"/>
            <w:tcBorders>
              <w:top w:val="single" w:sz="4" w:space="0" w:color="5B9BD5" w:themeColor="accent1"/>
              <w:bottom w:val="single" w:sz="4" w:space="0" w:color="5B9BD5" w:themeColor="accent1"/>
            </w:tcBorders>
            <w:shd w:val="clear" w:color="auto" w:fill="F2F2F2" w:themeFill="background1" w:themeFillShade="F2"/>
            <w:vAlign w:val="center"/>
          </w:tcPr>
          <w:p w:rsidR="0040034D" w:rsidRPr="00C92486" w:rsidRDefault="0040034D" w:rsidP="007455DF">
            <w:pPr>
              <w:jc w:val="center"/>
              <w:rPr>
                <w:rFonts w:asciiTheme="minorHAnsi" w:hAnsiTheme="minorHAnsi" w:cstheme="minorHAnsi"/>
                <w:b/>
                <w:iCs/>
                <w:color w:val="000000"/>
                <w:sz w:val="20"/>
                <w:szCs w:val="20"/>
              </w:rPr>
            </w:pPr>
            <w:r w:rsidRPr="00C92486">
              <w:rPr>
                <w:rFonts w:asciiTheme="minorHAnsi" w:hAnsiTheme="minorHAnsi" w:cstheme="minorHAnsi"/>
                <w:iCs/>
                <w:color w:val="000000"/>
                <w:sz w:val="20"/>
                <w:szCs w:val="20"/>
              </w:rPr>
              <w:t>2,8</w:t>
            </w:r>
          </w:p>
        </w:tc>
        <w:tc>
          <w:tcPr>
            <w:tcW w:w="1021" w:type="dxa"/>
            <w:tcBorders>
              <w:top w:val="single" w:sz="4" w:space="0" w:color="5B9BD5" w:themeColor="accent1"/>
              <w:bottom w:val="single" w:sz="4" w:space="0" w:color="5B9BD5" w:themeColor="accent1"/>
            </w:tcBorders>
            <w:shd w:val="clear" w:color="auto" w:fill="F2F2F2" w:themeFill="background1" w:themeFillShade="F2"/>
            <w:vAlign w:val="center"/>
          </w:tcPr>
          <w:p w:rsidR="0040034D" w:rsidRPr="00C92486" w:rsidRDefault="0040034D" w:rsidP="007455DF">
            <w:pPr>
              <w:jc w:val="center"/>
              <w:rPr>
                <w:rFonts w:asciiTheme="minorHAnsi" w:hAnsiTheme="minorHAnsi" w:cstheme="minorHAnsi"/>
                <w:b/>
                <w:iCs/>
                <w:color w:val="000000"/>
                <w:sz w:val="20"/>
                <w:szCs w:val="20"/>
              </w:rPr>
            </w:pPr>
            <w:r w:rsidRPr="00C92486">
              <w:rPr>
                <w:rFonts w:asciiTheme="minorHAnsi" w:hAnsiTheme="minorHAnsi" w:cstheme="minorHAnsi"/>
                <w:iCs/>
                <w:color w:val="000000"/>
                <w:sz w:val="20"/>
                <w:szCs w:val="20"/>
              </w:rPr>
              <w:t>1,2</w:t>
            </w:r>
          </w:p>
        </w:tc>
        <w:tc>
          <w:tcPr>
            <w:tcW w:w="1021" w:type="dxa"/>
            <w:tcBorders>
              <w:top w:val="single" w:sz="4" w:space="0" w:color="5B9BD5" w:themeColor="accent1"/>
              <w:bottom w:val="single" w:sz="4" w:space="0" w:color="5B9BD5" w:themeColor="accent1"/>
            </w:tcBorders>
            <w:shd w:val="clear" w:color="auto" w:fill="F2F2F2" w:themeFill="background1" w:themeFillShade="F2"/>
            <w:vAlign w:val="center"/>
          </w:tcPr>
          <w:p w:rsidR="0040034D" w:rsidRPr="00C92486" w:rsidRDefault="0040034D" w:rsidP="007455DF">
            <w:pPr>
              <w:jc w:val="center"/>
              <w:rPr>
                <w:rFonts w:asciiTheme="minorHAnsi" w:hAnsiTheme="minorHAnsi" w:cstheme="minorHAnsi"/>
                <w:b/>
                <w:iCs/>
                <w:color w:val="000000"/>
                <w:sz w:val="20"/>
                <w:szCs w:val="20"/>
              </w:rPr>
            </w:pPr>
            <w:r w:rsidRPr="00C92486">
              <w:rPr>
                <w:rFonts w:asciiTheme="minorHAnsi" w:hAnsiTheme="minorHAnsi" w:cstheme="minorHAnsi"/>
                <w:iCs/>
                <w:color w:val="000000"/>
                <w:sz w:val="20"/>
                <w:szCs w:val="20"/>
              </w:rPr>
              <w:t>1,3</w:t>
            </w:r>
          </w:p>
        </w:tc>
        <w:tc>
          <w:tcPr>
            <w:tcW w:w="1021" w:type="dxa"/>
            <w:tcBorders>
              <w:top w:val="single" w:sz="4" w:space="0" w:color="5B9BD5" w:themeColor="accent1"/>
              <w:bottom w:val="single" w:sz="4" w:space="0" w:color="5B9BD5" w:themeColor="accent1"/>
            </w:tcBorders>
            <w:shd w:val="clear" w:color="auto" w:fill="F2F2F2" w:themeFill="background1" w:themeFillShade="F2"/>
            <w:vAlign w:val="center"/>
          </w:tcPr>
          <w:p w:rsidR="0040034D" w:rsidRPr="00C92486" w:rsidRDefault="0040034D" w:rsidP="007455DF">
            <w:pPr>
              <w:jc w:val="center"/>
              <w:rPr>
                <w:rFonts w:asciiTheme="minorHAnsi" w:hAnsiTheme="minorHAnsi" w:cstheme="minorHAnsi"/>
                <w:b/>
                <w:iCs/>
                <w:color w:val="000000"/>
                <w:sz w:val="20"/>
                <w:szCs w:val="20"/>
              </w:rPr>
            </w:pPr>
            <w:r w:rsidRPr="00C92486">
              <w:rPr>
                <w:rFonts w:asciiTheme="minorHAnsi" w:hAnsiTheme="minorHAnsi" w:cstheme="minorHAnsi"/>
                <w:iCs/>
                <w:color w:val="000000"/>
                <w:sz w:val="20"/>
                <w:szCs w:val="20"/>
              </w:rPr>
              <w:t>2,1</w:t>
            </w:r>
          </w:p>
        </w:tc>
        <w:tc>
          <w:tcPr>
            <w:tcW w:w="1021" w:type="dxa"/>
            <w:tcBorders>
              <w:top w:val="single" w:sz="4" w:space="0" w:color="5B9BD5" w:themeColor="accent1"/>
              <w:bottom w:val="single" w:sz="4" w:space="0" w:color="5B9BD5" w:themeColor="accent1"/>
            </w:tcBorders>
            <w:shd w:val="clear" w:color="auto" w:fill="F2F2F2" w:themeFill="background1" w:themeFillShade="F2"/>
            <w:vAlign w:val="center"/>
          </w:tcPr>
          <w:p w:rsidR="0040034D" w:rsidRPr="00C92486" w:rsidRDefault="0040034D" w:rsidP="007455DF">
            <w:pPr>
              <w:jc w:val="center"/>
              <w:rPr>
                <w:rFonts w:asciiTheme="minorHAnsi" w:hAnsiTheme="minorHAnsi" w:cstheme="minorHAnsi"/>
                <w:b/>
                <w:iCs/>
                <w:color w:val="000000"/>
                <w:sz w:val="20"/>
                <w:szCs w:val="20"/>
              </w:rPr>
            </w:pPr>
            <w:r w:rsidRPr="00C92486">
              <w:rPr>
                <w:rFonts w:asciiTheme="minorHAnsi" w:hAnsiTheme="minorHAnsi" w:cstheme="minorHAnsi"/>
                <w:iCs/>
                <w:color w:val="000000"/>
                <w:sz w:val="20"/>
                <w:szCs w:val="20"/>
              </w:rPr>
              <w:t>0,9</w:t>
            </w:r>
          </w:p>
        </w:tc>
        <w:tc>
          <w:tcPr>
            <w:tcW w:w="1021" w:type="dxa"/>
            <w:tcBorders>
              <w:top w:val="single" w:sz="4" w:space="0" w:color="5B9BD5" w:themeColor="accent1"/>
              <w:bottom w:val="single" w:sz="4" w:space="0" w:color="5B9BD5" w:themeColor="accent1"/>
            </w:tcBorders>
            <w:shd w:val="clear" w:color="auto" w:fill="F2F2F2" w:themeFill="background1" w:themeFillShade="F2"/>
            <w:vAlign w:val="center"/>
            <w:hideMark/>
          </w:tcPr>
          <w:p w:rsidR="0040034D" w:rsidRPr="00C92486" w:rsidRDefault="0040034D" w:rsidP="007455DF">
            <w:pPr>
              <w:jc w:val="center"/>
              <w:rPr>
                <w:rFonts w:asciiTheme="minorHAnsi" w:hAnsiTheme="minorHAnsi" w:cstheme="minorHAnsi"/>
                <w:b/>
                <w:iCs/>
                <w:color w:val="000000"/>
                <w:sz w:val="20"/>
                <w:szCs w:val="20"/>
              </w:rPr>
            </w:pPr>
            <w:r w:rsidRPr="00C92486">
              <w:rPr>
                <w:rFonts w:asciiTheme="minorHAnsi" w:hAnsiTheme="minorHAnsi" w:cstheme="minorHAnsi"/>
                <w:iCs/>
                <w:color w:val="000000"/>
                <w:sz w:val="20"/>
                <w:szCs w:val="20"/>
              </w:rPr>
              <w:t>0,2</w:t>
            </w:r>
          </w:p>
        </w:tc>
        <w:tc>
          <w:tcPr>
            <w:tcW w:w="1021" w:type="dxa"/>
            <w:tcBorders>
              <w:top w:val="single" w:sz="4" w:space="0" w:color="5B9BD5" w:themeColor="accent1"/>
              <w:bottom w:val="single" w:sz="4" w:space="0" w:color="5B9BD5" w:themeColor="accent1"/>
            </w:tcBorders>
            <w:shd w:val="clear" w:color="auto" w:fill="F2F2F2" w:themeFill="background1" w:themeFillShade="F2"/>
            <w:vAlign w:val="center"/>
            <w:hideMark/>
          </w:tcPr>
          <w:p w:rsidR="0040034D" w:rsidRPr="00C92486" w:rsidRDefault="0040034D" w:rsidP="007455DF">
            <w:pPr>
              <w:jc w:val="center"/>
              <w:rPr>
                <w:rFonts w:asciiTheme="minorHAnsi" w:hAnsiTheme="minorHAnsi" w:cstheme="minorHAnsi"/>
                <w:b/>
                <w:color w:val="000000"/>
                <w:sz w:val="20"/>
                <w:szCs w:val="20"/>
              </w:rPr>
            </w:pPr>
            <w:r w:rsidRPr="00C92486">
              <w:rPr>
                <w:rFonts w:asciiTheme="minorHAnsi" w:hAnsiTheme="minorHAnsi" w:cstheme="minorHAnsi"/>
                <w:iCs/>
                <w:color w:val="000000"/>
                <w:sz w:val="20"/>
                <w:szCs w:val="20"/>
              </w:rPr>
              <w:t>1,5</w:t>
            </w:r>
          </w:p>
        </w:tc>
        <w:tc>
          <w:tcPr>
            <w:tcW w:w="1021" w:type="dxa"/>
            <w:tcBorders>
              <w:top w:val="single" w:sz="4" w:space="0" w:color="5B9BD5" w:themeColor="accent1"/>
              <w:bottom w:val="single" w:sz="4" w:space="0" w:color="5B9BD5" w:themeColor="accent1"/>
            </w:tcBorders>
            <w:shd w:val="clear" w:color="auto" w:fill="F2F2F2" w:themeFill="background1" w:themeFillShade="F2"/>
            <w:vAlign w:val="center"/>
            <w:hideMark/>
          </w:tcPr>
          <w:p w:rsidR="0040034D" w:rsidRPr="00C92486" w:rsidRDefault="0040034D" w:rsidP="007455DF">
            <w:pPr>
              <w:jc w:val="center"/>
              <w:rPr>
                <w:rFonts w:asciiTheme="minorHAnsi" w:hAnsiTheme="minorHAnsi" w:cstheme="minorHAnsi"/>
                <w:b/>
                <w:color w:val="000000"/>
                <w:sz w:val="20"/>
                <w:szCs w:val="20"/>
              </w:rPr>
            </w:pPr>
            <w:r w:rsidRPr="00C92486">
              <w:rPr>
                <w:rFonts w:asciiTheme="minorHAnsi" w:hAnsiTheme="minorHAnsi" w:cstheme="minorHAnsi"/>
                <w:iCs/>
                <w:color w:val="000000"/>
                <w:sz w:val="20"/>
                <w:szCs w:val="20"/>
              </w:rPr>
              <w:t>-3,6</w:t>
            </w:r>
          </w:p>
        </w:tc>
        <w:tc>
          <w:tcPr>
            <w:tcW w:w="1021" w:type="dxa"/>
            <w:tcBorders>
              <w:top w:val="single" w:sz="4" w:space="0" w:color="5B9BD5" w:themeColor="accent1"/>
              <w:bottom w:val="single" w:sz="4" w:space="0" w:color="5B9BD5" w:themeColor="accent1"/>
            </w:tcBorders>
            <w:shd w:val="clear" w:color="auto" w:fill="F2F2F2" w:themeFill="background1" w:themeFillShade="F2"/>
            <w:vAlign w:val="center"/>
          </w:tcPr>
          <w:p w:rsidR="0040034D" w:rsidRPr="00C92486" w:rsidRDefault="0040034D" w:rsidP="007455DF">
            <w:pPr>
              <w:jc w:val="center"/>
              <w:rPr>
                <w:rFonts w:asciiTheme="minorHAnsi" w:hAnsiTheme="minorHAnsi" w:cstheme="minorHAnsi"/>
                <w:b/>
                <w:color w:val="000000"/>
                <w:sz w:val="20"/>
                <w:szCs w:val="20"/>
                <w:lang w:val="en-US"/>
              </w:rPr>
            </w:pPr>
            <w:r w:rsidRPr="00C92486">
              <w:rPr>
                <w:rFonts w:asciiTheme="minorHAnsi" w:hAnsiTheme="minorHAnsi" w:cstheme="minorHAnsi"/>
                <w:iCs/>
                <w:color w:val="000000"/>
                <w:sz w:val="20"/>
                <w:szCs w:val="20"/>
              </w:rPr>
              <w:t>-3,4</w:t>
            </w:r>
          </w:p>
        </w:tc>
        <w:tc>
          <w:tcPr>
            <w:tcW w:w="1021" w:type="dxa"/>
            <w:tcBorders>
              <w:top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rsidR="0040034D" w:rsidRPr="00C92486" w:rsidRDefault="0040034D" w:rsidP="007455DF">
            <w:pPr>
              <w:jc w:val="center"/>
              <w:rPr>
                <w:rFonts w:asciiTheme="minorHAnsi" w:hAnsiTheme="minorHAnsi" w:cstheme="minorHAnsi"/>
                <w:b/>
                <w:color w:val="000000"/>
                <w:sz w:val="20"/>
                <w:szCs w:val="20"/>
              </w:rPr>
            </w:pPr>
            <w:r w:rsidRPr="00C92486">
              <w:rPr>
                <w:rFonts w:asciiTheme="minorHAnsi" w:hAnsiTheme="minorHAnsi" w:cstheme="minorHAnsi"/>
                <w:iCs/>
                <w:color w:val="000000"/>
                <w:sz w:val="20"/>
                <w:szCs w:val="20"/>
              </w:rPr>
              <w:t>-3,1</w:t>
            </w:r>
          </w:p>
        </w:tc>
      </w:tr>
      <w:tr w:rsidR="0040034D" w:rsidRPr="00C92486" w:rsidTr="00C73D4D">
        <w:trPr>
          <w:trHeight w:val="107"/>
          <w:jc w:val="center"/>
        </w:trPr>
        <w:tc>
          <w:tcPr>
            <w:tcW w:w="3610" w:type="dxa"/>
            <w:tcBorders>
              <w:top w:val="single" w:sz="4" w:space="0" w:color="5B9BD5" w:themeColor="accent1"/>
              <w:left w:val="single" w:sz="4" w:space="0" w:color="5B9BD5" w:themeColor="accent1"/>
              <w:bottom w:val="single" w:sz="4" w:space="0" w:color="5B9BD5" w:themeColor="accent1"/>
            </w:tcBorders>
            <w:shd w:val="clear" w:color="auto" w:fill="auto"/>
            <w:vAlign w:val="center"/>
            <w:hideMark/>
          </w:tcPr>
          <w:p w:rsidR="0040034D" w:rsidRPr="007455DF" w:rsidRDefault="007455DF" w:rsidP="007455DF">
            <w:pPr>
              <w:ind w:firstLineChars="100" w:firstLine="180"/>
              <w:rPr>
                <w:rFonts w:asciiTheme="minorHAnsi" w:hAnsiTheme="minorHAnsi" w:cstheme="minorHAnsi"/>
                <w:i/>
                <w:iCs/>
                <w:color w:val="000000"/>
                <w:sz w:val="18"/>
                <w:szCs w:val="18"/>
              </w:rPr>
            </w:pPr>
            <w:r w:rsidRPr="007455DF">
              <w:rPr>
                <w:rFonts w:asciiTheme="minorHAnsi" w:hAnsiTheme="minorHAnsi" w:cstheme="minorHAnsi"/>
                <w:i/>
                <w:iCs/>
                <w:color w:val="000000"/>
                <w:sz w:val="18"/>
                <w:szCs w:val="18"/>
                <w:lang w:val="en-US"/>
              </w:rPr>
              <w:t>in % of GDP</w:t>
            </w:r>
          </w:p>
        </w:tc>
        <w:tc>
          <w:tcPr>
            <w:tcW w:w="1022" w:type="dxa"/>
            <w:tcBorders>
              <w:top w:val="single" w:sz="4" w:space="0" w:color="5B9BD5" w:themeColor="accent1"/>
              <w:bottom w:val="single" w:sz="4" w:space="0" w:color="5B9BD5" w:themeColor="accent1"/>
            </w:tcBorders>
            <w:vAlign w:val="center"/>
          </w:tcPr>
          <w:p w:rsidR="0040034D" w:rsidRPr="00C92486" w:rsidRDefault="0040034D"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5%</w:t>
            </w:r>
          </w:p>
        </w:tc>
        <w:tc>
          <w:tcPr>
            <w:tcW w:w="1022" w:type="dxa"/>
            <w:tcBorders>
              <w:top w:val="single" w:sz="4" w:space="0" w:color="5B9BD5" w:themeColor="accent1"/>
              <w:bottom w:val="single" w:sz="4" w:space="0" w:color="5B9BD5" w:themeColor="accent1"/>
            </w:tcBorders>
            <w:vAlign w:val="center"/>
          </w:tcPr>
          <w:p w:rsidR="0040034D" w:rsidRPr="00C92486" w:rsidRDefault="0040034D"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5%</w:t>
            </w:r>
          </w:p>
        </w:tc>
        <w:tc>
          <w:tcPr>
            <w:tcW w:w="1021" w:type="dxa"/>
            <w:tcBorders>
              <w:top w:val="single" w:sz="4" w:space="0" w:color="5B9BD5" w:themeColor="accent1"/>
              <w:bottom w:val="single" w:sz="4" w:space="0" w:color="5B9BD5" w:themeColor="accent1"/>
            </w:tcBorders>
            <w:vAlign w:val="center"/>
          </w:tcPr>
          <w:p w:rsidR="0040034D" w:rsidRPr="00C92486" w:rsidRDefault="0040034D"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2%</w:t>
            </w:r>
          </w:p>
        </w:tc>
        <w:tc>
          <w:tcPr>
            <w:tcW w:w="1021" w:type="dxa"/>
            <w:tcBorders>
              <w:top w:val="single" w:sz="4" w:space="0" w:color="5B9BD5" w:themeColor="accent1"/>
              <w:bottom w:val="single" w:sz="4" w:space="0" w:color="5B9BD5" w:themeColor="accent1"/>
            </w:tcBorders>
            <w:vAlign w:val="center"/>
          </w:tcPr>
          <w:p w:rsidR="0040034D" w:rsidRPr="00C92486" w:rsidRDefault="0040034D"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2%</w:t>
            </w:r>
          </w:p>
        </w:tc>
        <w:tc>
          <w:tcPr>
            <w:tcW w:w="1021" w:type="dxa"/>
            <w:tcBorders>
              <w:top w:val="single" w:sz="4" w:space="0" w:color="5B9BD5" w:themeColor="accent1"/>
              <w:bottom w:val="single" w:sz="4" w:space="0" w:color="5B9BD5" w:themeColor="accent1"/>
            </w:tcBorders>
            <w:vAlign w:val="center"/>
          </w:tcPr>
          <w:p w:rsidR="0040034D" w:rsidRPr="00C92486" w:rsidRDefault="0040034D"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3%</w:t>
            </w:r>
          </w:p>
        </w:tc>
        <w:tc>
          <w:tcPr>
            <w:tcW w:w="1021" w:type="dxa"/>
            <w:tcBorders>
              <w:top w:val="single" w:sz="4" w:space="0" w:color="5B9BD5" w:themeColor="accent1"/>
              <w:bottom w:val="single" w:sz="4" w:space="0" w:color="5B9BD5" w:themeColor="accent1"/>
            </w:tcBorders>
            <w:vAlign w:val="center"/>
          </w:tcPr>
          <w:p w:rsidR="0040034D" w:rsidRPr="00C92486" w:rsidRDefault="0040034D"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w:t>
            </w:r>
          </w:p>
        </w:tc>
        <w:tc>
          <w:tcPr>
            <w:tcW w:w="1021" w:type="dxa"/>
            <w:tcBorders>
              <w:top w:val="single" w:sz="4" w:space="0" w:color="5B9BD5" w:themeColor="accent1"/>
              <w:bottom w:val="single" w:sz="4" w:space="0" w:color="5B9BD5" w:themeColor="accent1"/>
            </w:tcBorders>
            <w:shd w:val="clear" w:color="auto" w:fill="auto"/>
            <w:vAlign w:val="center"/>
            <w:hideMark/>
          </w:tcPr>
          <w:p w:rsidR="0040034D" w:rsidRPr="00C92486" w:rsidRDefault="0040034D"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0%</w:t>
            </w:r>
          </w:p>
        </w:tc>
        <w:tc>
          <w:tcPr>
            <w:tcW w:w="1021" w:type="dxa"/>
            <w:tcBorders>
              <w:top w:val="single" w:sz="4" w:space="0" w:color="5B9BD5" w:themeColor="accent1"/>
              <w:bottom w:val="single" w:sz="4" w:space="0" w:color="5B9BD5" w:themeColor="accent1"/>
            </w:tcBorders>
            <w:shd w:val="clear" w:color="auto" w:fill="auto"/>
            <w:vAlign w:val="center"/>
            <w:hideMark/>
          </w:tcPr>
          <w:p w:rsidR="0040034D" w:rsidRPr="00C92486" w:rsidRDefault="0040034D" w:rsidP="007455DF">
            <w:pPr>
              <w:jc w:val="center"/>
              <w:rPr>
                <w:rFonts w:asciiTheme="minorHAnsi" w:hAnsiTheme="minorHAnsi" w:cstheme="minorHAnsi"/>
                <w:i/>
                <w:color w:val="000000"/>
                <w:sz w:val="18"/>
                <w:szCs w:val="18"/>
              </w:rPr>
            </w:pPr>
            <w:r w:rsidRPr="00C92486">
              <w:rPr>
                <w:rFonts w:asciiTheme="minorHAnsi" w:hAnsiTheme="minorHAnsi" w:cstheme="minorHAnsi"/>
                <w:i/>
                <w:iCs/>
                <w:color w:val="000000"/>
                <w:sz w:val="18"/>
                <w:szCs w:val="18"/>
              </w:rPr>
              <w:t>3%</w:t>
            </w:r>
          </w:p>
        </w:tc>
        <w:tc>
          <w:tcPr>
            <w:tcW w:w="1021" w:type="dxa"/>
            <w:tcBorders>
              <w:top w:val="single" w:sz="4" w:space="0" w:color="5B9BD5" w:themeColor="accent1"/>
              <w:bottom w:val="single" w:sz="4" w:space="0" w:color="5B9BD5" w:themeColor="accent1"/>
            </w:tcBorders>
            <w:shd w:val="clear" w:color="auto" w:fill="auto"/>
            <w:vAlign w:val="center"/>
            <w:hideMark/>
          </w:tcPr>
          <w:p w:rsidR="0040034D" w:rsidRPr="00C92486" w:rsidRDefault="0040034D" w:rsidP="007455DF">
            <w:pPr>
              <w:jc w:val="center"/>
              <w:rPr>
                <w:rFonts w:asciiTheme="minorHAnsi" w:hAnsiTheme="minorHAnsi" w:cstheme="minorHAnsi"/>
                <w:i/>
                <w:color w:val="000000"/>
                <w:sz w:val="18"/>
                <w:szCs w:val="18"/>
              </w:rPr>
            </w:pPr>
            <w:r w:rsidRPr="00C92486">
              <w:rPr>
                <w:rFonts w:asciiTheme="minorHAnsi" w:hAnsiTheme="minorHAnsi" w:cstheme="minorHAnsi"/>
                <w:i/>
                <w:iCs/>
                <w:color w:val="000000"/>
                <w:sz w:val="18"/>
                <w:szCs w:val="18"/>
              </w:rPr>
              <w:t>-7%</w:t>
            </w:r>
          </w:p>
        </w:tc>
        <w:tc>
          <w:tcPr>
            <w:tcW w:w="1021" w:type="dxa"/>
            <w:tcBorders>
              <w:top w:val="single" w:sz="4" w:space="0" w:color="5B9BD5" w:themeColor="accent1"/>
              <w:bottom w:val="single" w:sz="4" w:space="0" w:color="5B9BD5" w:themeColor="accent1"/>
            </w:tcBorders>
            <w:vAlign w:val="center"/>
          </w:tcPr>
          <w:p w:rsidR="0040034D" w:rsidRPr="00C92486" w:rsidRDefault="0040034D" w:rsidP="007455DF">
            <w:pPr>
              <w:jc w:val="center"/>
              <w:rPr>
                <w:rFonts w:asciiTheme="minorHAnsi" w:hAnsiTheme="minorHAnsi" w:cstheme="minorHAnsi"/>
                <w:i/>
                <w:color w:val="000000"/>
                <w:sz w:val="18"/>
                <w:szCs w:val="18"/>
              </w:rPr>
            </w:pPr>
            <w:r w:rsidRPr="00C92486">
              <w:rPr>
                <w:rFonts w:asciiTheme="minorHAnsi" w:hAnsiTheme="minorHAnsi" w:cstheme="minorHAnsi"/>
                <w:i/>
                <w:iCs/>
                <w:color w:val="000000"/>
                <w:sz w:val="18"/>
                <w:szCs w:val="18"/>
              </w:rPr>
              <w:t>-6%</w:t>
            </w:r>
          </w:p>
        </w:tc>
        <w:tc>
          <w:tcPr>
            <w:tcW w:w="1021" w:type="dxa"/>
            <w:tcBorders>
              <w:top w:val="single" w:sz="4" w:space="0" w:color="5B9BD5" w:themeColor="accent1"/>
              <w:bottom w:val="single" w:sz="4" w:space="0" w:color="5B9BD5" w:themeColor="accent1"/>
              <w:right w:val="single" w:sz="4" w:space="0" w:color="5B9BD5" w:themeColor="accent1"/>
            </w:tcBorders>
            <w:vAlign w:val="center"/>
          </w:tcPr>
          <w:p w:rsidR="0040034D" w:rsidRPr="00C92486" w:rsidRDefault="0040034D" w:rsidP="007455DF">
            <w:pPr>
              <w:jc w:val="center"/>
              <w:rPr>
                <w:rFonts w:asciiTheme="minorHAnsi" w:hAnsiTheme="minorHAnsi" w:cstheme="minorHAnsi"/>
                <w:i/>
                <w:color w:val="000000"/>
                <w:sz w:val="18"/>
                <w:szCs w:val="18"/>
              </w:rPr>
            </w:pPr>
            <w:r w:rsidRPr="00C92486">
              <w:rPr>
                <w:rFonts w:asciiTheme="minorHAnsi" w:hAnsiTheme="minorHAnsi" w:cstheme="minorHAnsi"/>
                <w:i/>
                <w:iCs/>
                <w:color w:val="000000"/>
                <w:sz w:val="18"/>
                <w:szCs w:val="18"/>
              </w:rPr>
              <w:t>-5%</w:t>
            </w:r>
          </w:p>
        </w:tc>
      </w:tr>
      <w:tr w:rsidR="007455DF" w:rsidRPr="00C92486" w:rsidTr="00C73D4D">
        <w:trPr>
          <w:trHeight w:val="314"/>
          <w:jc w:val="center"/>
        </w:trPr>
        <w:tc>
          <w:tcPr>
            <w:tcW w:w="3610" w:type="dxa"/>
            <w:tcBorders>
              <w:top w:val="single" w:sz="4" w:space="0" w:color="5B9BD5" w:themeColor="accent1"/>
              <w:left w:val="single" w:sz="4" w:space="0" w:color="5B9BD5" w:themeColor="accent1"/>
              <w:bottom w:val="single" w:sz="4" w:space="0" w:color="5B9BD5" w:themeColor="accent1"/>
            </w:tcBorders>
            <w:shd w:val="clear" w:color="auto" w:fill="auto"/>
            <w:vAlign w:val="center"/>
            <w:hideMark/>
          </w:tcPr>
          <w:p w:rsidR="007455DF" w:rsidRPr="007A024C" w:rsidRDefault="007455DF" w:rsidP="007455DF">
            <w:pPr>
              <w:rPr>
                <w:rFonts w:asciiTheme="minorHAnsi" w:hAnsiTheme="minorHAnsi" w:cstheme="minorHAnsi"/>
                <w:b/>
                <w:color w:val="000000"/>
                <w:sz w:val="20"/>
                <w:szCs w:val="20"/>
                <w:lang w:val="en-US"/>
              </w:rPr>
            </w:pPr>
            <w:r>
              <w:rPr>
                <w:rFonts w:asciiTheme="minorHAnsi" w:hAnsiTheme="minorHAnsi" w:cstheme="minorHAnsi"/>
                <w:b/>
                <w:color w:val="000000"/>
                <w:sz w:val="20"/>
                <w:szCs w:val="20"/>
                <w:lang w:val="en-US"/>
              </w:rPr>
              <w:t>Exports of goods and services</w:t>
            </w:r>
          </w:p>
          <w:p w:rsidR="007455DF" w:rsidRPr="008B2BB6" w:rsidRDefault="007455DF" w:rsidP="007455DF">
            <w:pPr>
              <w:rPr>
                <w:rFonts w:asciiTheme="minorHAnsi" w:hAnsiTheme="minorHAnsi" w:cstheme="minorHAnsi"/>
                <w:i/>
                <w:color w:val="000000"/>
                <w:sz w:val="18"/>
                <w:szCs w:val="18"/>
                <w:lang w:val="en-US"/>
              </w:rPr>
            </w:pPr>
            <w:r w:rsidRPr="00A43D5F">
              <w:rPr>
                <w:rFonts w:asciiTheme="minorHAnsi" w:hAnsiTheme="minorHAnsi" w:cstheme="minorHAnsi"/>
                <w:i/>
                <w:color w:val="000000"/>
                <w:sz w:val="18"/>
                <w:szCs w:val="18"/>
                <w:lang w:val="uz-Cyrl-UZ"/>
              </w:rPr>
              <w:t>(</w:t>
            </w:r>
            <w:r>
              <w:rPr>
                <w:rFonts w:asciiTheme="minorHAnsi" w:hAnsiTheme="minorHAnsi" w:cstheme="minorHAnsi"/>
                <w:i/>
                <w:color w:val="000000"/>
                <w:sz w:val="18"/>
                <w:szCs w:val="18"/>
                <w:lang w:val="en-US"/>
              </w:rPr>
              <w:t>USD billion, for the period</w:t>
            </w:r>
            <w:r w:rsidRPr="00A43D5F">
              <w:rPr>
                <w:rFonts w:asciiTheme="minorHAnsi" w:hAnsiTheme="minorHAnsi" w:cstheme="minorHAnsi"/>
                <w:i/>
                <w:color w:val="000000"/>
                <w:sz w:val="18"/>
                <w:szCs w:val="18"/>
                <w:lang w:val="uz-Cyrl-UZ"/>
              </w:rPr>
              <w:t>)</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12,1</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14,2</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13,0</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13,6</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12,9</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11,8</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10,5</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12,4</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14,1</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17,0</w:t>
            </w:r>
          </w:p>
        </w:tc>
        <w:tc>
          <w:tcPr>
            <w:tcW w:w="1021" w:type="dxa"/>
            <w:tcBorders>
              <w:top w:val="single" w:sz="4" w:space="0" w:color="5B9BD5" w:themeColor="accent1"/>
              <w:bottom w:val="single" w:sz="4" w:space="0" w:color="5B9BD5" w:themeColor="accent1"/>
              <w:right w:val="single" w:sz="4" w:space="0" w:color="5B9BD5" w:themeColor="accent1"/>
            </w:tcBorders>
            <w:vAlign w:val="center"/>
          </w:tcPr>
          <w:p w:rsidR="007455DF" w:rsidRPr="00C92486" w:rsidRDefault="007455DF" w:rsidP="007455DF">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14,5</w:t>
            </w:r>
          </w:p>
        </w:tc>
      </w:tr>
      <w:tr w:rsidR="007455DF" w:rsidRPr="00C92486" w:rsidTr="00C73D4D">
        <w:trPr>
          <w:trHeight w:val="91"/>
          <w:jc w:val="center"/>
        </w:trPr>
        <w:tc>
          <w:tcPr>
            <w:tcW w:w="3610" w:type="dxa"/>
            <w:tcBorders>
              <w:top w:val="single" w:sz="4" w:space="0" w:color="5B9BD5" w:themeColor="accent1"/>
              <w:left w:val="single" w:sz="4" w:space="0" w:color="5B9BD5" w:themeColor="accent1"/>
              <w:bottom w:val="single" w:sz="4" w:space="0" w:color="5B9BD5" w:themeColor="accent1"/>
            </w:tcBorders>
            <w:shd w:val="clear" w:color="auto" w:fill="auto"/>
            <w:vAlign w:val="center"/>
            <w:hideMark/>
          </w:tcPr>
          <w:p w:rsidR="007455DF" w:rsidRPr="007455DF" w:rsidRDefault="007455DF" w:rsidP="007455DF">
            <w:pPr>
              <w:ind w:firstLine="229"/>
              <w:rPr>
                <w:rFonts w:asciiTheme="minorHAnsi" w:hAnsiTheme="minorHAnsi" w:cstheme="minorHAnsi"/>
                <w:i/>
                <w:color w:val="000000"/>
                <w:sz w:val="18"/>
                <w:szCs w:val="18"/>
              </w:rPr>
            </w:pPr>
            <w:r w:rsidRPr="007455DF">
              <w:rPr>
                <w:rFonts w:asciiTheme="minorHAnsi" w:hAnsiTheme="minorHAnsi" w:cstheme="minorHAnsi"/>
                <w:i/>
                <w:iCs/>
                <w:color w:val="000000"/>
                <w:sz w:val="18"/>
                <w:szCs w:val="18"/>
                <w:lang w:val="en-US"/>
              </w:rPr>
              <w:t>in % of GDP</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26%</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25%</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20%</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20%</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17%</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14%</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13%</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i/>
                <w:color w:val="000000"/>
                <w:sz w:val="18"/>
                <w:szCs w:val="18"/>
              </w:rPr>
            </w:pPr>
            <w:r w:rsidRPr="00C92486">
              <w:rPr>
                <w:rFonts w:asciiTheme="minorHAnsi" w:hAnsiTheme="minorHAnsi" w:cstheme="minorHAnsi"/>
                <w:i/>
                <w:iCs/>
                <w:color w:val="000000"/>
                <w:sz w:val="18"/>
                <w:szCs w:val="18"/>
              </w:rPr>
              <w:t>21%</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i/>
                <w:color w:val="000000"/>
                <w:sz w:val="18"/>
                <w:szCs w:val="18"/>
              </w:rPr>
            </w:pPr>
            <w:r w:rsidRPr="00C92486">
              <w:rPr>
                <w:rFonts w:asciiTheme="minorHAnsi" w:hAnsiTheme="minorHAnsi" w:cstheme="minorHAnsi"/>
                <w:i/>
                <w:iCs/>
                <w:color w:val="000000"/>
                <w:sz w:val="18"/>
                <w:szCs w:val="18"/>
              </w:rPr>
              <w:t>28%</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color w:val="000000"/>
                <w:sz w:val="18"/>
                <w:szCs w:val="18"/>
              </w:rPr>
            </w:pPr>
            <w:r w:rsidRPr="00C92486">
              <w:rPr>
                <w:rFonts w:asciiTheme="minorHAnsi" w:hAnsiTheme="minorHAnsi" w:cstheme="minorHAnsi"/>
                <w:i/>
                <w:iCs/>
                <w:color w:val="000000"/>
                <w:sz w:val="18"/>
                <w:szCs w:val="18"/>
              </w:rPr>
              <w:t>29%</w:t>
            </w:r>
          </w:p>
        </w:tc>
        <w:tc>
          <w:tcPr>
            <w:tcW w:w="1021" w:type="dxa"/>
            <w:tcBorders>
              <w:top w:val="single" w:sz="4" w:space="0" w:color="5B9BD5" w:themeColor="accent1"/>
              <w:bottom w:val="single" w:sz="4" w:space="0" w:color="5B9BD5" w:themeColor="accent1"/>
              <w:right w:val="single" w:sz="4" w:space="0" w:color="5B9BD5" w:themeColor="accent1"/>
            </w:tcBorders>
            <w:vAlign w:val="center"/>
          </w:tcPr>
          <w:p w:rsidR="007455DF" w:rsidRPr="00C92486" w:rsidRDefault="007455DF" w:rsidP="007455DF">
            <w:pPr>
              <w:jc w:val="center"/>
              <w:rPr>
                <w:rFonts w:asciiTheme="minorHAnsi" w:hAnsiTheme="minorHAnsi" w:cstheme="minorHAnsi"/>
                <w:i/>
                <w:color w:val="000000"/>
                <w:sz w:val="18"/>
                <w:szCs w:val="18"/>
              </w:rPr>
            </w:pPr>
            <w:r w:rsidRPr="00C92486">
              <w:rPr>
                <w:rFonts w:asciiTheme="minorHAnsi" w:hAnsiTheme="minorHAnsi" w:cstheme="minorHAnsi"/>
                <w:i/>
                <w:iCs/>
                <w:color w:val="000000"/>
                <w:sz w:val="18"/>
                <w:szCs w:val="18"/>
              </w:rPr>
              <w:t>25%</w:t>
            </w:r>
          </w:p>
        </w:tc>
      </w:tr>
      <w:tr w:rsidR="007455DF" w:rsidRPr="00C92486" w:rsidTr="00C73D4D">
        <w:trPr>
          <w:trHeight w:val="314"/>
          <w:jc w:val="center"/>
        </w:trPr>
        <w:tc>
          <w:tcPr>
            <w:tcW w:w="3610" w:type="dxa"/>
            <w:tcBorders>
              <w:top w:val="single" w:sz="4" w:space="0" w:color="5B9BD5" w:themeColor="accent1"/>
              <w:left w:val="single" w:sz="4" w:space="0" w:color="5B9BD5" w:themeColor="accent1"/>
              <w:bottom w:val="single" w:sz="4" w:space="0" w:color="5B9BD5" w:themeColor="accent1"/>
            </w:tcBorders>
            <w:shd w:val="clear" w:color="auto" w:fill="auto"/>
            <w:vAlign w:val="center"/>
            <w:hideMark/>
          </w:tcPr>
          <w:p w:rsidR="007455DF" w:rsidRPr="007A024C" w:rsidRDefault="007455DF" w:rsidP="007455DF">
            <w:pPr>
              <w:rPr>
                <w:rFonts w:asciiTheme="minorHAnsi" w:hAnsiTheme="minorHAnsi" w:cstheme="minorHAnsi"/>
                <w:b/>
                <w:color w:val="000000"/>
                <w:sz w:val="20"/>
                <w:szCs w:val="20"/>
                <w:lang w:val="en-US"/>
              </w:rPr>
            </w:pPr>
            <w:r>
              <w:rPr>
                <w:rFonts w:asciiTheme="minorHAnsi" w:hAnsiTheme="minorHAnsi" w:cstheme="minorHAnsi"/>
                <w:b/>
                <w:color w:val="000000"/>
                <w:sz w:val="20"/>
                <w:szCs w:val="20"/>
                <w:lang w:val="en-US"/>
              </w:rPr>
              <w:t>Imports of goods and services</w:t>
            </w:r>
          </w:p>
          <w:p w:rsidR="007455DF" w:rsidRPr="008B2BB6" w:rsidRDefault="007455DF" w:rsidP="007455DF">
            <w:pPr>
              <w:rPr>
                <w:rFonts w:asciiTheme="minorHAnsi" w:hAnsiTheme="minorHAnsi" w:cstheme="minorHAnsi"/>
                <w:i/>
                <w:color w:val="000000"/>
                <w:sz w:val="18"/>
                <w:szCs w:val="18"/>
                <w:lang w:val="en-US"/>
              </w:rPr>
            </w:pPr>
            <w:r w:rsidRPr="00A43D5F">
              <w:rPr>
                <w:rFonts w:asciiTheme="minorHAnsi" w:hAnsiTheme="minorHAnsi" w:cstheme="minorHAnsi"/>
                <w:i/>
                <w:color w:val="000000"/>
                <w:sz w:val="18"/>
                <w:szCs w:val="18"/>
                <w:lang w:val="uz-Cyrl-UZ"/>
              </w:rPr>
              <w:t>(</w:t>
            </w:r>
            <w:r>
              <w:rPr>
                <w:rFonts w:asciiTheme="minorHAnsi" w:hAnsiTheme="minorHAnsi" w:cstheme="minorHAnsi"/>
                <w:i/>
                <w:color w:val="000000"/>
                <w:sz w:val="18"/>
                <w:szCs w:val="18"/>
                <w:lang w:val="en-US"/>
              </w:rPr>
              <w:t>USD billion, for the period</w:t>
            </w:r>
            <w:r w:rsidRPr="00A43D5F">
              <w:rPr>
                <w:rFonts w:asciiTheme="minorHAnsi" w:hAnsiTheme="minorHAnsi" w:cstheme="minorHAnsi"/>
                <w:i/>
                <w:color w:val="000000"/>
                <w:sz w:val="18"/>
                <w:szCs w:val="18"/>
                <w:lang w:val="uz-Cyrl-UZ"/>
              </w:rPr>
              <w:t>)</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12,4</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15,6</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16,8</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17,3</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16,4</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14,7</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14,5</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16,5</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23,4</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26,6</w:t>
            </w:r>
          </w:p>
        </w:tc>
        <w:tc>
          <w:tcPr>
            <w:tcW w:w="1021" w:type="dxa"/>
            <w:tcBorders>
              <w:top w:val="single" w:sz="4" w:space="0" w:color="5B9BD5" w:themeColor="accent1"/>
              <w:bottom w:val="single" w:sz="4" w:space="0" w:color="5B9BD5" w:themeColor="accent1"/>
              <w:right w:val="single" w:sz="4" w:space="0" w:color="5B9BD5" w:themeColor="accent1"/>
            </w:tcBorders>
            <w:vAlign w:val="center"/>
          </w:tcPr>
          <w:p w:rsidR="007455DF" w:rsidRPr="00C92486" w:rsidRDefault="007455DF" w:rsidP="007455DF">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22,6</w:t>
            </w:r>
          </w:p>
        </w:tc>
      </w:tr>
      <w:tr w:rsidR="007455DF" w:rsidRPr="00C92486" w:rsidTr="00C73D4D">
        <w:trPr>
          <w:trHeight w:val="91"/>
          <w:jc w:val="center"/>
        </w:trPr>
        <w:tc>
          <w:tcPr>
            <w:tcW w:w="3610" w:type="dxa"/>
            <w:tcBorders>
              <w:top w:val="single" w:sz="4" w:space="0" w:color="5B9BD5" w:themeColor="accent1"/>
              <w:left w:val="single" w:sz="4" w:space="0" w:color="5B9BD5" w:themeColor="accent1"/>
              <w:bottom w:val="single" w:sz="4" w:space="0" w:color="5B9BD5" w:themeColor="accent1"/>
            </w:tcBorders>
            <w:shd w:val="clear" w:color="auto" w:fill="auto"/>
            <w:vAlign w:val="center"/>
            <w:hideMark/>
          </w:tcPr>
          <w:p w:rsidR="007455DF" w:rsidRPr="007455DF" w:rsidRDefault="007455DF" w:rsidP="007455DF">
            <w:pPr>
              <w:ind w:firstLineChars="100" w:firstLine="180"/>
              <w:rPr>
                <w:rFonts w:asciiTheme="minorHAnsi" w:hAnsiTheme="minorHAnsi" w:cstheme="minorHAnsi"/>
                <w:i/>
                <w:iCs/>
                <w:color w:val="000000"/>
                <w:sz w:val="18"/>
                <w:szCs w:val="18"/>
              </w:rPr>
            </w:pPr>
            <w:r w:rsidRPr="007455DF">
              <w:rPr>
                <w:rFonts w:asciiTheme="minorHAnsi" w:hAnsiTheme="minorHAnsi" w:cstheme="minorHAnsi"/>
                <w:i/>
                <w:iCs/>
                <w:color w:val="000000"/>
                <w:sz w:val="18"/>
                <w:szCs w:val="18"/>
                <w:lang w:val="en-US"/>
              </w:rPr>
              <w:t>in % of GDP</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27%</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28%</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26%</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25%</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21%</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18%</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18%</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28%</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47%</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46%</w:t>
            </w:r>
          </w:p>
        </w:tc>
        <w:tc>
          <w:tcPr>
            <w:tcW w:w="1021" w:type="dxa"/>
            <w:tcBorders>
              <w:top w:val="single" w:sz="4" w:space="0" w:color="5B9BD5" w:themeColor="accent1"/>
              <w:bottom w:val="single" w:sz="4" w:space="0" w:color="5B9BD5" w:themeColor="accent1"/>
              <w:right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39%</w:t>
            </w:r>
          </w:p>
        </w:tc>
      </w:tr>
      <w:tr w:rsidR="007455DF" w:rsidRPr="00C92486" w:rsidTr="00C73D4D">
        <w:trPr>
          <w:trHeight w:val="314"/>
          <w:jc w:val="center"/>
        </w:trPr>
        <w:tc>
          <w:tcPr>
            <w:tcW w:w="3610" w:type="dxa"/>
            <w:tcBorders>
              <w:top w:val="single" w:sz="4" w:space="0" w:color="5B9BD5" w:themeColor="accent1"/>
              <w:left w:val="single" w:sz="4" w:space="0" w:color="5B9BD5" w:themeColor="accent1"/>
              <w:bottom w:val="single" w:sz="4" w:space="0" w:color="5B9BD5" w:themeColor="accent1"/>
            </w:tcBorders>
            <w:shd w:val="clear" w:color="auto" w:fill="auto"/>
            <w:vAlign w:val="center"/>
          </w:tcPr>
          <w:p w:rsidR="007455DF" w:rsidRPr="00226697" w:rsidRDefault="007455DF" w:rsidP="007455DF">
            <w:pPr>
              <w:rPr>
                <w:rFonts w:asciiTheme="minorHAnsi" w:hAnsiTheme="minorHAnsi" w:cstheme="minorHAnsi"/>
                <w:b/>
                <w:iCs/>
                <w:color w:val="000000"/>
                <w:sz w:val="20"/>
                <w:szCs w:val="20"/>
                <w:lang w:val="en-US"/>
              </w:rPr>
            </w:pPr>
            <w:r>
              <w:rPr>
                <w:rFonts w:asciiTheme="minorHAnsi" w:hAnsiTheme="minorHAnsi" w:cstheme="minorHAnsi"/>
                <w:b/>
                <w:iCs/>
                <w:color w:val="000000"/>
                <w:sz w:val="20"/>
                <w:szCs w:val="20"/>
                <w:lang w:val="en-US"/>
              </w:rPr>
              <w:t>Cross</w:t>
            </w:r>
            <w:r w:rsidRPr="00226697">
              <w:rPr>
                <w:rFonts w:asciiTheme="minorHAnsi" w:hAnsiTheme="minorHAnsi" w:cstheme="minorHAnsi"/>
                <w:b/>
                <w:iCs/>
                <w:color w:val="000000"/>
                <w:sz w:val="20"/>
                <w:szCs w:val="20"/>
                <w:lang w:val="en-US"/>
              </w:rPr>
              <w:t>-</w:t>
            </w:r>
            <w:r>
              <w:rPr>
                <w:rFonts w:asciiTheme="minorHAnsi" w:hAnsiTheme="minorHAnsi" w:cstheme="minorHAnsi"/>
                <w:b/>
                <w:iCs/>
                <w:color w:val="000000"/>
                <w:sz w:val="20"/>
                <w:szCs w:val="20"/>
                <w:lang w:val="en-US"/>
              </w:rPr>
              <w:t>border</w:t>
            </w:r>
            <w:r w:rsidRPr="00226697">
              <w:rPr>
                <w:rFonts w:asciiTheme="minorHAnsi" w:hAnsiTheme="minorHAnsi" w:cstheme="minorHAnsi"/>
                <w:b/>
                <w:iCs/>
                <w:color w:val="000000"/>
                <w:sz w:val="20"/>
                <w:szCs w:val="20"/>
                <w:lang w:val="en-US"/>
              </w:rPr>
              <w:t xml:space="preserve"> </w:t>
            </w:r>
            <w:r>
              <w:rPr>
                <w:rFonts w:asciiTheme="minorHAnsi" w:hAnsiTheme="minorHAnsi" w:cstheme="minorHAnsi"/>
                <w:b/>
                <w:iCs/>
                <w:color w:val="000000"/>
                <w:sz w:val="20"/>
                <w:szCs w:val="20"/>
                <w:lang w:val="en-US"/>
              </w:rPr>
              <w:t>transfers</w:t>
            </w:r>
            <w:r w:rsidRPr="00226697">
              <w:rPr>
                <w:rFonts w:asciiTheme="minorHAnsi" w:hAnsiTheme="minorHAnsi" w:cstheme="minorHAnsi"/>
                <w:b/>
                <w:iCs/>
                <w:color w:val="000000"/>
                <w:sz w:val="20"/>
                <w:szCs w:val="20"/>
                <w:lang w:val="en-US"/>
              </w:rPr>
              <w:t xml:space="preserve"> </w:t>
            </w:r>
            <w:r>
              <w:rPr>
                <w:rFonts w:asciiTheme="minorHAnsi" w:hAnsiTheme="minorHAnsi" w:cstheme="minorHAnsi"/>
                <w:b/>
                <w:iCs/>
                <w:color w:val="000000"/>
                <w:sz w:val="20"/>
                <w:szCs w:val="20"/>
                <w:lang w:val="en-US"/>
              </w:rPr>
              <w:t>received</w:t>
            </w:r>
            <w:r w:rsidRPr="00226697">
              <w:rPr>
                <w:rFonts w:asciiTheme="minorHAnsi" w:hAnsiTheme="minorHAnsi" w:cstheme="minorHAnsi"/>
                <w:b/>
                <w:iCs/>
                <w:color w:val="000000"/>
                <w:sz w:val="20"/>
                <w:szCs w:val="20"/>
                <w:lang w:val="en-US"/>
              </w:rPr>
              <w:t xml:space="preserve"> </w:t>
            </w:r>
            <w:r>
              <w:rPr>
                <w:rFonts w:asciiTheme="minorHAnsi" w:hAnsiTheme="minorHAnsi" w:cstheme="minorHAnsi"/>
                <w:b/>
                <w:iCs/>
                <w:color w:val="000000"/>
                <w:sz w:val="20"/>
                <w:szCs w:val="20"/>
                <w:lang w:val="en-US"/>
              </w:rPr>
              <w:t>by</w:t>
            </w:r>
            <w:r w:rsidRPr="00226697">
              <w:rPr>
                <w:rFonts w:asciiTheme="minorHAnsi" w:hAnsiTheme="minorHAnsi" w:cstheme="minorHAnsi"/>
                <w:b/>
                <w:iCs/>
                <w:color w:val="000000"/>
                <w:sz w:val="20"/>
                <w:szCs w:val="20"/>
                <w:lang w:val="en-US"/>
              </w:rPr>
              <w:t xml:space="preserve"> </w:t>
            </w:r>
            <w:r>
              <w:rPr>
                <w:rFonts w:asciiTheme="minorHAnsi" w:hAnsiTheme="minorHAnsi" w:cstheme="minorHAnsi"/>
                <w:b/>
                <w:iCs/>
                <w:color w:val="000000"/>
                <w:sz w:val="20"/>
                <w:szCs w:val="20"/>
                <w:lang w:val="en-US"/>
              </w:rPr>
              <w:t xml:space="preserve">residents </w:t>
            </w:r>
            <w:r w:rsidRPr="00A43D5F">
              <w:rPr>
                <w:rFonts w:asciiTheme="minorHAnsi" w:hAnsiTheme="minorHAnsi" w:cstheme="minorHAnsi"/>
                <w:i/>
                <w:color w:val="000000"/>
                <w:sz w:val="18"/>
                <w:szCs w:val="18"/>
                <w:lang w:val="uz-Cyrl-UZ"/>
              </w:rPr>
              <w:t>(</w:t>
            </w:r>
            <w:r>
              <w:rPr>
                <w:rFonts w:asciiTheme="minorHAnsi" w:hAnsiTheme="minorHAnsi" w:cstheme="minorHAnsi"/>
                <w:i/>
                <w:color w:val="000000"/>
                <w:sz w:val="18"/>
                <w:szCs w:val="18"/>
                <w:lang w:val="en-US"/>
              </w:rPr>
              <w:t>USD billion, for the period</w:t>
            </w:r>
            <w:r w:rsidRPr="00A43D5F">
              <w:rPr>
                <w:rFonts w:asciiTheme="minorHAnsi" w:hAnsiTheme="minorHAnsi" w:cstheme="minorHAnsi"/>
                <w:i/>
                <w:color w:val="000000"/>
                <w:sz w:val="18"/>
                <w:szCs w:val="18"/>
                <w:lang w:val="uz-Cyrl-UZ"/>
              </w:rPr>
              <w:t>)</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3,4</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4,9</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6,4</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7,5</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6,5</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3,9</w:t>
            </w:r>
          </w:p>
        </w:tc>
        <w:tc>
          <w:tcPr>
            <w:tcW w:w="1021" w:type="dxa"/>
            <w:tcBorders>
              <w:top w:val="single" w:sz="4" w:space="0" w:color="5B9BD5" w:themeColor="accent1"/>
              <w:bottom w:val="single" w:sz="4" w:space="0" w:color="5B9BD5" w:themeColor="accent1"/>
            </w:tcBorders>
            <w:shd w:val="clear" w:color="auto" w:fill="auto"/>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3,7</w:t>
            </w:r>
          </w:p>
        </w:tc>
        <w:tc>
          <w:tcPr>
            <w:tcW w:w="1021" w:type="dxa"/>
            <w:tcBorders>
              <w:top w:val="single" w:sz="4" w:space="0" w:color="5B9BD5" w:themeColor="accent1"/>
              <w:bottom w:val="single" w:sz="4" w:space="0" w:color="5B9BD5" w:themeColor="accent1"/>
            </w:tcBorders>
            <w:shd w:val="clear" w:color="auto" w:fill="auto"/>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4,8</w:t>
            </w:r>
          </w:p>
        </w:tc>
        <w:tc>
          <w:tcPr>
            <w:tcW w:w="1021" w:type="dxa"/>
            <w:tcBorders>
              <w:top w:val="single" w:sz="4" w:space="0" w:color="5B9BD5" w:themeColor="accent1"/>
              <w:bottom w:val="single" w:sz="4" w:space="0" w:color="5B9BD5" w:themeColor="accent1"/>
            </w:tcBorders>
            <w:shd w:val="clear" w:color="auto" w:fill="auto"/>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4,9</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5,8</w:t>
            </w:r>
          </w:p>
        </w:tc>
        <w:tc>
          <w:tcPr>
            <w:tcW w:w="1021" w:type="dxa"/>
            <w:tcBorders>
              <w:top w:val="single" w:sz="4" w:space="0" w:color="5B9BD5" w:themeColor="accent1"/>
              <w:bottom w:val="single" w:sz="4" w:space="0" w:color="5B9BD5" w:themeColor="accent1"/>
              <w:right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5,9</w:t>
            </w:r>
          </w:p>
        </w:tc>
      </w:tr>
      <w:tr w:rsidR="007455DF" w:rsidRPr="00C92486" w:rsidTr="00C73D4D">
        <w:trPr>
          <w:trHeight w:val="91"/>
          <w:jc w:val="center"/>
        </w:trPr>
        <w:tc>
          <w:tcPr>
            <w:tcW w:w="3610" w:type="dxa"/>
            <w:tcBorders>
              <w:top w:val="single" w:sz="4" w:space="0" w:color="5B9BD5" w:themeColor="accent1"/>
              <w:left w:val="single" w:sz="4" w:space="0" w:color="5B9BD5" w:themeColor="accent1"/>
              <w:bottom w:val="single" w:sz="4" w:space="0" w:color="5B9BD5" w:themeColor="accent1"/>
            </w:tcBorders>
            <w:shd w:val="clear" w:color="auto" w:fill="auto"/>
            <w:vAlign w:val="center"/>
          </w:tcPr>
          <w:p w:rsidR="007455DF" w:rsidRPr="007455DF" w:rsidRDefault="007455DF" w:rsidP="007455DF">
            <w:pPr>
              <w:ind w:firstLineChars="100" w:firstLine="180"/>
              <w:rPr>
                <w:rFonts w:asciiTheme="minorHAnsi" w:hAnsiTheme="minorHAnsi" w:cstheme="minorHAnsi"/>
                <w:i/>
                <w:iCs/>
                <w:color w:val="000000"/>
                <w:sz w:val="18"/>
                <w:szCs w:val="18"/>
              </w:rPr>
            </w:pPr>
            <w:r w:rsidRPr="007455DF">
              <w:rPr>
                <w:rFonts w:asciiTheme="minorHAnsi" w:hAnsiTheme="minorHAnsi" w:cstheme="minorHAnsi"/>
                <w:i/>
                <w:iCs/>
                <w:color w:val="000000"/>
                <w:sz w:val="18"/>
                <w:szCs w:val="18"/>
                <w:lang w:val="en-US"/>
              </w:rPr>
              <w:t>in % of GDP</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7%</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9%</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10%</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11%</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8%</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5%</w:t>
            </w:r>
          </w:p>
        </w:tc>
        <w:tc>
          <w:tcPr>
            <w:tcW w:w="1021" w:type="dxa"/>
            <w:tcBorders>
              <w:top w:val="single" w:sz="4" w:space="0" w:color="5B9BD5" w:themeColor="accent1"/>
              <w:bottom w:val="single" w:sz="4" w:space="0" w:color="5B9BD5" w:themeColor="accent1"/>
            </w:tcBorders>
            <w:shd w:val="clear" w:color="auto" w:fill="auto"/>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5%</w:t>
            </w:r>
          </w:p>
        </w:tc>
        <w:tc>
          <w:tcPr>
            <w:tcW w:w="1021" w:type="dxa"/>
            <w:tcBorders>
              <w:top w:val="single" w:sz="4" w:space="0" w:color="5B9BD5" w:themeColor="accent1"/>
              <w:bottom w:val="single" w:sz="4" w:space="0" w:color="5B9BD5" w:themeColor="accent1"/>
            </w:tcBorders>
            <w:shd w:val="clear" w:color="auto" w:fill="auto"/>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8%</w:t>
            </w:r>
          </w:p>
        </w:tc>
        <w:tc>
          <w:tcPr>
            <w:tcW w:w="1021" w:type="dxa"/>
            <w:tcBorders>
              <w:top w:val="single" w:sz="4" w:space="0" w:color="5B9BD5" w:themeColor="accent1"/>
              <w:bottom w:val="single" w:sz="4" w:space="0" w:color="5B9BD5" w:themeColor="accent1"/>
            </w:tcBorders>
            <w:shd w:val="clear" w:color="auto" w:fill="auto"/>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10%</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10%</w:t>
            </w:r>
          </w:p>
        </w:tc>
        <w:tc>
          <w:tcPr>
            <w:tcW w:w="1021" w:type="dxa"/>
            <w:tcBorders>
              <w:top w:val="single" w:sz="4" w:space="0" w:color="5B9BD5" w:themeColor="accent1"/>
              <w:bottom w:val="single" w:sz="4" w:space="0" w:color="5B9BD5" w:themeColor="accent1"/>
              <w:right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10%</w:t>
            </w:r>
          </w:p>
        </w:tc>
      </w:tr>
      <w:tr w:rsidR="007455DF" w:rsidRPr="00C92486" w:rsidTr="00C73D4D">
        <w:trPr>
          <w:trHeight w:val="314"/>
          <w:jc w:val="center"/>
        </w:trPr>
        <w:tc>
          <w:tcPr>
            <w:tcW w:w="3610" w:type="dxa"/>
            <w:tcBorders>
              <w:top w:val="single" w:sz="4" w:space="0" w:color="5B9BD5" w:themeColor="accent1"/>
              <w:left w:val="single" w:sz="4" w:space="0" w:color="5B9BD5" w:themeColor="accent1"/>
              <w:bottom w:val="single" w:sz="4" w:space="0" w:color="5B9BD5" w:themeColor="accent1"/>
            </w:tcBorders>
            <w:shd w:val="clear" w:color="auto" w:fill="auto"/>
            <w:vAlign w:val="center"/>
            <w:hideMark/>
          </w:tcPr>
          <w:p w:rsidR="007455DF" w:rsidRPr="00A43D5F" w:rsidRDefault="007455DF" w:rsidP="007455DF">
            <w:pPr>
              <w:rPr>
                <w:rFonts w:asciiTheme="minorHAnsi" w:hAnsiTheme="minorHAnsi" w:cstheme="minorHAnsi"/>
                <w:b/>
                <w:color w:val="000000"/>
                <w:sz w:val="20"/>
                <w:szCs w:val="20"/>
                <w:lang w:val="uz-Cyrl-UZ"/>
              </w:rPr>
            </w:pPr>
            <w:r>
              <w:rPr>
                <w:rFonts w:asciiTheme="minorHAnsi" w:hAnsiTheme="minorHAnsi" w:cstheme="minorHAnsi"/>
                <w:b/>
                <w:color w:val="000000"/>
                <w:sz w:val="20"/>
                <w:szCs w:val="20"/>
                <w:lang w:val="en-US"/>
              </w:rPr>
              <w:t>Net foreign direct investment</w:t>
            </w:r>
          </w:p>
          <w:p w:rsidR="007455DF" w:rsidRPr="00BD38DB" w:rsidRDefault="007455DF" w:rsidP="007455DF">
            <w:pPr>
              <w:rPr>
                <w:rFonts w:asciiTheme="minorHAnsi" w:hAnsiTheme="minorHAnsi" w:cstheme="minorHAnsi"/>
                <w:i/>
                <w:color w:val="000000"/>
                <w:sz w:val="18"/>
                <w:szCs w:val="18"/>
                <w:lang w:val="en-US"/>
              </w:rPr>
            </w:pPr>
            <w:r>
              <w:rPr>
                <w:rFonts w:asciiTheme="minorHAnsi" w:hAnsiTheme="minorHAnsi" w:cstheme="minorHAnsi"/>
                <w:i/>
                <w:color w:val="000000"/>
                <w:sz w:val="18"/>
                <w:szCs w:val="18"/>
                <w:lang w:val="uz-Cyrl-UZ"/>
              </w:rPr>
              <w:t>(net</w:t>
            </w:r>
            <w:r w:rsidRPr="00A43D5F">
              <w:rPr>
                <w:rFonts w:asciiTheme="minorHAnsi" w:hAnsiTheme="minorHAnsi" w:cstheme="minorHAnsi"/>
                <w:i/>
                <w:color w:val="000000"/>
                <w:sz w:val="18"/>
                <w:szCs w:val="18"/>
                <w:lang w:val="uz-Cyrl-UZ"/>
              </w:rPr>
              <w:t xml:space="preserve"> </w:t>
            </w:r>
            <w:r>
              <w:rPr>
                <w:rFonts w:asciiTheme="minorHAnsi" w:hAnsiTheme="minorHAnsi" w:cstheme="minorHAnsi"/>
                <w:i/>
                <w:color w:val="000000"/>
                <w:sz w:val="18"/>
                <w:szCs w:val="18"/>
                <w:lang w:val="en-US"/>
              </w:rPr>
              <w:t>inflows</w:t>
            </w:r>
            <w:r w:rsidRPr="00A43D5F">
              <w:rPr>
                <w:rFonts w:asciiTheme="minorHAnsi" w:hAnsiTheme="minorHAnsi" w:cstheme="minorHAnsi"/>
                <w:i/>
                <w:color w:val="000000"/>
                <w:sz w:val="18"/>
                <w:szCs w:val="18"/>
                <w:lang w:val="uz-Cyrl-UZ"/>
              </w:rPr>
              <w:t xml:space="preserve">) </w:t>
            </w:r>
            <w:r>
              <w:rPr>
                <w:rFonts w:asciiTheme="minorHAnsi" w:hAnsiTheme="minorHAnsi" w:cstheme="minorHAnsi"/>
                <w:i/>
                <w:color w:val="000000"/>
                <w:sz w:val="18"/>
                <w:szCs w:val="18"/>
                <w:lang w:val="en-US"/>
              </w:rPr>
              <w:t>(USD billion, for the period</w:t>
            </w:r>
            <w:r w:rsidRPr="00A43D5F">
              <w:rPr>
                <w:rFonts w:asciiTheme="minorHAnsi" w:hAnsiTheme="minorHAnsi" w:cstheme="minorHAnsi"/>
                <w:i/>
                <w:color w:val="000000"/>
                <w:sz w:val="18"/>
                <w:szCs w:val="18"/>
                <w:lang w:val="uz-Cyrl-UZ"/>
              </w:rPr>
              <w:t>)</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1,7</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1,6</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0,7</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0,7</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0,8</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1,0</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1,7</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1,8</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0,6</w:t>
            </w:r>
          </w:p>
        </w:tc>
        <w:tc>
          <w:tcPr>
            <w:tcW w:w="1021" w:type="dxa"/>
            <w:tcBorders>
              <w:top w:val="single" w:sz="4" w:space="0" w:color="5B9BD5" w:themeColor="accent1"/>
              <w:bottom w:val="single" w:sz="4" w:space="0" w:color="5B9BD5" w:themeColor="accent1"/>
            </w:tcBorders>
            <w:shd w:val="clear" w:color="auto" w:fill="auto"/>
            <w:vAlign w:val="center"/>
          </w:tcPr>
          <w:p w:rsidR="007455DF" w:rsidRPr="00C92486" w:rsidRDefault="007455DF" w:rsidP="007455DF">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2,3</w:t>
            </w:r>
          </w:p>
        </w:tc>
        <w:tc>
          <w:tcPr>
            <w:tcW w:w="1021" w:type="dxa"/>
            <w:tcBorders>
              <w:top w:val="single" w:sz="4" w:space="0" w:color="5B9BD5" w:themeColor="accent1"/>
              <w:bottom w:val="single" w:sz="4" w:space="0" w:color="5B9BD5" w:themeColor="accent1"/>
              <w:right w:val="single" w:sz="4" w:space="0" w:color="5B9BD5" w:themeColor="accent1"/>
            </w:tcBorders>
            <w:vAlign w:val="center"/>
          </w:tcPr>
          <w:p w:rsidR="007455DF" w:rsidRPr="00C92486" w:rsidRDefault="007455DF" w:rsidP="007455DF">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1,7</w:t>
            </w:r>
          </w:p>
        </w:tc>
      </w:tr>
      <w:tr w:rsidR="007455DF" w:rsidRPr="00C92486" w:rsidTr="00C73D4D">
        <w:trPr>
          <w:trHeight w:val="91"/>
          <w:jc w:val="center"/>
        </w:trPr>
        <w:tc>
          <w:tcPr>
            <w:tcW w:w="3610" w:type="dxa"/>
            <w:tcBorders>
              <w:top w:val="single" w:sz="4" w:space="0" w:color="5B9BD5" w:themeColor="accent1"/>
              <w:left w:val="single" w:sz="4" w:space="0" w:color="5B9BD5" w:themeColor="accent1"/>
              <w:bottom w:val="single" w:sz="4" w:space="0" w:color="5B9BD5" w:themeColor="accent1"/>
            </w:tcBorders>
            <w:shd w:val="clear" w:color="auto" w:fill="auto"/>
            <w:vAlign w:val="center"/>
            <w:hideMark/>
          </w:tcPr>
          <w:p w:rsidR="007455DF" w:rsidRPr="007455DF" w:rsidRDefault="007455DF" w:rsidP="007455DF">
            <w:pPr>
              <w:ind w:firstLineChars="100" w:firstLine="180"/>
              <w:rPr>
                <w:rFonts w:asciiTheme="minorHAnsi" w:hAnsiTheme="minorHAnsi" w:cstheme="minorHAnsi"/>
                <w:i/>
                <w:iCs/>
                <w:color w:val="000000"/>
                <w:sz w:val="18"/>
                <w:szCs w:val="18"/>
              </w:rPr>
            </w:pPr>
            <w:r w:rsidRPr="007455DF">
              <w:rPr>
                <w:rFonts w:asciiTheme="minorHAnsi" w:hAnsiTheme="minorHAnsi" w:cstheme="minorHAnsi"/>
                <w:i/>
                <w:iCs/>
                <w:color w:val="000000"/>
                <w:sz w:val="18"/>
                <w:szCs w:val="18"/>
                <w:lang w:val="en-US"/>
              </w:rPr>
              <w:t>in % of GDP</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4%</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3%</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2%</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3%</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w:t>
            </w:r>
          </w:p>
        </w:tc>
        <w:tc>
          <w:tcPr>
            <w:tcW w:w="1021" w:type="dxa"/>
            <w:tcBorders>
              <w:top w:val="single" w:sz="4" w:space="0" w:color="5B9BD5" w:themeColor="accent1"/>
              <w:bottom w:val="single" w:sz="4" w:space="0" w:color="5B9BD5" w:themeColor="accent1"/>
            </w:tcBorders>
            <w:shd w:val="clear" w:color="auto" w:fill="auto"/>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4%</w:t>
            </w:r>
          </w:p>
        </w:tc>
        <w:tc>
          <w:tcPr>
            <w:tcW w:w="1021" w:type="dxa"/>
            <w:tcBorders>
              <w:top w:val="single" w:sz="4" w:space="0" w:color="5B9BD5" w:themeColor="accent1"/>
              <w:bottom w:val="single" w:sz="4" w:space="0" w:color="5B9BD5" w:themeColor="accent1"/>
              <w:right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3%</w:t>
            </w:r>
          </w:p>
        </w:tc>
      </w:tr>
      <w:tr w:rsidR="007455DF" w:rsidRPr="00C92486" w:rsidTr="00C73D4D">
        <w:trPr>
          <w:trHeight w:val="544"/>
          <w:jc w:val="center"/>
        </w:trPr>
        <w:tc>
          <w:tcPr>
            <w:tcW w:w="3610" w:type="dxa"/>
            <w:tcBorders>
              <w:top w:val="single" w:sz="4" w:space="0" w:color="5B9BD5" w:themeColor="accent1"/>
              <w:left w:val="single" w:sz="4" w:space="0" w:color="5B9BD5" w:themeColor="accent1"/>
              <w:bottom w:val="single" w:sz="4" w:space="0" w:color="5B9BD5" w:themeColor="accent1"/>
            </w:tcBorders>
            <w:shd w:val="clear" w:color="auto" w:fill="auto"/>
            <w:vAlign w:val="center"/>
          </w:tcPr>
          <w:p w:rsidR="007455DF" w:rsidRPr="00A43D5F" w:rsidRDefault="007455DF" w:rsidP="007455DF">
            <w:pPr>
              <w:rPr>
                <w:rFonts w:asciiTheme="minorHAnsi" w:hAnsiTheme="minorHAnsi" w:cstheme="minorHAnsi"/>
                <w:b/>
                <w:color w:val="000000"/>
                <w:sz w:val="20"/>
                <w:szCs w:val="20"/>
                <w:lang w:val="uz-Cyrl-UZ"/>
              </w:rPr>
            </w:pPr>
            <w:r>
              <w:rPr>
                <w:rFonts w:asciiTheme="minorHAnsi" w:hAnsiTheme="minorHAnsi" w:cstheme="minorHAnsi"/>
                <w:b/>
                <w:color w:val="000000"/>
                <w:sz w:val="20"/>
                <w:szCs w:val="20"/>
                <w:lang w:val="en-US"/>
              </w:rPr>
              <w:t>Net foreign portfolio investment</w:t>
            </w:r>
          </w:p>
          <w:p w:rsidR="007455DF" w:rsidRPr="00BD38DB" w:rsidRDefault="007455DF" w:rsidP="007455DF">
            <w:pPr>
              <w:rPr>
                <w:rFonts w:asciiTheme="minorHAnsi" w:hAnsiTheme="minorHAnsi" w:cstheme="minorHAnsi"/>
                <w:color w:val="000000"/>
                <w:sz w:val="20"/>
                <w:szCs w:val="20"/>
                <w:lang w:val="en-US"/>
              </w:rPr>
            </w:pPr>
            <w:r>
              <w:rPr>
                <w:rFonts w:asciiTheme="minorHAnsi" w:hAnsiTheme="minorHAnsi" w:cstheme="minorHAnsi"/>
                <w:i/>
                <w:color w:val="000000"/>
                <w:sz w:val="18"/>
                <w:szCs w:val="18"/>
                <w:lang w:val="uz-Cyrl-UZ"/>
              </w:rPr>
              <w:t>(net</w:t>
            </w:r>
            <w:r w:rsidRPr="00A43D5F">
              <w:rPr>
                <w:rFonts w:asciiTheme="minorHAnsi" w:hAnsiTheme="minorHAnsi" w:cstheme="minorHAnsi"/>
                <w:i/>
                <w:color w:val="000000"/>
                <w:sz w:val="18"/>
                <w:szCs w:val="18"/>
                <w:lang w:val="uz-Cyrl-UZ"/>
              </w:rPr>
              <w:t xml:space="preserve"> </w:t>
            </w:r>
            <w:r>
              <w:rPr>
                <w:rFonts w:asciiTheme="minorHAnsi" w:hAnsiTheme="minorHAnsi" w:cstheme="minorHAnsi"/>
                <w:i/>
                <w:color w:val="000000"/>
                <w:sz w:val="18"/>
                <w:szCs w:val="18"/>
                <w:lang w:val="en-US"/>
              </w:rPr>
              <w:t>inflows</w:t>
            </w:r>
            <w:r w:rsidRPr="00A43D5F">
              <w:rPr>
                <w:rFonts w:asciiTheme="minorHAnsi" w:hAnsiTheme="minorHAnsi" w:cstheme="minorHAnsi"/>
                <w:i/>
                <w:color w:val="000000"/>
                <w:sz w:val="18"/>
                <w:szCs w:val="18"/>
                <w:lang w:val="uz-Cyrl-UZ"/>
              </w:rPr>
              <w:t xml:space="preserve">) </w:t>
            </w:r>
            <w:r>
              <w:rPr>
                <w:rFonts w:asciiTheme="minorHAnsi" w:hAnsiTheme="minorHAnsi" w:cstheme="minorHAnsi"/>
                <w:i/>
                <w:color w:val="000000"/>
                <w:sz w:val="18"/>
                <w:szCs w:val="18"/>
                <w:lang w:val="en-US"/>
              </w:rPr>
              <w:t>(USD billion, for the period</w:t>
            </w:r>
            <w:r w:rsidRPr="00A43D5F">
              <w:rPr>
                <w:rFonts w:asciiTheme="minorHAnsi" w:hAnsiTheme="minorHAnsi" w:cstheme="minorHAnsi"/>
                <w:i/>
                <w:color w:val="000000"/>
                <w:sz w:val="18"/>
                <w:szCs w:val="18"/>
                <w:lang w:val="uz-Cyrl-UZ"/>
              </w:rPr>
              <w:t>)</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0,0</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0,0</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0,0</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0,0</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0,0</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0,0</w:t>
            </w:r>
          </w:p>
        </w:tc>
        <w:tc>
          <w:tcPr>
            <w:tcW w:w="1021" w:type="dxa"/>
            <w:tcBorders>
              <w:top w:val="single" w:sz="4" w:space="0" w:color="5B9BD5" w:themeColor="accent1"/>
              <w:bottom w:val="single" w:sz="4" w:space="0" w:color="5B9BD5" w:themeColor="accent1"/>
            </w:tcBorders>
            <w:shd w:val="clear" w:color="auto" w:fill="auto"/>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0,0</w:t>
            </w:r>
          </w:p>
        </w:tc>
        <w:tc>
          <w:tcPr>
            <w:tcW w:w="1021" w:type="dxa"/>
            <w:tcBorders>
              <w:top w:val="single" w:sz="4" w:space="0" w:color="5B9BD5" w:themeColor="accent1"/>
              <w:bottom w:val="single" w:sz="4" w:space="0" w:color="5B9BD5" w:themeColor="accent1"/>
            </w:tcBorders>
            <w:shd w:val="clear" w:color="auto" w:fill="auto"/>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0,0</w:t>
            </w:r>
          </w:p>
        </w:tc>
        <w:tc>
          <w:tcPr>
            <w:tcW w:w="1021" w:type="dxa"/>
            <w:tcBorders>
              <w:top w:val="single" w:sz="4" w:space="0" w:color="5B9BD5" w:themeColor="accent1"/>
              <w:bottom w:val="single" w:sz="4" w:space="0" w:color="5B9BD5" w:themeColor="accent1"/>
            </w:tcBorders>
            <w:shd w:val="clear" w:color="auto" w:fill="auto"/>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0,0</w:t>
            </w:r>
          </w:p>
        </w:tc>
        <w:tc>
          <w:tcPr>
            <w:tcW w:w="1021" w:type="dxa"/>
            <w:tcBorders>
              <w:top w:val="single" w:sz="4" w:space="0" w:color="5B9BD5" w:themeColor="accent1"/>
              <w:bottom w:val="single" w:sz="4" w:space="0" w:color="5B9BD5" w:themeColor="accent1"/>
            </w:tcBorders>
            <w:shd w:val="clear" w:color="auto" w:fill="auto"/>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1,3</w:t>
            </w:r>
          </w:p>
        </w:tc>
        <w:tc>
          <w:tcPr>
            <w:tcW w:w="1021" w:type="dxa"/>
            <w:tcBorders>
              <w:top w:val="single" w:sz="4" w:space="0" w:color="5B9BD5" w:themeColor="accent1"/>
              <w:bottom w:val="single" w:sz="4" w:space="0" w:color="5B9BD5" w:themeColor="accent1"/>
              <w:right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1,4</w:t>
            </w:r>
          </w:p>
        </w:tc>
      </w:tr>
      <w:tr w:rsidR="007455DF" w:rsidRPr="00C92486" w:rsidTr="00C73D4D">
        <w:trPr>
          <w:trHeight w:val="91"/>
          <w:jc w:val="center"/>
        </w:trPr>
        <w:tc>
          <w:tcPr>
            <w:tcW w:w="3610" w:type="dxa"/>
            <w:tcBorders>
              <w:top w:val="single" w:sz="4" w:space="0" w:color="5B9BD5" w:themeColor="accent1"/>
              <w:left w:val="single" w:sz="4" w:space="0" w:color="5B9BD5" w:themeColor="accent1"/>
              <w:bottom w:val="single" w:sz="4" w:space="0" w:color="5B9BD5" w:themeColor="accent1"/>
            </w:tcBorders>
            <w:shd w:val="clear" w:color="auto" w:fill="auto"/>
            <w:vAlign w:val="center"/>
          </w:tcPr>
          <w:p w:rsidR="007455DF" w:rsidRPr="007455DF" w:rsidRDefault="007455DF" w:rsidP="007455DF">
            <w:pPr>
              <w:ind w:firstLineChars="100" w:firstLine="180"/>
              <w:rPr>
                <w:rFonts w:asciiTheme="minorHAnsi" w:hAnsiTheme="minorHAnsi" w:cstheme="minorHAnsi"/>
                <w:i/>
                <w:iCs/>
                <w:color w:val="000000"/>
                <w:sz w:val="18"/>
                <w:szCs w:val="18"/>
              </w:rPr>
            </w:pPr>
            <w:r w:rsidRPr="007455DF">
              <w:rPr>
                <w:rFonts w:asciiTheme="minorHAnsi" w:hAnsiTheme="minorHAnsi" w:cstheme="minorHAnsi"/>
                <w:i/>
                <w:iCs/>
                <w:color w:val="000000"/>
                <w:sz w:val="18"/>
                <w:szCs w:val="18"/>
                <w:lang w:val="en-US"/>
              </w:rPr>
              <w:t>in % of GDP</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0%</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0%</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0%</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0%</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0%</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0%</w:t>
            </w:r>
          </w:p>
        </w:tc>
        <w:tc>
          <w:tcPr>
            <w:tcW w:w="1021" w:type="dxa"/>
            <w:tcBorders>
              <w:top w:val="single" w:sz="4" w:space="0" w:color="5B9BD5" w:themeColor="accent1"/>
              <w:bottom w:val="single" w:sz="4" w:space="0" w:color="5B9BD5" w:themeColor="accent1"/>
            </w:tcBorders>
            <w:shd w:val="clear" w:color="auto" w:fill="auto"/>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0%</w:t>
            </w:r>
          </w:p>
        </w:tc>
        <w:tc>
          <w:tcPr>
            <w:tcW w:w="1021" w:type="dxa"/>
            <w:tcBorders>
              <w:top w:val="single" w:sz="4" w:space="0" w:color="5B9BD5" w:themeColor="accent1"/>
              <w:bottom w:val="single" w:sz="4" w:space="0" w:color="5B9BD5" w:themeColor="accent1"/>
            </w:tcBorders>
            <w:shd w:val="clear" w:color="auto" w:fill="auto"/>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0%</w:t>
            </w:r>
          </w:p>
        </w:tc>
        <w:tc>
          <w:tcPr>
            <w:tcW w:w="1021" w:type="dxa"/>
            <w:tcBorders>
              <w:top w:val="single" w:sz="4" w:space="0" w:color="5B9BD5" w:themeColor="accent1"/>
              <w:bottom w:val="single" w:sz="4" w:space="0" w:color="5B9BD5" w:themeColor="accent1"/>
            </w:tcBorders>
            <w:shd w:val="clear" w:color="auto" w:fill="auto"/>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0%</w:t>
            </w:r>
          </w:p>
        </w:tc>
        <w:tc>
          <w:tcPr>
            <w:tcW w:w="1021" w:type="dxa"/>
            <w:tcBorders>
              <w:top w:val="single" w:sz="4" w:space="0" w:color="5B9BD5" w:themeColor="accent1"/>
              <w:bottom w:val="single" w:sz="4" w:space="0" w:color="5B9BD5" w:themeColor="accent1"/>
            </w:tcBorders>
            <w:shd w:val="clear" w:color="auto" w:fill="auto"/>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2%</w:t>
            </w:r>
          </w:p>
        </w:tc>
        <w:tc>
          <w:tcPr>
            <w:tcW w:w="1021" w:type="dxa"/>
            <w:tcBorders>
              <w:top w:val="single" w:sz="4" w:space="0" w:color="5B9BD5" w:themeColor="accent1"/>
              <w:bottom w:val="single" w:sz="4" w:space="0" w:color="5B9BD5" w:themeColor="accent1"/>
              <w:right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2%</w:t>
            </w:r>
          </w:p>
        </w:tc>
      </w:tr>
      <w:tr w:rsidR="007455DF" w:rsidRPr="00C92486" w:rsidTr="00C73D4D">
        <w:trPr>
          <w:trHeight w:val="314"/>
          <w:jc w:val="center"/>
        </w:trPr>
        <w:tc>
          <w:tcPr>
            <w:tcW w:w="3610" w:type="dxa"/>
            <w:tcBorders>
              <w:top w:val="single" w:sz="4" w:space="0" w:color="5B9BD5" w:themeColor="accent1"/>
              <w:left w:val="single" w:sz="4" w:space="0" w:color="5B9BD5" w:themeColor="accent1"/>
              <w:bottom w:val="single" w:sz="4" w:space="0" w:color="5B9BD5" w:themeColor="accent1"/>
            </w:tcBorders>
            <w:shd w:val="clear" w:color="auto" w:fill="auto"/>
            <w:vAlign w:val="center"/>
            <w:hideMark/>
          </w:tcPr>
          <w:p w:rsidR="007455DF" w:rsidRPr="00A43D5F" w:rsidRDefault="007455DF" w:rsidP="007455DF">
            <w:pPr>
              <w:rPr>
                <w:rFonts w:asciiTheme="minorHAnsi" w:hAnsiTheme="minorHAnsi" w:cstheme="minorHAnsi"/>
                <w:b/>
                <w:color w:val="000000"/>
                <w:sz w:val="20"/>
                <w:szCs w:val="20"/>
                <w:lang w:val="uz-Cyrl-UZ"/>
              </w:rPr>
            </w:pPr>
            <w:r>
              <w:rPr>
                <w:rFonts w:asciiTheme="minorHAnsi" w:hAnsiTheme="minorHAnsi" w:cstheme="minorHAnsi"/>
                <w:b/>
                <w:color w:val="000000"/>
                <w:sz w:val="20"/>
                <w:szCs w:val="20"/>
                <w:lang w:val="en-US"/>
              </w:rPr>
              <w:t>Net external debt, w/o Eurobonds</w:t>
            </w:r>
          </w:p>
          <w:p w:rsidR="007455DF" w:rsidRPr="00BD38DB" w:rsidRDefault="007455DF" w:rsidP="007455DF">
            <w:pPr>
              <w:rPr>
                <w:rFonts w:asciiTheme="minorHAnsi" w:hAnsiTheme="minorHAnsi" w:cstheme="minorHAnsi"/>
                <w:i/>
                <w:color w:val="000000"/>
                <w:sz w:val="18"/>
                <w:szCs w:val="18"/>
                <w:lang w:val="en-US"/>
              </w:rPr>
            </w:pPr>
            <w:r>
              <w:rPr>
                <w:rFonts w:asciiTheme="minorHAnsi" w:hAnsiTheme="minorHAnsi" w:cstheme="minorHAnsi"/>
                <w:i/>
                <w:color w:val="000000"/>
                <w:sz w:val="18"/>
                <w:szCs w:val="18"/>
                <w:lang w:val="uz-Cyrl-UZ"/>
              </w:rPr>
              <w:t>(net</w:t>
            </w:r>
            <w:r w:rsidRPr="00A43D5F">
              <w:rPr>
                <w:rFonts w:asciiTheme="minorHAnsi" w:hAnsiTheme="minorHAnsi" w:cstheme="minorHAnsi"/>
                <w:i/>
                <w:color w:val="000000"/>
                <w:sz w:val="18"/>
                <w:szCs w:val="18"/>
                <w:lang w:val="uz-Cyrl-UZ"/>
              </w:rPr>
              <w:t xml:space="preserve"> </w:t>
            </w:r>
            <w:r>
              <w:rPr>
                <w:rFonts w:asciiTheme="minorHAnsi" w:hAnsiTheme="minorHAnsi" w:cstheme="minorHAnsi"/>
                <w:i/>
                <w:color w:val="000000"/>
                <w:sz w:val="18"/>
                <w:szCs w:val="18"/>
                <w:lang w:val="en-US"/>
              </w:rPr>
              <w:t>inflows</w:t>
            </w:r>
            <w:r w:rsidRPr="00A43D5F">
              <w:rPr>
                <w:rFonts w:asciiTheme="minorHAnsi" w:hAnsiTheme="minorHAnsi" w:cstheme="minorHAnsi"/>
                <w:i/>
                <w:color w:val="000000"/>
                <w:sz w:val="18"/>
                <w:szCs w:val="18"/>
                <w:lang w:val="uz-Cyrl-UZ"/>
              </w:rPr>
              <w:t xml:space="preserve">) </w:t>
            </w:r>
            <w:r>
              <w:rPr>
                <w:rFonts w:asciiTheme="minorHAnsi" w:hAnsiTheme="minorHAnsi" w:cstheme="minorHAnsi"/>
                <w:i/>
                <w:color w:val="000000"/>
                <w:sz w:val="18"/>
                <w:szCs w:val="18"/>
                <w:lang w:val="en-US"/>
              </w:rPr>
              <w:t>(USD billion, for the period</w:t>
            </w:r>
            <w:r w:rsidRPr="00A43D5F">
              <w:rPr>
                <w:rFonts w:asciiTheme="minorHAnsi" w:hAnsiTheme="minorHAnsi" w:cstheme="minorHAnsi"/>
                <w:i/>
                <w:color w:val="000000"/>
                <w:sz w:val="18"/>
                <w:szCs w:val="18"/>
                <w:lang w:val="uz-Cyrl-UZ"/>
              </w:rPr>
              <w:t>)</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0,5</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0,4</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0,7</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1,7</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1,9</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1,5</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1,9</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color w:val="000000"/>
                <w:sz w:val="20"/>
                <w:szCs w:val="20"/>
              </w:rPr>
            </w:pPr>
            <w:r w:rsidRPr="00C92486">
              <w:rPr>
                <w:rFonts w:asciiTheme="minorHAnsi" w:hAnsiTheme="minorHAnsi" w:cstheme="minorHAnsi"/>
                <w:iCs/>
                <w:color w:val="000000"/>
                <w:sz w:val="20"/>
                <w:szCs w:val="20"/>
              </w:rPr>
              <w:t>0,9</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color w:val="000000"/>
                <w:sz w:val="20"/>
                <w:szCs w:val="20"/>
              </w:rPr>
            </w:pPr>
            <w:r w:rsidRPr="00C92486">
              <w:rPr>
                <w:rFonts w:asciiTheme="minorHAnsi" w:hAnsiTheme="minorHAnsi" w:cstheme="minorHAnsi"/>
                <w:iCs/>
                <w:color w:val="000000"/>
                <w:sz w:val="20"/>
                <w:szCs w:val="20"/>
              </w:rPr>
              <w:t>2,0</w:t>
            </w:r>
          </w:p>
        </w:tc>
        <w:tc>
          <w:tcPr>
            <w:tcW w:w="1021" w:type="dxa"/>
            <w:tcBorders>
              <w:top w:val="single" w:sz="4" w:space="0" w:color="5B9BD5" w:themeColor="accent1"/>
              <w:bottom w:val="single" w:sz="4" w:space="0" w:color="5B9BD5" w:themeColor="accent1"/>
            </w:tcBorders>
            <w:shd w:val="clear" w:color="auto" w:fill="auto"/>
            <w:vAlign w:val="center"/>
          </w:tcPr>
          <w:p w:rsidR="007455DF" w:rsidRPr="00C92486" w:rsidRDefault="007455DF" w:rsidP="007455DF">
            <w:pPr>
              <w:jc w:val="center"/>
              <w:rPr>
                <w:rFonts w:asciiTheme="minorHAnsi" w:hAnsiTheme="minorHAnsi" w:cstheme="minorHAnsi"/>
                <w:color w:val="000000"/>
                <w:sz w:val="20"/>
                <w:szCs w:val="20"/>
              </w:rPr>
            </w:pPr>
            <w:r w:rsidRPr="00C92486">
              <w:rPr>
                <w:rFonts w:asciiTheme="minorHAnsi" w:hAnsiTheme="minorHAnsi" w:cstheme="minorHAnsi"/>
                <w:iCs/>
                <w:color w:val="000000"/>
                <w:sz w:val="20"/>
                <w:szCs w:val="20"/>
              </w:rPr>
              <w:t>6,0</w:t>
            </w:r>
          </w:p>
        </w:tc>
        <w:tc>
          <w:tcPr>
            <w:tcW w:w="1021" w:type="dxa"/>
            <w:tcBorders>
              <w:top w:val="single" w:sz="4" w:space="0" w:color="5B9BD5" w:themeColor="accent1"/>
              <w:bottom w:val="single" w:sz="4" w:space="0" w:color="5B9BD5" w:themeColor="accent1"/>
              <w:right w:val="single" w:sz="4" w:space="0" w:color="5B9BD5" w:themeColor="accent1"/>
            </w:tcBorders>
            <w:vAlign w:val="center"/>
          </w:tcPr>
          <w:p w:rsidR="007455DF" w:rsidRPr="00C92486" w:rsidRDefault="007455DF" w:rsidP="007455DF">
            <w:pPr>
              <w:jc w:val="center"/>
              <w:rPr>
                <w:rFonts w:asciiTheme="minorHAnsi" w:hAnsiTheme="minorHAnsi" w:cstheme="minorHAnsi"/>
                <w:color w:val="000000"/>
                <w:sz w:val="20"/>
                <w:szCs w:val="20"/>
              </w:rPr>
            </w:pPr>
            <w:r>
              <w:rPr>
                <w:rFonts w:asciiTheme="minorHAnsi" w:hAnsiTheme="minorHAnsi" w:cstheme="minorHAnsi"/>
                <w:iCs/>
                <w:color w:val="000000"/>
                <w:sz w:val="20"/>
                <w:szCs w:val="20"/>
              </w:rPr>
              <w:t>7,1</w:t>
            </w:r>
          </w:p>
        </w:tc>
      </w:tr>
      <w:tr w:rsidR="007455DF" w:rsidRPr="00C92486" w:rsidTr="00C73D4D">
        <w:trPr>
          <w:trHeight w:val="91"/>
          <w:jc w:val="center"/>
        </w:trPr>
        <w:tc>
          <w:tcPr>
            <w:tcW w:w="3610" w:type="dxa"/>
            <w:tcBorders>
              <w:top w:val="single" w:sz="4" w:space="0" w:color="5B9BD5" w:themeColor="accent1"/>
              <w:left w:val="single" w:sz="4" w:space="0" w:color="5B9BD5" w:themeColor="accent1"/>
              <w:bottom w:val="single" w:sz="4" w:space="0" w:color="5B9BD5" w:themeColor="accent1"/>
            </w:tcBorders>
            <w:shd w:val="clear" w:color="auto" w:fill="auto"/>
            <w:vAlign w:val="center"/>
            <w:hideMark/>
          </w:tcPr>
          <w:p w:rsidR="007455DF" w:rsidRPr="007455DF" w:rsidRDefault="007455DF" w:rsidP="007455DF">
            <w:pPr>
              <w:ind w:firstLineChars="100" w:firstLine="180"/>
              <w:rPr>
                <w:rFonts w:asciiTheme="minorHAnsi" w:hAnsiTheme="minorHAnsi" w:cstheme="minorHAnsi"/>
                <w:i/>
                <w:iCs/>
                <w:color w:val="000000"/>
                <w:sz w:val="18"/>
                <w:szCs w:val="18"/>
              </w:rPr>
            </w:pPr>
            <w:r w:rsidRPr="007455DF">
              <w:rPr>
                <w:rFonts w:asciiTheme="minorHAnsi" w:hAnsiTheme="minorHAnsi" w:cstheme="minorHAnsi"/>
                <w:i/>
                <w:iCs/>
                <w:color w:val="000000"/>
                <w:sz w:val="18"/>
                <w:szCs w:val="18"/>
                <w:lang w:val="en-US"/>
              </w:rPr>
              <w:t>in % of GDP</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w:t>
            </w:r>
          </w:p>
        </w:tc>
        <w:tc>
          <w:tcPr>
            <w:tcW w:w="1022"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2%</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3%</w:t>
            </w:r>
          </w:p>
        </w:tc>
        <w:tc>
          <w:tcPr>
            <w:tcW w:w="1021" w:type="dxa"/>
            <w:tcBorders>
              <w:top w:val="single" w:sz="4" w:space="0" w:color="5B9BD5" w:themeColor="accent1"/>
              <w:bottom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2%</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2%</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2%</w:t>
            </w:r>
          </w:p>
        </w:tc>
        <w:tc>
          <w:tcPr>
            <w:tcW w:w="1021" w:type="dxa"/>
            <w:tcBorders>
              <w:top w:val="single" w:sz="4" w:space="0" w:color="5B9BD5" w:themeColor="accent1"/>
              <w:bottom w:val="single" w:sz="4" w:space="0" w:color="5B9BD5" w:themeColor="accent1"/>
            </w:tcBorders>
            <w:shd w:val="clear" w:color="auto" w:fill="auto"/>
            <w:vAlign w:val="center"/>
            <w:hideMark/>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4%</w:t>
            </w:r>
          </w:p>
        </w:tc>
        <w:tc>
          <w:tcPr>
            <w:tcW w:w="1021" w:type="dxa"/>
            <w:tcBorders>
              <w:top w:val="single" w:sz="4" w:space="0" w:color="5B9BD5" w:themeColor="accent1"/>
              <w:bottom w:val="single" w:sz="4" w:space="0" w:color="5B9BD5" w:themeColor="accent1"/>
            </w:tcBorders>
            <w:shd w:val="clear" w:color="auto" w:fill="auto"/>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10%</w:t>
            </w:r>
          </w:p>
        </w:tc>
        <w:tc>
          <w:tcPr>
            <w:tcW w:w="1021" w:type="dxa"/>
            <w:tcBorders>
              <w:top w:val="single" w:sz="4" w:space="0" w:color="5B9BD5" w:themeColor="accent1"/>
              <w:bottom w:val="single" w:sz="4" w:space="0" w:color="5B9BD5" w:themeColor="accent1"/>
              <w:right w:val="single" w:sz="4" w:space="0" w:color="5B9BD5" w:themeColor="accent1"/>
            </w:tcBorders>
            <w:vAlign w:val="center"/>
          </w:tcPr>
          <w:p w:rsidR="007455DF" w:rsidRPr="00C92486" w:rsidRDefault="007455DF" w:rsidP="007455DF">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13%</w:t>
            </w:r>
          </w:p>
        </w:tc>
      </w:tr>
      <w:tr w:rsidR="00C73D4D" w:rsidRPr="00C92486" w:rsidTr="00C73D4D">
        <w:trPr>
          <w:trHeight w:val="314"/>
          <w:jc w:val="center"/>
        </w:trPr>
        <w:tc>
          <w:tcPr>
            <w:tcW w:w="3610" w:type="dxa"/>
            <w:tcBorders>
              <w:top w:val="single" w:sz="4" w:space="0" w:color="5B9BD5" w:themeColor="accent1"/>
              <w:left w:val="single" w:sz="4" w:space="0" w:color="5B9BD5" w:themeColor="accent1"/>
              <w:bottom w:val="single" w:sz="4" w:space="0" w:color="5B9BD5" w:themeColor="accent1"/>
            </w:tcBorders>
            <w:shd w:val="clear" w:color="auto" w:fill="auto"/>
            <w:vAlign w:val="center"/>
            <w:hideMark/>
          </w:tcPr>
          <w:p w:rsidR="00C73D4D" w:rsidRPr="008B2BB6" w:rsidRDefault="00C73D4D" w:rsidP="00C73D4D">
            <w:pPr>
              <w:rPr>
                <w:rFonts w:asciiTheme="minorHAnsi" w:hAnsiTheme="minorHAnsi" w:cstheme="minorHAnsi"/>
                <w:b/>
                <w:color w:val="000000"/>
                <w:sz w:val="20"/>
                <w:szCs w:val="20"/>
                <w:lang w:val="en-US"/>
              </w:rPr>
            </w:pPr>
            <w:r>
              <w:rPr>
                <w:rFonts w:asciiTheme="minorHAnsi" w:hAnsiTheme="minorHAnsi" w:cstheme="minorHAnsi"/>
                <w:b/>
                <w:color w:val="000000"/>
                <w:sz w:val="20"/>
                <w:szCs w:val="20"/>
                <w:lang w:val="en-US"/>
              </w:rPr>
              <w:t>International reserves</w:t>
            </w:r>
            <w:r w:rsidRPr="00A43D5F">
              <w:rPr>
                <w:rFonts w:asciiTheme="minorHAnsi" w:hAnsiTheme="minorHAnsi" w:cstheme="minorHAnsi"/>
                <w:b/>
                <w:color w:val="000000"/>
                <w:sz w:val="20"/>
                <w:szCs w:val="20"/>
                <w:lang w:val="uz-Cyrl-UZ"/>
              </w:rPr>
              <w:t xml:space="preserve">, </w:t>
            </w:r>
            <w:r>
              <w:rPr>
                <w:rFonts w:asciiTheme="minorHAnsi" w:hAnsiTheme="minorHAnsi" w:cstheme="minorHAnsi"/>
                <w:b/>
                <w:color w:val="000000"/>
                <w:sz w:val="20"/>
                <w:szCs w:val="20"/>
                <w:lang w:val="en-US"/>
              </w:rPr>
              <w:t>gross</w:t>
            </w:r>
          </w:p>
          <w:p w:rsidR="00C73D4D" w:rsidRPr="00A43D5F" w:rsidRDefault="00C73D4D" w:rsidP="00C73D4D">
            <w:pPr>
              <w:rPr>
                <w:rFonts w:asciiTheme="minorHAnsi" w:hAnsiTheme="minorHAnsi" w:cstheme="minorHAnsi"/>
                <w:i/>
                <w:color w:val="000000"/>
                <w:sz w:val="18"/>
                <w:szCs w:val="18"/>
                <w:lang w:val="uz-Cyrl-UZ"/>
              </w:rPr>
            </w:pPr>
            <w:r w:rsidRPr="00A43D5F">
              <w:rPr>
                <w:rFonts w:asciiTheme="minorHAnsi" w:hAnsiTheme="minorHAnsi" w:cstheme="minorHAnsi"/>
                <w:i/>
                <w:color w:val="000000"/>
                <w:sz w:val="18"/>
                <w:szCs w:val="18"/>
                <w:lang w:val="uz-Cyrl-UZ"/>
              </w:rPr>
              <w:t>(</w:t>
            </w:r>
            <w:r>
              <w:rPr>
                <w:rFonts w:asciiTheme="minorHAnsi" w:hAnsiTheme="minorHAnsi" w:cstheme="minorHAnsi"/>
                <w:i/>
                <w:color w:val="000000"/>
                <w:sz w:val="18"/>
                <w:szCs w:val="18"/>
                <w:lang w:val="en-US"/>
              </w:rPr>
              <w:t>USD billion, end of period</w:t>
            </w:r>
            <w:r w:rsidRPr="00A43D5F">
              <w:rPr>
                <w:rFonts w:asciiTheme="minorHAnsi" w:hAnsiTheme="minorHAnsi" w:cstheme="minorHAnsi"/>
                <w:i/>
                <w:color w:val="000000"/>
                <w:sz w:val="18"/>
                <w:szCs w:val="18"/>
                <w:lang w:val="uz-Cyrl-UZ"/>
              </w:rPr>
              <w:t>)</w:t>
            </w:r>
          </w:p>
        </w:tc>
        <w:tc>
          <w:tcPr>
            <w:tcW w:w="1022"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14,2</w:t>
            </w:r>
          </w:p>
        </w:tc>
        <w:tc>
          <w:tcPr>
            <w:tcW w:w="1022"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18,0</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22,1</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22,5</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24,1</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24,3</w:t>
            </w:r>
          </w:p>
        </w:tc>
        <w:tc>
          <w:tcPr>
            <w:tcW w:w="1021" w:type="dxa"/>
            <w:tcBorders>
              <w:top w:val="single" w:sz="4" w:space="0" w:color="5B9BD5" w:themeColor="accent1"/>
              <w:bottom w:val="single" w:sz="4" w:space="0" w:color="5B9BD5" w:themeColor="accent1"/>
            </w:tcBorders>
            <w:shd w:val="clear" w:color="auto" w:fill="auto"/>
            <w:vAlign w:val="center"/>
            <w:hideMark/>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26,4</w:t>
            </w:r>
          </w:p>
        </w:tc>
        <w:tc>
          <w:tcPr>
            <w:tcW w:w="1021" w:type="dxa"/>
            <w:tcBorders>
              <w:top w:val="single" w:sz="4" w:space="0" w:color="5B9BD5" w:themeColor="accent1"/>
              <w:bottom w:val="single" w:sz="4" w:space="0" w:color="5B9BD5" w:themeColor="accent1"/>
            </w:tcBorders>
            <w:shd w:val="clear" w:color="auto" w:fill="auto"/>
            <w:vAlign w:val="center"/>
            <w:hideMark/>
          </w:tcPr>
          <w:p w:rsidR="00C73D4D" w:rsidRPr="00C92486" w:rsidRDefault="00C73D4D" w:rsidP="00C73D4D">
            <w:pPr>
              <w:jc w:val="center"/>
              <w:rPr>
                <w:rFonts w:asciiTheme="minorHAnsi" w:hAnsiTheme="minorHAnsi" w:cstheme="minorHAnsi"/>
                <w:color w:val="000000"/>
                <w:sz w:val="20"/>
                <w:szCs w:val="20"/>
                <w:lang w:val="en-US"/>
              </w:rPr>
            </w:pPr>
            <w:r w:rsidRPr="00C92486">
              <w:rPr>
                <w:rFonts w:asciiTheme="minorHAnsi" w:hAnsiTheme="minorHAnsi" w:cstheme="minorHAnsi"/>
                <w:iCs/>
                <w:color w:val="000000"/>
                <w:sz w:val="20"/>
                <w:szCs w:val="20"/>
              </w:rPr>
              <w:t>27,7</w:t>
            </w:r>
          </w:p>
        </w:tc>
        <w:tc>
          <w:tcPr>
            <w:tcW w:w="1021" w:type="dxa"/>
            <w:tcBorders>
              <w:top w:val="single" w:sz="4" w:space="0" w:color="5B9BD5" w:themeColor="accent1"/>
              <w:bottom w:val="single" w:sz="4" w:space="0" w:color="5B9BD5" w:themeColor="accent1"/>
            </w:tcBorders>
            <w:shd w:val="clear" w:color="auto" w:fill="auto"/>
            <w:vAlign w:val="center"/>
            <w:hideMark/>
          </w:tcPr>
          <w:p w:rsidR="00C73D4D" w:rsidRPr="00C92486" w:rsidRDefault="00C73D4D" w:rsidP="00C73D4D">
            <w:pPr>
              <w:jc w:val="center"/>
              <w:rPr>
                <w:rFonts w:asciiTheme="minorHAnsi" w:hAnsiTheme="minorHAnsi" w:cstheme="minorHAnsi"/>
                <w:color w:val="000000"/>
                <w:sz w:val="20"/>
                <w:szCs w:val="20"/>
              </w:rPr>
            </w:pPr>
            <w:r w:rsidRPr="00C92486">
              <w:rPr>
                <w:rFonts w:asciiTheme="minorHAnsi" w:hAnsiTheme="minorHAnsi" w:cstheme="minorHAnsi"/>
                <w:iCs/>
                <w:color w:val="000000"/>
                <w:sz w:val="20"/>
                <w:szCs w:val="20"/>
              </w:rPr>
              <w:t>27,1</w:t>
            </w:r>
          </w:p>
        </w:tc>
        <w:tc>
          <w:tcPr>
            <w:tcW w:w="1021" w:type="dxa"/>
            <w:tcBorders>
              <w:top w:val="single" w:sz="4" w:space="0" w:color="5B9BD5" w:themeColor="accent1"/>
              <w:bottom w:val="single" w:sz="4" w:space="0" w:color="5B9BD5" w:themeColor="accent1"/>
            </w:tcBorders>
            <w:shd w:val="clear" w:color="auto" w:fill="auto"/>
            <w:vAlign w:val="center"/>
          </w:tcPr>
          <w:p w:rsidR="00C73D4D" w:rsidRPr="00C92486" w:rsidRDefault="00C73D4D" w:rsidP="00C73D4D">
            <w:pPr>
              <w:jc w:val="center"/>
              <w:rPr>
                <w:rFonts w:asciiTheme="minorHAnsi" w:hAnsiTheme="minorHAnsi" w:cstheme="minorHAnsi"/>
                <w:color w:val="000000"/>
                <w:sz w:val="20"/>
                <w:szCs w:val="20"/>
              </w:rPr>
            </w:pPr>
            <w:r w:rsidRPr="00C92486">
              <w:rPr>
                <w:rFonts w:asciiTheme="minorHAnsi" w:hAnsiTheme="minorHAnsi" w:cstheme="minorHAnsi"/>
                <w:iCs/>
                <w:color w:val="000000"/>
                <w:sz w:val="20"/>
                <w:szCs w:val="20"/>
              </w:rPr>
              <w:t>29,2</w:t>
            </w:r>
          </w:p>
        </w:tc>
        <w:tc>
          <w:tcPr>
            <w:tcW w:w="1021" w:type="dxa"/>
            <w:tcBorders>
              <w:top w:val="single" w:sz="4" w:space="0" w:color="5B9BD5" w:themeColor="accent1"/>
              <w:bottom w:val="single" w:sz="4" w:space="0" w:color="5B9BD5" w:themeColor="accent1"/>
              <w:right w:val="single" w:sz="4" w:space="0" w:color="5B9BD5" w:themeColor="accent1"/>
            </w:tcBorders>
            <w:vAlign w:val="center"/>
          </w:tcPr>
          <w:p w:rsidR="00C73D4D" w:rsidRPr="00C92486" w:rsidRDefault="00C73D4D" w:rsidP="00C73D4D">
            <w:pPr>
              <w:jc w:val="center"/>
              <w:rPr>
                <w:rFonts w:asciiTheme="minorHAnsi" w:hAnsiTheme="minorHAnsi" w:cstheme="minorHAnsi"/>
                <w:color w:val="000000"/>
                <w:sz w:val="20"/>
                <w:szCs w:val="20"/>
                <w:lang w:val="en-US"/>
              </w:rPr>
            </w:pPr>
            <w:r w:rsidRPr="00C92486">
              <w:rPr>
                <w:rFonts w:asciiTheme="minorHAnsi" w:hAnsiTheme="minorHAnsi" w:cstheme="minorHAnsi"/>
                <w:iCs/>
                <w:color w:val="000000"/>
                <w:sz w:val="20"/>
                <w:szCs w:val="20"/>
              </w:rPr>
              <w:t>34,9</w:t>
            </w:r>
          </w:p>
        </w:tc>
      </w:tr>
      <w:tr w:rsidR="00C73D4D" w:rsidRPr="00C92486" w:rsidTr="00C73D4D">
        <w:trPr>
          <w:trHeight w:val="70"/>
          <w:jc w:val="center"/>
        </w:trPr>
        <w:tc>
          <w:tcPr>
            <w:tcW w:w="3610" w:type="dxa"/>
            <w:tcBorders>
              <w:top w:val="single" w:sz="4" w:space="0" w:color="5B9BD5" w:themeColor="accent1"/>
              <w:left w:val="single" w:sz="4" w:space="0" w:color="5B9BD5" w:themeColor="accent1"/>
              <w:bottom w:val="single" w:sz="4" w:space="0" w:color="5B9BD5" w:themeColor="accent1"/>
            </w:tcBorders>
            <w:shd w:val="clear" w:color="auto" w:fill="auto"/>
            <w:vAlign w:val="center"/>
            <w:hideMark/>
          </w:tcPr>
          <w:p w:rsidR="00C73D4D" w:rsidRPr="00BD38DB" w:rsidRDefault="00C73D4D" w:rsidP="00C73D4D">
            <w:pPr>
              <w:ind w:left="314" w:firstLineChars="10" w:firstLine="20"/>
              <w:rPr>
                <w:rFonts w:asciiTheme="minorHAnsi" w:hAnsiTheme="minorHAnsi" w:cstheme="minorHAnsi"/>
                <w:i/>
                <w:iCs/>
                <w:color w:val="000000"/>
                <w:sz w:val="20"/>
                <w:szCs w:val="20"/>
                <w:lang w:val="en-US"/>
              </w:rPr>
            </w:pPr>
            <w:r w:rsidRPr="00BD38DB">
              <w:rPr>
                <w:rFonts w:asciiTheme="minorHAnsi" w:hAnsiTheme="minorHAnsi" w:cstheme="minorHAnsi"/>
                <w:i/>
                <w:iCs/>
                <w:color w:val="000000"/>
                <w:sz w:val="20"/>
                <w:szCs w:val="20"/>
                <w:lang w:val="uz-Cyrl-UZ"/>
              </w:rPr>
              <w:t xml:space="preserve">in months of importing </w:t>
            </w:r>
            <w:r>
              <w:rPr>
                <w:rFonts w:asciiTheme="minorHAnsi" w:hAnsiTheme="minorHAnsi" w:cstheme="minorHAnsi"/>
                <w:i/>
                <w:iCs/>
                <w:color w:val="000000"/>
                <w:sz w:val="20"/>
                <w:szCs w:val="20"/>
                <w:lang w:val="uz-Cyrl-UZ"/>
              </w:rPr>
              <w:br/>
            </w:r>
            <w:r w:rsidRPr="00BD38DB">
              <w:rPr>
                <w:rFonts w:asciiTheme="minorHAnsi" w:hAnsiTheme="minorHAnsi" w:cstheme="minorHAnsi"/>
                <w:i/>
                <w:iCs/>
                <w:color w:val="000000"/>
                <w:sz w:val="20"/>
                <w:szCs w:val="20"/>
                <w:lang w:val="uz-Cyrl-UZ"/>
              </w:rPr>
              <w:t>goods and services</w:t>
            </w:r>
          </w:p>
        </w:tc>
        <w:tc>
          <w:tcPr>
            <w:tcW w:w="1022"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13,8</w:t>
            </w:r>
          </w:p>
        </w:tc>
        <w:tc>
          <w:tcPr>
            <w:tcW w:w="1022"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13,9</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15,8</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15,6</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17,7</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19,9</w:t>
            </w:r>
          </w:p>
        </w:tc>
        <w:tc>
          <w:tcPr>
            <w:tcW w:w="1021" w:type="dxa"/>
            <w:tcBorders>
              <w:top w:val="single" w:sz="4" w:space="0" w:color="5B9BD5" w:themeColor="accent1"/>
              <w:bottom w:val="single" w:sz="4" w:space="0" w:color="5B9BD5" w:themeColor="accent1"/>
            </w:tcBorders>
            <w:shd w:val="clear" w:color="auto" w:fill="auto"/>
            <w:vAlign w:val="center"/>
            <w:hideMark/>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21,9</w:t>
            </w:r>
          </w:p>
        </w:tc>
        <w:tc>
          <w:tcPr>
            <w:tcW w:w="1021" w:type="dxa"/>
            <w:tcBorders>
              <w:top w:val="single" w:sz="4" w:space="0" w:color="5B9BD5" w:themeColor="accent1"/>
              <w:bottom w:val="single" w:sz="4" w:space="0" w:color="5B9BD5" w:themeColor="accent1"/>
            </w:tcBorders>
            <w:shd w:val="clear" w:color="auto" w:fill="auto"/>
            <w:vAlign w:val="center"/>
            <w:hideMark/>
          </w:tcPr>
          <w:p w:rsidR="00C73D4D" w:rsidRPr="00C92486" w:rsidRDefault="00C73D4D" w:rsidP="00C73D4D">
            <w:pPr>
              <w:jc w:val="center"/>
              <w:rPr>
                <w:rFonts w:asciiTheme="minorHAnsi" w:hAnsiTheme="minorHAnsi" w:cstheme="minorHAnsi"/>
                <w:i/>
                <w:iCs/>
                <w:color w:val="000000"/>
                <w:sz w:val="18"/>
                <w:szCs w:val="18"/>
                <w:lang w:val="en-US"/>
              </w:rPr>
            </w:pPr>
            <w:r w:rsidRPr="00C92486">
              <w:rPr>
                <w:rFonts w:asciiTheme="minorHAnsi" w:hAnsiTheme="minorHAnsi" w:cstheme="minorHAnsi"/>
                <w:i/>
                <w:iCs/>
                <w:color w:val="000000"/>
                <w:sz w:val="18"/>
                <w:szCs w:val="18"/>
              </w:rPr>
              <w:t>20,2</w:t>
            </w:r>
          </w:p>
        </w:tc>
        <w:tc>
          <w:tcPr>
            <w:tcW w:w="1021" w:type="dxa"/>
            <w:tcBorders>
              <w:top w:val="single" w:sz="4" w:space="0" w:color="5B9BD5" w:themeColor="accent1"/>
              <w:bottom w:val="single" w:sz="4" w:space="0" w:color="5B9BD5" w:themeColor="accent1"/>
            </w:tcBorders>
            <w:shd w:val="clear" w:color="auto" w:fill="auto"/>
            <w:vAlign w:val="center"/>
            <w:hideMark/>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13,9</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lang w:val="en-US"/>
              </w:rPr>
            </w:pPr>
            <w:r w:rsidRPr="00C92486">
              <w:rPr>
                <w:rFonts w:asciiTheme="minorHAnsi" w:hAnsiTheme="minorHAnsi" w:cstheme="minorHAnsi"/>
                <w:i/>
                <w:iCs/>
                <w:color w:val="000000"/>
                <w:sz w:val="18"/>
                <w:szCs w:val="18"/>
              </w:rPr>
              <w:t>13,2</w:t>
            </w:r>
          </w:p>
        </w:tc>
        <w:tc>
          <w:tcPr>
            <w:tcW w:w="1021" w:type="dxa"/>
            <w:tcBorders>
              <w:top w:val="single" w:sz="4" w:space="0" w:color="5B9BD5" w:themeColor="accent1"/>
              <w:bottom w:val="single" w:sz="4" w:space="0" w:color="5B9BD5" w:themeColor="accent1"/>
              <w:right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18,6</w:t>
            </w:r>
          </w:p>
        </w:tc>
      </w:tr>
      <w:tr w:rsidR="00C73D4D" w:rsidRPr="00C92486" w:rsidTr="00C73D4D">
        <w:trPr>
          <w:trHeight w:val="314"/>
          <w:jc w:val="center"/>
        </w:trPr>
        <w:tc>
          <w:tcPr>
            <w:tcW w:w="3610" w:type="dxa"/>
            <w:tcBorders>
              <w:top w:val="single" w:sz="4" w:space="0" w:color="5B9BD5" w:themeColor="accent1"/>
              <w:left w:val="single" w:sz="4" w:space="0" w:color="5B9BD5" w:themeColor="accent1"/>
              <w:bottom w:val="single" w:sz="4" w:space="0" w:color="5B9BD5" w:themeColor="accent1"/>
            </w:tcBorders>
            <w:shd w:val="clear" w:color="auto" w:fill="auto"/>
            <w:vAlign w:val="center"/>
            <w:hideMark/>
          </w:tcPr>
          <w:p w:rsidR="00C73D4D" w:rsidRPr="00BD38DB" w:rsidRDefault="00C73D4D" w:rsidP="00C73D4D">
            <w:pPr>
              <w:rPr>
                <w:rFonts w:asciiTheme="minorHAnsi" w:hAnsiTheme="minorHAnsi" w:cstheme="minorHAnsi"/>
                <w:color w:val="000000"/>
                <w:sz w:val="20"/>
                <w:szCs w:val="20"/>
                <w:lang w:val="en-US"/>
              </w:rPr>
            </w:pPr>
            <w:r>
              <w:rPr>
                <w:rFonts w:asciiTheme="minorHAnsi" w:hAnsiTheme="minorHAnsi" w:cstheme="minorHAnsi"/>
                <w:b/>
                <w:color w:val="000000"/>
                <w:sz w:val="20"/>
                <w:szCs w:val="20"/>
                <w:lang w:val="en-US"/>
              </w:rPr>
              <w:t>Exports of gold (in tons)</w:t>
            </w:r>
          </w:p>
        </w:tc>
        <w:tc>
          <w:tcPr>
            <w:tcW w:w="1022"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60</w:t>
            </w:r>
          </w:p>
        </w:tc>
        <w:tc>
          <w:tcPr>
            <w:tcW w:w="1022"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70</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10</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37</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30</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50</w:t>
            </w:r>
          </w:p>
        </w:tc>
        <w:tc>
          <w:tcPr>
            <w:tcW w:w="1021" w:type="dxa"/>
            <w:tcBorders>
              <w:top w:val="single" w:sz="4" w:space="0" w:color="5B9BD5" w:themeColor="accent1"/>
              <w:bottom w:val="single" w:sz="4" w:space="0" w:color="5B9BD5" w:themeColor="accent1"/>
            </w:tcBorders>
            <w:shd w:val="clear" w:color="auto" w:fill="auto"/>
            <w:vAlign w:val="center"/>
            <w:hideMark/>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70</w:t>
            </w:r>
          </w:p>
        </w:tc>
        <w:tc>
          <w:tcPr>
            <w:tcW w:w="1021" w:type="dxa"/>
            <w:tcBorders>
              <w:top w:val="single" w:sz="4" w:space="0" w:color="5B9BD5" w:themeColor="accent1"/>
              <w:bottom w:val="single" w:sz="4" w:space="0" w:color="5B9BD5" w:themeColor="accent1"/>
            </w:tcBorders>
            <w:shd w:val="clear" w:color="auto" w:fill="auto"/>
            <w:vAlign w:val="center"/>
            <w:hideMark/>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80</w:t>
            </w:r>
          </w:p>
        </w:tc>
        <w:tc>
          <w:tcPr>
            <w:tcW w:w="1021" w:type="dxa"/>
            <w:tcBorders>
              <w:top w:val="single" w:sz="4" w:space="0" w:color="5B9BD5" w:themeColor="accent1"/>
              <w:bottom w:val="single" w:sz="4" w:space="0" w:color="5B9BD5" w:themeColor="accent1"/>
            </w:tcBorders>
            <w:shd w:val="clear" w:color="auto" w:fill="auto"/>
            <w:vAlign w:val="center"/>
            <w:hideMark/>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70</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110</w:t>
            </w:r>
          </w:p>
        </w:tc>
        <w:tc>
          <w:tcPr>
            <w:tcW w:w="1021" w:type="dxa"/>
            <w:tcBorders>
              <w:top w:val="single" w:sz="4" w:space="0" w:color="5B9BD5" w:themeColor="accent1"/>
              <w:bottom w:val="single" w:sz="4" w:space="0" w:color="5B9BD5" w:themeColor="accent1"/>
              <w:right w:val="single" w:sz="4" w:space="0" w:color="5B9BD5" w:themeColor="accent1"/>
            </w:tcBorders>
            <w:vAlign w:val="center"/>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iCs/>
                <w:color w:val="000000"/>
                <w:sz w:val="20"/>
                <w:szCs w:val="20"/>
              </w:rPr>
              <w:t>100</w:t>
            </w:r>
          </w:p>
        </w:tc>
      </w:tr>
      <w:tr w:rsidR="00C73D4D" w:rsidRPr="00C92486" w:rsidTr="00C73D4D">
        <w:trPr>
          <w:trHeight w:val="314"/>
          <w:jc w:val="center"/>
        </w:trPr>
        <w:tc>
          <w:tcPr>
            <w:tcW w:w="3610" w:type="dxa"/>
            <w:tcBorders>
              <w:top w:val="single" w:sz="4" w:space="0" w:color="5B9BD5" w:themeColor="accent1"/>
              <w:left w:val="single" w:sz="4" w:space="0" w:color="5B9BD5" w:themeColor="accent1"/>
              <w:bottom w:val="single" w:sz="4" w:space="0" w:color="5B9BD5" w:themeColor="accent1"/>
            </w:tcBorders>
            <w:shd w:val="clear" w:color="auto" w:fill="auto"/>
            <w:vAlign w:val="center"/>
            <w:hideMark/>
          </w:tcPr>
          <w:p w:rsidR="00C73D4D" w:rsidRPr="00743CF1" w:rsidRDefault="00C73D4D" w:rsidP="00C73D4D">
            <w:pPr>
              <w:ind w:left="314"/>
              <w:rPr>
                <w:rFonts w:asciiTheme="minorHAnsi" w:hAnsiTheme="minorHAnsi" w:cstheme="minorHAnsi"/>
                <w:i/>
                <w:iCs/>
                <w:color w:val="000000"/>
                <w:sz w:val="20"/>
                <w:szCs w:val="20"/>
                <w:lang w:val="uz-Cyrl-UZ"/>
              </w:rPr>
            </w:pPr>
            <w:r w:rsidRPr="00743CF1">
              <w:rPr>
                <w:rFonts w:asciiTheme="minorHAnsi" w:hAnsiTheme="minorHAnsi" w:cstheme="minorHAnsi"/>
                <w:i/>
                <w:iCs/>
                <w:color w:val="000000"/>
                <w:sz w:val="20"/>
                <w:szCs w:val="20"/>
                <w:lang w:val="uz-Cyrl-UZ"/>
              </w:rPr>
              <w:t xml:space="preserve">world gold prices </w:t>
            </w:r>
          </w:p>
          <w:p w:rsidR="00C73D4D" w:rsidRPr="006654DD" w:rsidRDefault="00C73D4D" w:rsidP="00C73D4D">
            <w:pPr>
              <w:ind w:left="314"/>
              <w:rPr>
                <w:rFonts w:asciiTheme="minorHAnsi" w:hAnsiTheme="minorHAnsi" w:cstheme="minorHAnsi"/>
                <w:i/>
                <w:iCs/>
                <w:color w:val="000000"/>
                <w:sz w:val="18"/>
                <w:szCs w:val="18"/>
                <w:lang w:val="en-US"/>
              </w:rPr>
            </w:pPr>
            <w:r w:rsidRPr="00743CF1">
              <w:rPr>
                <w:rFonts w:asciiTheme="minorHAnsi" w:hAnsiTheme="minorHAnsi" w:cstheme="minorHAnsi"/>
                <w:i/>
                <w:iCs/>
                <w:color w:val="000000"/>
                <w:sz w:val="18"/>
                <w:szCs w:val="18"/>
                <w:lang w:val="uz-Cyrl-UZ"/>
              </w:rPr>
              <w:t>(average for the period)</w:t>
            </w:r>
          </w:p>
        </w:tc>
        <w:tc>
          <w:tcPr>
            <w:tcW w:w="1022"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1226,7</w:t>
            </w:r>
          </w:p>
        </w:tc>
        <w:tc>
          <w:tcPr>
            <w:tcW w:w="1022"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1573,2</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1668,9</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1409,5</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1266,1</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1159,8</w:t>
            </w:r>
          </w:p>
        </w:tc>
        <w:tc>
          <w:tcPr>
            <w:tcW w:w="1021" w:type="dxa"/>
            <w:tcBorders>
              <w:top w:val="single" w:sz="4" w:space="0" w:color="5B9BD5" w:themeColor="accent1"/>
              <w:bottom w:val="single" w:sz="4" w:space="0" w:color="5B9BD5" w:themeColor="accent1"/>
            </w:tcBorders>
            <w:shd w:val="clear" w:color="auto" w:fill="auto"/>
            <w:vAlign w:val="center"/>
            <w:hideMark/>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1249,8</w:t>
            </w:r>
          </w:p>
        </w:tc>
        <w:tc>
          <w:tcPr>
            <w:tcW w:w="1021" w:type="dxa"/>
            <w:tcBorders>
              <w:top w:val="single" w:sz="4" w:space="0" w:color="5B9BD5" w:themeColor="accent1"/>
              <w:bottom w:val="single" w:sz="4" w:space="0" w:color="5B9BD5" w:themeColor="accent1"/>
            </w:tcBorders>
            <w:shd w:val="clear" w:color="auto" w:fill="auto"/>
            <w:vAlign w:val="center"/>
            <w:hideMark/>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1257,9</w:t>
            </w:r>
          </w:p>
        </w:tc>
        <w:tc>
          <w:tcPr>
            <w:tcW w:w="1021" w:type="dxa"/>
            <w:tcBorders>
              <w:top w:val="single" w:sz="4" w:space="0" w:color="5B9BD5" w:themeColor="accent1"/>
              <w:bottom w:val="single" w:sz="4" w:space="0" w:color="5B9BD5" w:themeColor="accent1"/>
            </w:tcBorders>
            <w:shd w:val="clear" w:color="auto" w:fill="auto"/>
            <w:vAlign w:val="center"/>
            <w:hideMark/>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1268,9</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1393,7</w:t>
            </w:r>
          </w:p>
        </w:tc>
        <w:tc>
          <w:tcPr>
            <w:tcW w:w="1021" w:type="dxa"/>
            <w:tcBorders>
              <w:top w:val="single" w:sz="4" w:space="0" w:color="5B9BD5" w:themeColor="accent1"/>
              <w:bottom w:val="single" w:sz="4" w:space="0" w:color="5B9BD5" w:themeColor="accent1"/>
              <w:right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i/>
                <w:iCs/>
                <w:color w:val="000000"/>
                <w:sz w:val="18"/>
                <w:szCs w:val="18"/>
              </w:rPr>
              <w:t>1771,0</w:t>
            </w:r>
          </w:p>
        </w:tc>
      </w:tr>
      <w:tr w:rsidR="00C73D4D" w:rsidRPr="00C92486" w:rsidTr="00C73D4D">
        <w:trPr>
          <w:trHeight w:val="314"/>
          <w:jc w:val="center"/>
        </w:trPr>
        <w:tc>
          <w:tcPr>
            <w:tcW w:w="3610" w:type="dxa"/>
            <w:tcBorders>
              <w:top w:val="single" w:sz="4" w:space="0" w:color="5B9BD5" w:themeColor="accent1"/>
              <w:left w:val="single" w:sz="4" w:space="0" w:color="5B9BD5" w:themeColor="accent1"/>
              <w:bottom w:val="single" w:sz="4" w:space="0" w:color="5B9BD5" w:themeColor="accent1"/>
            </w:tcBorders>
            <w:shd w:val="clear" w:color="auto" w:fill="auto"/>
            <w:vAlign w:val="center"/>
            <w:hideMark/>
          </w:tcPr>
          <w:p w:rsidR="00C73D4D" w:rsidRPr="00A43D5F" w:rsidRDefault="00C73D4D" w:rsidP="00C73D4D">
            <w:pPr>
              <w:rPr>
                <w:rFonts w:asciiTheme="minorHAnsi" w:hAnsiTheme="minorHAnsi" w:cstheme="minorHAnsi"/>
                <w:b/>
                <w:color w:val="000000"/>
                <w:sz w:val="20"/>
                <w:szCs w:val="20"/>
                <w:lang w:val="uz-Cyrl-UZ"/>
              </w:rPr>
            </w:pPr>
            <w:r>
              <w:rPr>
                <w:rFonts w:asciiTheme="minorHAnsi" w:hAnsiTheme="minorHAnsi" w:cstheme="minorHAnsi"/>
                <w:b/>
                <w:color w:val="000000"/>
                <w:sz w:val="20"/>
                <w:szCs w:val="20"/>
                <w:lang w:val="en-US"/>
              </w:rPr>
              <w:t>USD/UZS exchange rate</w:t>
            </w:r>
          </w:p>
          <w:p w:rsidR="00C73D4D" w:rsidRPr="00743CF1" w:rsidRDefault="00C73D4D" w:rsidP="00C73D4D">
            <w:pPr>
              <w:rPr>
                <w:rFonts w:asciiTheme="minorHAnsi" w:hAnsiTheme="minorHAnsi" w:cstheme="minorHAnsi"/>
                <w:i/>
                <w:color w:val="000000"/>
                <w:sz w:val="18"/>
                <w:szCs w:val="18"/>
                <w:lang w:val="en-US"/>
              </w:rPr>
            </w:pPr>
            <w:r w:rsidRPr="00743CF1">
              <w:rPr>
                <w:rFonts w:asciiTheme="minorHAnsi" w:hAnsiTheme="minorHAnsi" w:cstheme="minorHAnsi"/>
                <w:i/>
                <w:color w:val="000000"/>
                <w:sz w:val="18"/>
                <w:szCs w:val="18"/>
                <w:lang w:val="en-US"/>
              </w:rPr>
              <w:t>(</w:t>
            </w:r>
            <w:r>
              <w:rPr>
                <w:rFonts w:asciiTheme="minorHAnsi" w:hAnsiTheme="minorHAnsi" w:cstheme="minorHAnsi"/>
                <w:i/>
                <w:color w:val="000000"/>
                <w:sz w:val="18"/>
                <w:szCs w:val="18"/>
                <w:lang w:val="en-US"/>
              </w:rPr>
              <w:t>average for the year</w:t>
            </w:r>
            <w:r w:rsidRPr="00743CF1">
              <w:rPr>
                <w:rFonts w:asciiTheme="minorHAnsi" w:hAnsiTheme="minorHAnsi" w:cstheme="minorHAnsi"/>
                <w:i/>
                <w:color w:val="000000"/>
                <w:sz w:val="18"/>
                <w:szCs w:val="18"/>
                <w:lang w:val="en-US"/>
              </w:rPr>
              <w:t>)</w:t>
            </w:r>
          </w:p>
        </w:tc>
        <w:tc>
          <w:tcPr>
            <w:tcW w:w="1022"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1 586,5</w:t>
            </w:r>
          </w:p>
        </w:tc>
        <w:tc>
          <w:tcPr>
            <w:tcW w:w="1022"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1 715,1</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1 889,9</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2 095,5</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2 310,9</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2 567,9</w:t>
            </w:r>
          </w:p>
        </w:tc>
        <w:tc>
          <w:tcPr>
            <w:tcW w:w="1021" w:type="dxa"/>
            <w:tcBorders>
              <w:top w:val="single" w:sz="4" w:space="0" w:color="5B9BD5" w:themeColor="accent1"/>
              <w:bottom w:val="single" w:sz="4" w:space="0" w:color="5B9BD5" w:themeColor="accent1"/>
            </w:tcBorders>
            <w:shd w:val="clear" w:color="auto" w:fill="auto"/>
            <w:vAlign w:val="center"/>
            <w:hideMark/>
          </w:tcPr>
          <w:p w:rsidR="00C73D4D" w:rsidRPr="00C92486" w:rsidRDefault="00C73D4D" w:rsidP="00C73D4D">
            <w:pPr>
              <w:jc w:val="center"/>
              <w:rPr>
                <w:rFonts w:asciiTheme="minorHAnsi" w:hAnsiTheme="minorHAnsi" w:cstheme="minorHAnsi"/>
                <w:iCs/>
                <w:color w:val="000000"/>
                <w:sz w:val="20"/>
                <w:szCs w:val="20"/>
              </w:rPr>
            </w:pPr>
            <w:r w:rsidRPr="00C92486">
              <w:rPr>
                <w:rFonts w:asciiTheme="minorHAnsi" w:hAnsiTheme="minorHAnsi" w:cstheme="minorHAnsi"/>
                <w:color w:val="000000"/>
                <w:sz w:val="20"/>
                <w:szCs w:val="20"/>
              </w:rPr>
              <w:t>2 965,7</w:t>
            </w:r>
          </w:p>
        </w:tc>
        <w:tc>
          <w:tcPr>
            <w:tcW w:w="1021" w:type="dxa"/>
            <w:tcBorders>
              <w:top w:val="single" w:sz="4" w:space="0" w:color="5B9BD5" w:themeColor="accent1"/>
              <w:bottom w:val="single" w:sz="4" w:space="0" w:color="5B9BD5" w:themeColor="accent1"/>
            </w:tcBorders>
            <w:shd w:val="clear" w:color="auto" w:fill="auto"/>
            <w:vAlign w:val="center"/>
            <w:hideMark/>
          </w:tcPr>
          <w:p w:rsidR="00C73D4D" w:rsidRPr="00C92486" w:rsidRDefault="00C73D4D" w:rsidP="00C73D4D">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5 121,0</w:t>
            </w:r>
          </w:p>
        </w:tc>
        <w:tc>
          <w:tcPr>
            <w:tcW w:w="1021" w:type="dxa"/>
            <w:tcBorders>
              <w:top w:val="single" w:sz="4" w:space="0" w:color="5B9BD5" w:themeColor="accent1"/>
              <w:bottom w:val="single" w:sz="4" w:space="0" w:color="5B9BD5" w:themeColor="accent1"/>
            </w:tcBorders>
            <w:shd w:val="clear" w:color="auto" w:fill="auto"/>
            <w:vAlign w:val="center"/>
            <w:hideMark/>
          </w:tcPr>
          <w:p w:rsidR="00C73D4D" w:rsidRPr="00C92486" w:rsidRDefault="00C73D4D" w:rsidP="00C73D4D">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8 069,0</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8 836,8</w:t>
            </w:r>
          </w:p>
        </w:tc>
        <w:tc>
          <w:tcPr>
            <w:tcW w:w="1021" w:type="dxa"/>
            <w:tcBorders>
              <w:top w:val="single" w:sz="4" w:space="0" w:color="5B9BD5" w:themeColor="accent1"/>
              <w:bottom w:val="single" w:sz="4" w:space="0" w:color="5B9BD5" w:themeColor="accent1"/>
              <w:right w:val="single" w:sz="4" w:space="0" w:color="5B9BD5" w:themeColor="accent1"/>
            </w:tcBorders>
            <w:vAlign w:val="center"/>
          </w:tcPr>
          <w:p w:rsidR="00C73D4D" w:rsidRPr="00C92486" w:rsidRDefault="00C73D4D" w:rsidP="00C73D4D">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10 055,8</w:t>
            </w:r>
          </w:p>
        </w:tc>
      </w:tr>
      <w:tr w:rsidR="00C73D4D" w:rsidRPr="00C92486" w:rsidTr="00C73D4D">
        <w:trPr>
          <w:trHeight w:val="651"/>
          <w:jc w:val="center"/>
        </w:trPr>
        <w:tc>
          <w:tcPr>
            <w:tcW w:w="3610" w:type="dxa"/>
            <w:tcBorders>
              <w:top w:val="single" w:sz="4" w:space="0" w:color="5B9BD5" w:themeColor="accent1"/>
              <w:left w:val="single" w:sz="4" w:space="0" w:color="5B9BD5" w:themeColor="accent1"/>
              <w:bottom w:val="single" w:sz="4" w:space="0" w:color="5B9BD5" w:themeColor="accent1"/>
            </w:tcBorders>
            <w:shd w:val="clear" w:color="auto" w:fill="auto"/>
            <w:vAlign w:val="center"/>
            <w:hideMark/>
          </w:tcPr>
          <w:p w:rsidR="00C73D4D" w:rsidRPr="00C73D4D" w:rsidRDefault="00C73D4D" w:rsidP="00C73D4D">
            <w:pPr>
              <w:rPr>
                <w:rFonts w:asciiTheme="minorHAnsi" w:hAnsiTheme="minorHAnsi" w:cstheme="minorHAnsi"/>
                <w:i/>
                <w:color w:val="000000"/>
                <w:sz w:val="20"/>
                <w:szCs w:val="20"/>
                <w:lang w:val="en-US"/>
              </w:rPr>
            </w:pPr>
            <w:r w:rsidRPr="00C73D4D">
              <w:rPr>
                <w:rFonts w:asciiTheme="minorHAnsi" w:hAnsiTheme="minorHAnsi" w:cstheme="minorHAnsi"/>
                <w:i/>
                <w:color w:val="000000"/>
                <w:sz w:val="20"/>
                <w:szCs w:val="20"/>
                <w:lang w:val="en-US"/>
              </w:rPr>
              <w:t>Reference:</w:t>
            </w:r>
          </w:p>
          <w:p w:rsidR="00C73D4D" w:rsidRPr="008B2BB6" w:rsidRDefault="00C73D4D" w:rsidP="00C73D4D">
            <w:pPr>
              <w:rPr>
                <w:rFonts w:asciiTheme="minorHAnsi" w:hAnsiTheme="minorHAnsi" w:cstheme="minorHAnsi"/>
                <w:iCs/>
                <w:color w:val="000000"/>
                <w:sz w:val="20"/>
                <w:szCs w:val="20"/>
                <w:lang w:val="en-US"/>
              </w:rPr>
            </w:pPr>
            <w:r>
              <w:rPr>
                <w:rFonts w:asciiTheme="minorHAnsi" w:hAnsiTheme="minorHAnsi" w:cstheme="minorHAnsi"/>
                <w:iCs/>
                <w:color w:val="000000"/>
                <w:sz w:val="20"/>
                <w:szCs w:val="20"/>
                <w:lang w:val="en-US"/>
              </w:rPr>
              <w:t>GDP at current prices</w:t>
            </w:r>
          </w:p>
          <w:p w:rsidR="00C73D4D" w:rsidRPr="008B2BB6" w:rsidRDefault="00C73D4D" w:rsidP="00C73D4D">
            <w:pPr>
              <w:rPr>
                <w:rFonts w:asciiTheme="minorHAnsi" w:hAnsiTheme="minorHAnsi" w:cstheme="minorHAnsi"/>
                <w:i/>
                <w:color w:val="000000"/>
                <w:sz w:val="18"/>
                <w:szCs w:val="18"/>
                <w:lang w:val="en-US"/>
              </w:rPr>
            </w:pPr>
            <w:r w:rsidRPr="00A43D5F">
              <w:rPr>
                <w:rFonts w:asciiTheme="minorHAnsi" w:hAnsiTheme="minorHAnsi" w:cstheme="minorHAnsi"/>
                <w:i/>
                <w:color w:val="000000"/>
                <w:sz w:val="18"/>
                <w:szCs w:val="18"/>
                <w:lang w:val="uz-Cyrl-UZ"/>
              </w:rPr>
              <w:t>(</w:t>
            </w:r>
            <w:r>
              <w:rPr>
                <w:rFonts w:asciiTheme="minorHAnsi" w:hAnsiTheme="minorHAnsi" w:cstheme="minorHAnsi"/>
                <w:i/>
                <w:color w:val="000000"/>
                <w:sz w:val="18"/>
                <w:szCs w:val="18"/>
                <w:lang w:val="en-US"/>
              </w:rPr>
              <w:t>USD billion, end of period</w:t>
            </w:r>
            <w:r w:rsidRPr="00A43D5F">
              <w:rPr>
                <w:rFonts w:asciiTheme="minorHAnsi" w:hAnsiTheme="minorHAnsi" w:cstheme="minorHAnsi"/>
                <w:i/>
                <w:color w:val="000000"/>
                <w:sz w:val="18"/>
                <w:szCs w:val="18"/>
                <w:lang w:val="uz-Cyrl-UZ"/>
              </w:rPr>
              <w:t>)</w:t>
            </w:r>
          </w:p>
        </w:tc>
        <w:tc>
          <w:tcPr>
            <w:tcW w:w="1022"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color w:val="000000"/>
                <w:sz w:val="18"/>
                <w:szCs w:val="18"/>
              </w:rPr>
              <w:t>46,7</w:t>
            </w:r>
          </w:p>
        </w:tc>
        <w:tc>
          <w:tcPr>
            <w:tcW w:w="1022"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color w:val="000000"/>
                <w:sz w:val="18"/>
                <w:szCs w:val="18"/>
              </w:rPr>
              <w:t>56,5</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color w:val="000000"/>
                <w:sz w:val="18"/>
                <w:szCs w:val="18"/>
              </w:rPr>
              <w:t>63,6</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color w:val="000000"/>
                <w:sz w:val="18"/>
                <w:szCs w:val="18"/>
              </w:rPr>
              <w:t>69,0</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color w:val="000000"/>
                <w:sz w:val="18"/>
                <w:szCs w:val="18"/>
              </w:rPr>
              <w:t>76,7</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color w:val="000000"/>
                <w:sz w:val="18"/>
                <w:szCs w:val="18"/>
              </w:rPr>
              <w:t>81,8</w:t>
            </w:r>
          </w:p>
        </w:tc>
        <w:tc>
          <w:tcPr>
            <w:tcW w:w="1021" w:type="dxa"/>
            <w:tcBorders>
              <w:top w:val="single" w:sz="4" w:space="0" w:color="5B9BD5" w:themeColor="accent1"/>
              <w:bottom w:val="single" w:sz="4" w:space="0" w:color="5B9BD5" w:themeColor="accent1"/>
            </w:tcBorders>
            <w:shd w:val="clear" w:color="auto" w:fill="auto"/>
            <w:vAlign w:val="center"/>
            <w:hideMark/>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color w:val="000000"/>
                <w:sz w:val="18"/>
                <w:szCs w:val="18"/>
              </w:rPr>
              <w:t>81,8</w:t>
            </w:r>
          </w:p>
        </w:tc>
        <w:tc>
          <w:tcPr>
            <w:tcW w:w="1021" w:type="dxa"/>
            <w:tcBorders>
              <w:top w:val="single" w:sz="4" w:space="0" w:color="5B9BD5" w:themeColor="accent1"/>
              <w:bottom w:val="single" w:sz="4" w:space="0" w:color="5B9BD5" w:themeColor="accent1"/>
            </w:tcBorders>
            <w:shd w:val="clear" w:color="auto" w:fill="auto"/>
            <w:vAlign w:val="center"/>
            <w:hideMark/>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color w:val="000000"/>
                <w:sz w:val="18"/>
                <w:szCs w:val="18"/>
              </w:rPr>
              <w:t>59,1</w:t>
            </w:r>
          </w:p>
        </w:tc>
        <w:tc>
          <w:tcPr>
            <w:tcW w:w="1021" w:type="dxa"/>
            <w:tcBorders>
              <w:top w:val="single" w:sz="4" w:space="0" w:color="5B9BD5" w:themeColor="accent1"/>
              <w:bottom w:val="single" w:sz="4" w:space="0" w:color="5B9BD5" w:themeColor="accent1"/>
            </w:tcBorders>
            <w:shd w:val="clear" w:color="auto" w:fill="auto"/>
            <w:vAlign w:val="center"/>
            <w:hideMark/>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color w:val="000000"/>
                <w:sz w:val="18"/>
                <w:szCs w:val="18"/>
              </w:rPr>
              <w:t>50,4</w:t>
            </w:r>
          </w:p>
        </w:tc>
        <w:tc>
          <w:tcPr>
            <w:tcW w:w="1021" w:type="dxa"/>
            <w:tcBorders>
              <w:top w:val="single" w:sz="4" w:space="0" w:color="5B9BD5" w:themeColor="accent1"/>
              <w:bottom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color w:val="000000"/>
                <w:sz w:val="18"/>
                <w:szCs w:val="18"/>
              </w:rPr>
              <w:t>57,7</w:t>
            </w:r>
          </w:p>
        </w:tc>
        <w:tc>
          <w:tcPr>
            <w:tcW w:w="1021" w:type="dxa"/>
            <w:tcBorders>
              <w:top w:val="single" w:sz="4" w:space="0" w:color="5B9BD5" w:themeColor="accent1"/>
              <w:bottom w:val="single" w:sz="4" w:space="0" w:color="5B9BD5" w:themeColor="accent1"/>
              <w:right w:val="single" w:sz="4" w:space="0" w:color="5B9BD5" w:themeColor="accent1"/>
            </w:tcBorders>
            <w:vAlign w:val="center"/>
          </w:tcPr>
          <w:p w:rsidR="00C73D4D" w:rsidRPr="00C92486" w:rsidRDefault="00C73D4D" w:rsidP="00C73D4D">
            <w:pPr>
              <w:jc w:val="center"/>
              <w:rPr>
                <w:rFonts w:asciiTheme="minorHAnsi" w:hAnsiTheme="minorHAnsi" w:cstheme="minorHAnsi"/>
                <w:i/>
                <w:iCs/>
                <w:color w:val="000000"/>
                <w:sz w:val="18"/>
                <w:szCs w:val="18"/>
              </w:rPr>
            </w:pPr>
            <w:r w:rsidRPr="00C92486">
              <w:rPr>
                <w:rFonts w:asciiTheme="minorHAnsi" w:hAnsiTheme="minorHAnsi" w:cstheme="minorHAnsi"/>
                <w:color w:val="000000"/>
                <w:sz w:val="18"/>
                <w:szCs w:val="18"/>
              </w:rPr>
              <w:t>57,7</w:t>
            </w:r>
          </w:p>
        </w:tc>
      </w:tr>
    </w:tbl>
    <w:p w:rsidR="0040034D" w:rsidRDefault="0040034D" w:rsidP="00C125F4">
      <w:pPr>
        <w:rPr>
          <w:lang w:val="x-none" w:eastAsia="x-none"/>
        </w:rPr>
        <w:sectPr w:rsidR="0040034D" w:rsidSect="0040034D">
          <w:pgSz w:w="16838" w:h="11906" w:orient="landscape" w:code="9"/>
          <w:pgMar w:top="851" w:right="851" w:bottom="1134" w:left="1134" w:header="709" w:footer="0" w:gutter="0"/>
          <w:cols w:space="708"/>
          <w:titlePg/>
          <w:docGrid w:linePitch="360"/>
        </w:sectPr>
      </w:pPr>
    </w:p>
    <w:p w:rsidR="00E757FD" w:rsidRPr="00F42CD9" w:rsidRDefault="00AC0959" w:rsidP="00F42CD9">
      <w:pPr>
        <w:pStyle w:val="1"/>
        <w:spacing w:before="120"/>
        <w:ind w:left="709"/>
        <w:rPr>
          <w:rFonts w:ascii="Calibri" w:hAnsi="Calibri" w:cs="Calibri"/>
          <w:lang w:val="en-US"/>
        </w:rPr>
      </w:pPr>
      <w:bookmarkStart w:id="1" w:name="_Toc67050785"/>
      <w:r w:rsidRPr="004D44B6">
        <w:rPr>
          <w:rFonts w:ascii="Calibri" w:hAnsi="Calibri" w:cs="Calibri"/>
          <w:lang w:val="en-US"/>
        </w:rPr>
        <w:lastRenderedPageBreak/>
        <w:t>I. </w:t>
      </w:r>
      <w:r w:rsidR="004B3A8C" w:rsidRPr="004D44B6">
        <w:rPr>
          <w:rFonts w:ascii="Calibri" w:hAnsi="Calibri" w:cs="Calibri"/>
          <w:lang w:val="en-US"/>
        </w:rPr>
        <w:t>BALANCE OF PAYMENTS OF THE REPUBLIC OF UZBEKISTAN</w:t>
      </w:r>
      <w:r w:rsidR="00E757FD" w:rsidRPr="005507FD">
        <w:rPr>
          <w:rFonts w:cs="Calibri"/>
          <w:i/>
          <w:noProof/>
          <w:sz w:val="22"/>
          <w:szCs w:val="22"/>
          <w:lang w:val="ru-RU" w:eastAsia="ru-RU"/>
        </w:rPr>
        <mc:AlternateContent>
          <mc:Choice Requires="wps">
            <w:drawing>
              <wp:anchor distT="0" distB="0" distL="0" distR="0" simplePos="0" relativeHeight="251669504" behindDoc="0" locked="0" layoutInCell="1" allowOverlap="1" wp14:anchorId="5243A718" wp14:editId="086E3850">
                <wp:simplePos x="0" y="0"/>
                <wp:positionH relativeFrom="page">
                  <wp:posOffset>6711950</wp:posOffset>
                </wp:positionH>
                <wp:positionV relativeFrom="page">
                  <wp:posOffset>9955530</wp:posOffset>
                </wp:positionV>
                <wp:extent cx="339725" cy="405130"/>
                <wp:effectExtent l="0" t="1905" r="0" b="2540"/>
                <wp:wrapSquare wrapText="bothSides"/>
                <wp:docPr id="48"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405130"/>
                        </a:xfrm>
                        <a:prstGeom prst="rect">
                          <a:avLst/>
                        </a:prstGeom>
                        <a:solidFill>
                          <a:srgbClr val="00B0F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rsidR="001B2CDA" w:rsidRPr="00C24CE9" w:rsidRDefault="001B2CDA" w:rsidP="00E757FD">
                            <w:pPr>
                              <w:jc w:val="center"/>
                              <w:rPr>
                                <w:rFonts w:ascii="Times New Roman" w:hAnsi="Times New Roman"/>
                                <w:color w:val="FFFFFF"/>
                                <w:sz w:val="10"/>
                                <w:szCs w:val="10"/>
                              </w:rPr>
                            </w:pPr>
                          </w:p>
                          <w:p w:rsidR="001B2CDA" w:rsidRPr="00633FE0" w:rsidRDefault="001B2CDA" w:rsidP="00E757FD">
                            <w:pPr>
                              <w:jc w:val="center"/>
                              <w:rPr>
                                <w:rFonts w:cs="Calibri"/>
                                <w:color w:val="FFFFFF"/>
                                <w:sz w:val="22"/>
                                <w:szCs w:val="22"/>
                              </w:rPr>
                            </w:pPr>
                            <w:r w:rsidRPr="00633FE0">
                              <w:rPr>
                                <w:rFonts w:cs="Calibri"/>
                                <w:color w:val="FFFFFF"/>
                                <w:sz w:val="22"/>
                                <w:szCs w:val="22"/>
                              </w:rPr>
                              <w:fldChar w:fldCharType="begin"/>
                            </w:r>
                            <w:r w:rsidRPr="00633FE0">
                              <w:rPr>
                                <w:rFonts w:cs="Calibri"/>
                                <w:color w:val="FFFFFF"/>
                                <w:sz w:val="22"/>
                                <w:szCs w:val="22"/>
                              </w:rPr>
                              <w:instrText>PAGE   \* MERGEFORMAT</w:instrText>
                            </w:r>
                            <w:r w:rsidRPr="00633FE0">
                              <w:rPr>
                                <w:rFonts w:cs="Calibri"/>
                                <w:color w:val="FFFFFF"/>
                                <w:sz w:val="22"/>
                                <w:szCs w:val="22"/>
                              </w:rPr>
                              <w:fldChar w:fldCharType="separate"/>
                            </w:r>
                            <w:r w:rsidR="007D5B72">
                              <w:rPr>
                                <w:rFonts w:cs="Calibri"/>
                                <w:noProof/>
                                <w:color w:val="FFFFFF"/>
                                <w:sz w:val="22"/>
                                <w:szCs w:val="22"/>
                              </w:rPr>
                              <w:t>8</w:t>
                            </w:r>
                            <w:r w:rsidRPr="00633FE0">
                              <w:rPr>
                                <w:rFonts w:cs="Calibri"/>
                                <w:color w:val="FFFFFF"/>
                                <w:sz w:val="22"/>
                                <w:szCs w:val="22"/>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243A718" id="Прямоугольник 40" o:spid="_x0000_s1030" style="position:absolute;left:0;text-align:left;margin-left:528.5pt;margin-top:783.9pt;width:26.75pt;height:31.9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" fillcolor="#00b0f0" stroked="f" strokeweight="3pt">
                <v:textbox>
                  <w:txbxContent>
                    <w:p w:rsidR="001B2CDA" w:rsidRPr="00C24CE9" w:rsidRDefault="001B2CDA" w:rsidP="00E757FD">
                      <w:pPr>
                        <w:jc w:val="center"/>
                        <w:rPr>
                          <w:rFonts w:ascii="Times New Roman" w:hAnsi="Times New Roman"/>
                          <w:color w:val="FFFFFF"/>
                          <w:sz w:val="10"/>
                          <w:szCs w:val="10"/>
                        </w:rPr>
                      </w:pPr>
                    </w:p>
                    <w:p w:rsidR="001B2CDA" w:rsidRPr="00633FE0" w:rsidRDefault="001B2CDA" w:rsidP="00E757FD">
                      <w:pPr>
                        <w:jc w:val="center"/>
                        <w:rPr>
                          <w:rFonts w:cs="Calibri"/>
                          <w:color w:val="FFFFFF"/>
                          <w:sz w:val="22"/>
                          <w:szCs w:val="22"/>
                        </w:rPr>
                      </w:pPr>
                      <w:r w:rsidRPr="00633FE0">
                        <w:rPr>
                          <w:rFonts w:cs="Calibri"/>
                          <w:color w:val="FFFFFF"/>
                          <w:sz w:val="22"/>
                          <w:szCs w:val="22"/>
                        </w:rPr>
                        <w:fldChar w:fldCharType="begin"/>
                      </w:r>
                      <w:r w:rsidRPr="00633FE0">
                        <w:rPr>
                          <w:rFonts w:cs="Calibri"/>
                          <w:color w:val="FFFFFF"/>
                          <w:sz w:val="22"/>
                          <w:szCs w:val="22"/>
                        </w:rPr>
                        <w:instrText>PAGE   \* MERGEFORMAT</w:instrText>
                      </w:r>
                      <w:r w:rsidRPr="00633FE0">
                        <w:rPr>
                          <w:rFonts w:cs="Calibri"/>
                          <w:color w:val="FFFFFF"/>
                          <w:sz w:val="22"/>
                          <w:szCs w:val="22"/>
                        </w:rPr>
                        <w:fldChar w:fldCharType="separate"/>
                      </w:r>
                      <w:r w:rsidR="007D5B72">
                        <w:rPr>
                          <w:rFonts w:cs="Calibri"/>
                          <w:noProof/>
                          <w:color w:val="FFFFFF"/>
                          <w:sz w:val="22"/>
                          <w:szCs w:val="22"/>
                        </w:rPr>
                        <w:t>8</w:t>
                      </w:r>
                      <w:r w:rsidRPr="00633FE0">
                        <w:rPr>
                          <w:rFonts w:cs="Calibri"/>
                          <w:color w:val="FFFFFF"/>
                          <w:sz w:val="22"/>
                          <w:szCs w:val="22"/>
                        </w:rPr>
                        <w:fldChar w:fldCharType="end"/>
                      </w:r>
                    </w:p>
                  </w:txbxContent>
                </v:textbox>
                <w10:wrap type="square" anchorx="page" anchory="page"/>
              </v:rect>
            </w:pict>
          </mc:Fallback>
        </mc:AlternateContent>
      </w:r>
      <w:bookmarkEnd w:id="1"/>
    </w:p>
    <w:p w:rsidR="00B930F8" w:rsidRPr="00147844" w:rsidRDefault="0078342D" w:rsidP="00E63FF5">
      <w:pPr>
        <w:pStyle w:val="1"/>
        <w:tabs>
          <w:tab w:val="center" w:pos="5315"/>
        </w:tabs>
        <w:spacing w:before="360" w:after="360" w:line="288" w:lineRule="auto"/>
        <w:ind w:left="0" w:firstLine="709"/>
        <w:rPr>
          <w:rFonts w:ascii="Calibri" w:hAnsi="Calibri"/>
          <w:szCs w:val="28"/>
          <w:lang w:val="en-US"/>
        </w:rPr>
      </w:pPr>
      <w:bookmarkStart w:id="2" w:name="_Toc67050786"/>
      <w:r w:rsidRPr="00147844">
        <w:rPr>
          <w:rFonts w:ascii="Calibri" w:hAnsi="Calibri"/>
          <w:szCs w:val="28"/>
          <w:lang w:val="en-US"/>
        </w:rPr>
        <w:t>CURRENT ACCOUNT</w:t>
      </w:r>
      <w:bookmarkEnd w:id="2"/>
    </w:p>
    <w:p w:rsidR="00BC48E8" w:rsidRPr="00147844" w:rsidRDefault="00DF3CE4" w:rsidP="00190975">
      <w:pPr>
        <w:spacing w:before="120" w:line="288" w:lineRule="auto"/>
        <w:ind w:firstLine="709"/>
        <w:jc w:val="both"/>
        <w:rPr>
          <w:rFonts w:asciiTheme="minorHAnsi" w:hAnsiTheme="minorHAnsi" w:cstheme="minorHAnsi"/>
          <w:sz w:val="26"/>
          <w:szCs w:val="26"/>
          <w:lang w:val="en-US"/>
        </w:rPr>
      </w:pPr>
      <w:r w:rsidRPr="00147844">
        <w:rPr>
          <w:rFonts w:asciiTheme="minorHAnsi" w:hAnsiTheme="minorHAnsi" w:cstheme="minorHAnsi"/>
          <w:sz w:val="26"/>
          <w:szCs w:val="26"/>
          <w:lang w:val="en-US"/>
        </w:rPr>
        <w:t xml:space="preserve">For </w:t>
      </w:r>
      <w:r w:rsidR="00E63FF5" w:rsidRPr="00147844">
        <w:rPr>
          <w:rFonts w:asciiTheme="minorHAnsi" w:hAnsiTheme="minorHAnsi" w:cstheme="minorHAnsi"/>
          <w:sz w:val="26"/>
          <w:szCs w:val="26"/>
          <w:lang w:val="en-US"/>
        </w:rPr>
        <w:t xml:space="preserve">2020, the current account had a deficit which amounted to USD </w:t>
      </w:r>
      <w:r w:rsidR="00FF06F6">
        <w:rPr>
          <w:rFonts w:asciiTheme="minorHAnsi" w:hAnsiTheme="minorHAnsi" w:cstheme="minorHAnsi"/>
          <w:sz w:val="26"/>
          <w:szCs w:val="26"/>
          <w:lang w:val="en-US"/>
        </w:rPr>
        <w:t>3</w:t>
      </w:r>
      <w:r w:rsidR="00BC48E8" w:rsidRPr="00147844">
        <w:rPr>
          <w:rFonts w:asciiTheme="minorHAnsi" w:hAnsiTheme="minorHAnsi" w:cstheme="minorHAnsi"/>
          <w:sz w:val="26"/>
          <w:szCs w:val="26"/>
          <w:lang w:val="en-US"/>
        </w:rPr>
        <w:t>.</w:t>
      </w:r>
      <w:r w:rsidR="00FF06F6">
        <w:rPr>
          <w:rFonts w:asciiTheme="minorHAnsi" w:hAnsiTheme="minorHAnsi" w:cstheme="minorHAnsi"/>
          <w:sz w:val="26"/>
          <w:szCs w:val="26"/>
          <w:lang w:val="en-US"/>
        </w:rPr>
        <w:t>1</w:t>
      </w:r>
      <w:r w:rsidR="00E63FF5" w:rsidRPr="00147844">
        <w:rPr>
          <w:rFonts w:asciiTheme="minorHAnsi" w:hAnsiTheme="minorHAnsi" w:cstheme="minorHAnsi"/>
          <w:sz w:val="26"/>
          <w:szCs w:val="26"/>
          <w:lang w:val="en-US"/>
        </w:rPr>
        <w:t xml:space="preserve"> </w:t>
      </w:r>
      <w:r w:rsidR="000F04EB" w:rsidRPr="00147844">
        <w:rPr>
          <w:rFonts w:asciiTheme="minorHAnsi" w:hAnsiTheme="minorHAnsi" w:cstheme="minorHAnsi"/>
          <w:i/>
          <w:sz w:val="26"/>
          <w:szCs w:val="26"/>
          <w:lang w:val="en-US"/>
        </w:rPr>
        <w:t>billion</w:t>
      </w:r>
      <w:r w:rsidR="000F04EB">
        <w:rPr>
          <w:rFonts w:asciiTheme="minorHAnsi" w:hAnsiTheme="minorHAnsi" w:cstheme="minorHAnsi"/>
          <w:sz w:val="26"/>
          <w:szCs w:val="26"/>
          <w:lang w:val="en-US"/>
        </w:rPr>
        <w:br/>
      </w:r>
      <w:r w:rsidR="00E63FF5" w:rsidRPr="00147844">
        <w:rPr>
          <w:rFonts w:asciiTheme="minorHAnsi" w:hAnsiTheme="minorHAnsi" w:cstheme="minorHAnsi"/>
          <w:sz w:val="26"/>
          <w:szCs w:val="26"/>
          <w:lang w:val="en-US"/>
        </w:rPr>
        <w:t>(</w:t>
      </w:r>
      <w:r w:rsidR="00BC48E8" w:rsidRPr="00147844">
        <w:rPr>
          <w:rFonts w:asciiTheme="minorHAnsi" w:hAnsiTheme="minorHAnsi" w:cstheme="minorHAnsi"/>
          <w:i/>
          <w:sz w:val="26"/>
          <w:szCs w:val="26"/>
          <w:lang w:val="en-US"/>
        </w:rPr>
        <w:t xml:space="preserve">USD </w:t>
      </w:r>
      <w:r w:rsidR="00FF06F6">
        <w:rPr>
          <w:rFonts w:asciiTheme="minorHAnsi" w:hAnsiTheme="minorHAnsi" w:cstheme="minorHAnsi"/>
          <w:i/>
          <w:sz w:val="26"/>
          <w:szCs w:val="26"/>
          <w:lang w:val="en-US"/>
        </w:rPr>
        <w:t>3</w:t>
      </w:r>
      <w:r w:rsidR="00BC48E8" w:rsidRPr="00147844">
        <w:rPr>
          <w:rFonts w:asciiTheme="minorHAnsi" w:hAnsiTheme="minorHAnsi" w:cstheme="minorHAnsi"/>
          <w:i/>
          <w:sz w:val="26"/>
          <w:szCs w:val="26"/>
          <w:lang w:val="en-US"/>
        </w:rPr>
        <w:t>.</w:t>
      </w:r>
      <w:r w:rsidR="00FF06F6">
        <w:rPr>
          <w:rFonts w:asciiTheme="minorHAnsi" w:hAnsiTheme="minorHAnsi" w:cstheme="minorHAnsi"/>
          <w:i/>
          <w:sz w:val="26"/>
          <w:szCs w:val="26"/>
          <w:lang w:val="en-US"/>
        </w:rPr>
        <w:t>4</w:t>
      </w:r>
      <w:r w:rsidR="00E63FF5" w:rsidRPr="00147844">
        <w:rPr>
          <w:rFonts w:asciiTheme="minorHAnsi" w:hAnsiTheme="minorHAnsi" w:cstheme="minorHAnsi"/>
          <w:i/>
          <w:sz w:val="26"/>
          <w:szCs w:val="26"/>
          <w:lang w:val="en-US"/>
        </w:rPr>
        <w:t xml:space="preserve"> billion </w:t>
      </w:r>
      <w:r w:rsidR="00B154E0" w:rsidRPr="00147844">
        <w:rPr>
          <w:rFonts w:asciiTheme="minorHAnsi" w:hAnsiTheme="minorHAnsi" w:cstheme="minorHAnsi"/>
          <w:i/>
          <w:sz w:val="26"/>
          <w:szCs w:val="26"/>
          <w:lang w:val="en-US"/>
        </w:rPr>
        <w:t xml:space="preserve">for </w:t>
      </w:r>
      <w:r w:rsidR="00E63FF5" w:rsidRPr="00147844">
        <w:rPr>
          <w:rFonts w:asciiTheme="minorHAnsi" w:hAnsiTheme="minorHAnsi" w:cstheme="minorHAnsi"/>
          <w:i/>
          <w:sz w:val="26"/>
          <w:szCs w:val="26"/>
          <w:lang w:val="en-US"/>
        </w:rPr>
        <w:t>2019</w:t>
      </w:r>
      <w:r w:rsidR="00E63FF5" w:rsidRPr="00147844">
        <w:rPr>
          <w:rFonts w:asciiTheme="minorHAnsi" w:hAnsiTheme="minorHAnsi" w:cstheme="minorHAnsi"/>
          <w:sz w:val="26"/>
          <w:szCs w:val="26"/>
          <w:lang w:val="en-US"/>
        </w:rPr>
        <w:t xml:space="preserve">). </w:t>
      </w:r>
      <w:r w:rsidR="00D0106A">
        <w:rPr>
          <w:rFonts w:asciiTheme="minorHAnsi" w:hAnsiTheme="minorHAnsi" w:cstheme="minorHAnsi"/>
          <w:sz w:val="26"/>
          <w:szCs w:val="26"/>
          <w:lang w:val="en-US"/>
        </w:rPr>
        <w:t>R</w:t>
      </w:r>
      <w:r w:rsidR="00FE7AFC" w:rsidRPr="00147844">
        <w:rPr>
          <w:rFonts w:asciiTheme="minorHAnsi" w:hAnsiTheme="minorHAnsi" w:cstheme="minorHAnsi"/>
          <w:sz w:val="26"/>
          <w:szCs w:val="26"/>
          <w:lang w:val="en-US"/>
        </w:rPr>
        <w:t xml:space="preserve">eduction </w:t>
      </w:r>
      <w:r w:rsidR="00CA38AA" w:rsidRPr="00147844">
        <w:rPr>
          <w:rFonts w:asciiTheme="minorHAnsi" w:hAnsiTheme="minorHAnsi" w:cstheme="minorHAnsi"/>
          <w:sz w:val="26"/>
          <w:szCs w:val="26"/>
          <w:lang w:val="en-US"/>
        </w:rPr>
        <w:t>in the negative</w:t>
      </w:r>
      <w:r w:rsidR="00E63FF5" w:rsidRPr="00147844">
        <w:rPr>
          <w:rFonts w:asciiTheme="minorHAnsi" w:hAnsiTheme="minorHAnsi" w:cstheme="minorHAnsi"/>
          <w:sz w:val="26"/>
          <w:szCs w:val="26"/>
          <w:lang w:val="en-US"/>
        </w:rPr>
        <w:t xml:space="preserve"> current account </w:t>
      </w:r>
      <w:r w:rsidR="00CA38AA" w:rsidRPr="00147844">
        <w:rPr>
          <w:rFonts w:asciiTheme="minorHAnsi" w:hAnsiTheme="minorHAnsi" w:cstheme="minorHAnsi"/>
          <w:sz w:val="26"/>
          <w:szCs w:val="26"/>
          <w:lang w:val="en-US"/>
        </w:rPr>
        <w:t>balance is explained by</w:t>
      </w:r>
      <w:r w:rsidR="00D0106A">
        <w:rPr>
          <w:rFonts w:asciiTheme="minorHAnsi" w:hAnsiTheme="minorHAnsi" w:cstheme="minorHAnsi"/>
          <w:sz w:val="26"/>
          <w:szCs w:val="26"/>
          <w:lang w:val="en-US"/>
        </w:rPr>
        <w:t xml:space="preserve"> decline due to pandemic and a</w:t>
      </w:r>
      <w:r w:rsidR="00CA38AA" w:rsidRPr="00147844">
        <w:rPr>
          <w:rFonts w:asciiTheme="minorHAnsi" w:hAnsiTheme="minorHAnsi" w:cstheme="minorHAnsi"/>
          <w:sz w:val="26"/>
          <w:szCs w:val="26"/>
          <w:lang w:val="en-US"/>
        </w:rPr>
        <w:t xml:space="preserve"> </w:t>
      </w:r>
      <w:r w:rsidR="006A09DD">
        <w:rPr>
          <w:rFonts w:asciiTheme="minorHAnsi" w:hAnsiTheme="minorHAnsi" w:cstheme="minorHAnsi"/>
          <w:sz w:val="26"/>
          <w:szCs w:val="26"/>
          <w:lang w:val="en-US"/>
        </w:rPr>
        <w:t>gradual</w:t>
      </w:r>
      <w:r w:rsidR="00CA38AA" w:rsidRPr="00147844">
        <w:rPr>
          <w:rFonts w:asciiTheme="minorHAnsi" w:hAnsiTheme="minorHAnsi" w:cstheme="minorHAnsi"/>
          <w:sz w:val="26"/>
          <w:szCs w:val="26"/>
          <w:lang w:val="en-US"/>
        </w:rPr>
        <w:t xml:space="preserve"> recovery of </w:t>
      </w:r>
      <w:r w:rsidR="006A09DD">
        <w:rPr>
          <w:rFonts w:asciiTheme="minorHAnsi" w:hAnsiTheme="minorHAnsi" w:cstheme="minorHAnsi"/>
          <w:sz w:val="26"/>
          <w:szCs w:val="26"/>
          <w:lang w:val="en-US"/>
        </w:rPr>
        <w:t>export</w:t>
      </w:r>
      <w:r w:rsidR="00AC33C9">
        <w:rPr>
          <w:rFonts w:asciiTheme="minorHAnsi" w:hAnsiTheme="minorHAnsi" w:cstheme="minorHAnsi"/>
          <w:sz w:val="26"/>
          <w:szCs w:val="26"/>
          <w:lang w:val="en-US"/>
        </w:rPr>
        <w:t>s</w:t>
      </w:r>
      <w:r w:rsidR="006A09DD">
        <w:rPr>
          <w:rFonts w:asciiTheme="minorHAnsi" w:hAnsiTheme="minorHAnsi" w:cstheme="minorHAnsi"/>
          <w:sz w:val="26"/>
          <w:szCs w:val="26"/>
          <w:lang w:val="en-US"/>
        </w:rPr>
        <w:t xml:space="preserve"> and import</w:t>
      </w:r>
      <w:r w:rsidR="00AC33C9">
        <w:rPr>
          <w:rFonts w:asciiTheme="minorHAnsi" w:hAnsiTheme="minorHAnsi" w:cstheme="minorHAnsi"/>
          <w:sz w:val="26"/>
          <w:szCs w:val="26"/>
          <w:lang w:val="en-US"/>
        </w:rPr>
        <w:t>s</w:t>
      </w:r>
      <w:r w:rsidR="00CA38AA" w:rsidRPr="00147844">
        <w:rPr>
          <w:rFonts w:asciiTheme="minorHAnsi" w:hAnsiTheme="minorHAnsi" w:cstheme="minorHAnsi"/>
          <w:sz w:val="26"/>
          <w:szCs w:val="26"/>
          <w:lang w:val="en-US"/>
        </w:rPr>
        <w:t>, decrease in primary income</w:t>
      </w:r>
      <w:r w:rsidR="00D0106A">
        <w:rPr>
          <w:rFonts w:asciiTheme="minorHAnsi" w:hAnsiTheme="minorHAnsi" w:cstheme="minorHAnsi"/>
          <w:sz w:val="26"/>
          <w:szCs w:val="26"/>
          <w:lang w:val="en-US"/>
        </w:rPr>
        <w:t xml:space="preserve"> with</w:t>
      </w:r>
      <w:r w:rsidR="00CA38AA" w:rsidRPr="00147844">
        <w:rPr>
          <w:rFonts w:asciiTheme="minorHAnsi" w:hAnsiTheme="minorHAnsi" w:cstheme="minorHAnsi"/>
          <w:sz w:val="26"/>
          <w:szCs w:val="26"/>
          <w:lang w:val="en-US"/>
        </w:rPr>
        <w:t xml:space="preserve"> preservation of the volume of cross-border remittances at the level of the</w:t>
      </w:r>
      <w:r w:rsidR="00CA38AA" w:rsidRPr="00147844">
        <w:rPr>
          <w:sz w:val="26"/>
          <w:szCs w:val="26"/>
          <w:lang w:val="uz-Cyrl-UZ"/>
        </w:rPr>
        <w:t xml:space="preserve"> corresponding period of </w:t>
      </w:r>
      <w:r w:rsidR="00FE7AFC" w:rsidRPr="00147844">
        <w:rPr>
          <w:sz w:val="26"/>
          <w:szCs w:val="26"/>
          <w:lang w:val="en-US"/>
        </w:rPr>
        <w:t>previous year</w:t>
      </w:r>
      <w:r w:rsidR="000F04EB">
        <w:rPr>
          <w:sz w:val="26"/>
          <w:szCs w:val="26"/>
          <w:lang w:val="en-US"/>
        </w:rPr>
        <w:t xml:space="preserve"> </w:t>
      </w:r>
      <w:r w:rsidR="000F04EB" w:rsidRPr="000F04EB">
        <w:rPr>
          <w:color w:val="4472C4" w:themeColor="accent5"/>
          <w:sz w:val="26"/>
          <w:szCs w:val="26"/>
          <w:lang w:val="en-US"/>
        </w:rPr>
        <w:t>(Figure 2)</w:t>
      </w:r>
      <w:r w:rsidR="000F04EB">
        <w:rPr>
          <w:color w:val="4472C4" w:themeColor="accent5"/>
          <w:sz w:val="26"/>
          <w:szCs w:val="26"/>
          <w:lang w:val="en-US"/>
        </w:rPr>
        <w:t>.</w:t>
      </w:r>
    </w:p>
    <w:p w:rsidR="00F15C52" w:rsidRPr="003B78E9" w:rsidRDefault="00B23450" w:rsidP="00C2359D">
      <w:pPr>
        <w:jc w:val="right"/>
        <w:rPr>
          <w:lang w:val="en-US"/>
        </w:rPr>
      </w:pPr>
      <w:r w:rsidRPr="00147844">
        <w:rPr>
          <w:lang w:val="en-US"/>
        </w:rPr>
        <w:t>Figure</w:t>
      </w:r>
      <w:r w:rsidR="00190975" w:rsidRPr="00147844">
        <w:rPr>
          <w:lang w:val="en-US"/>
        </w:rPr>
        <w:t xml:space="preserve"> </w:t>
      </w:r>
      <w:r w:rsidR="00BA2A16" w:rsidRPr="003B78E9">
        <w:rPr>
          <w:lang w:val="en-US"/>
        </w:rPr>
        <w:t>2</w:t>
      </w:r>
    </w:p>
    <w:p w:rsidR="00C2359D" w:rsidRPr="00147844" w:rsidRDefault="00C2359D" w:rsidP="00C2359D">
      <w:pPr>
        <w:jc w:val="right"/>
        <w:rPr>
          <w:lang w:val="en-US"/>
        </w:rPr>
      </w:pPr>
    </w:p>
    <w:p w:rsidR="00707B5E" w:rsidRPr="00F45A80" w:rsidRDefault="008F4568" w:rsidP="00C53556">
      <w:pPr>
        <w:spacing w:line="288" w:lineRule="auto"/>
        <w:jc w:val="center"/>
        <w:rPr>
          <w:rFonts w:cs="Calibri"/>
          <w:i/>
          <w:sz w:val="28"/>
          <w:szCs w:val="28"/>
          <w:lang w:val="en-US"/>
        </w:rPr>
      </w:pPr>
      <w:r w:rsidRPr="00147844">
        <w:rPr>
          <w:rFonts w:cs="Calibri"/>
          <w:b/>
          <w:noProof/>
          <w:sz w:val="28"/>
          <w:szCs w:val="28"/>
          <w:lang w:val="en-US"/>
        </w:rPr>
        <w:t>BALANCES OF CURRENT ACCOUNT COMPONENTS</w:t>
      </w:r>
    </w:p>
    <w:p w:rsidR="00C53556" w:rsidRPr="002917CA" w:rsidRDefault="00585F8A" w:rsidP="00C53556">
      <w:pPr>
        <w:spacing w:line="288" w:lineRule="auto"/>
        <w:jc w:val="right"/>
        <w:rPr>
          <w:rFonts w:cs="Calibri"/>
          <w:i/>
          <w:sz w:val="20"/>
          <w:szCs w:val="20"/>
          <w:lang w:val="en-US"/>
        </w:rPr>
      </w:pPr>
      <w:r>
        <w:rPr>
          <w:noProof/>
        </w:rPr>
        <mc:AlternateContent>
          <mc:Choice Requires="wps">
            <w:drawing>
              <wp:anchor distT="0" distB="0" distL="114300" distR="114300" simplePos="0" relativeHeight="251703296" behindDoc="0" locked="0" layoutInCell="1" allowOverlap="1" wp14:anchorId="5C0954C4" wp14:editId="6D05B971">
                <wp:simplePos x="0" y="0"/>
                <wp:positionH relativeFrom="column">
                  <wp:posOffset>4289293</wp:posOffset>
                </wp:positionH>
                <wp:positionV relativeFrom="paragraph">
                  <wp:posOffset>189791</wp:posOffset>
                </wp:positionV>
                <wp:extent cx="0" cy="3203575"/>
                <wp:effectExtent l="19050" t="19050" r="19050" b="15875"/>
                <wp:wrapNone/>
                <wp:docPr id="21" name="Прямая соединительная линия 1"/>
                <wp:cNvGraphicFramePr/>
                <a:graphic xmlns:a="http://schemas.openxmlformats.org/drawingml/2006/main">
                  <a:graphicData uri="http://schemas.microsoft.com/office/word/2010/wordprocessingShape">
                    <wps:wsp>
                      <wps:cNvCnPr/>
                      <wps:spPr>
                        <a:xfrm flipV="1">
                          <a:off x="0" y="0"/>
                          <a:ext cx="0" cy="3203575"/>
                        </a:xfrm>
                        <a:prstGeom prst="line">
                          <a:avLst/>
                        </a:prstGeom>
                        <a:ln w="28575">
                          <a:solidFill>
                            <a:schemeClr val="accent1">
                              <a:lumMod val="40000"/>
                              <a:lumOff val="60000"/>
                            </a:schemeClr>
                          </a:solidFill>
                          <a:prstDash val="sysDot"/>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D99C5BE" id="Прямая соединительная линия 1"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337.75pt,14.95pt" to="337.75pt,2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" strokecolor="#bdd6ee [1300]" strokeweight="2.25pt">
                <v:stroke dashstyle="1 1" joinstyle="miter"/>
              </v:line>
            </w:pict>
          </mc:Fallback>
        </mc:AlternateContent>
      </w:r>
      <w:r>
        <w:rPr>
          <w:noProof/>
        </w:rPr>
        <mc:AlternateContent>
          <mc:Choice Requires="wps">
            <w:drawing>
              <wp:anchor distT="0" distB="0" distL="114300" distR="114300" simplePos="0" relativeHeight="251701248" behindDoc="0" locked="0" layoutInCell="1" allowOverlap="1" wp14:anchorId="7BB0B601" wp14:editId="45435161">
                <wp:simplePos x="0" y="0"/>
                <wp:positionH relativeFrom="column">
                  <wp:posOffset>2374900</wp:posOffset>
                </wp:positionH>
                <wp:positionV relativeFrom="paragraph">
                  <wp:posOffset>189230</wp:posOffset>
                </wp:positionV>
                <wp:extent cx="0" cy="3203575"/>
                <wp:effectExtent l="19050" t="19050" r="19050" b="15875"/>
                <wp:wrapNone/>
                <wp:docPr id="20" name="Прямая соединительная линия 1"/>
                <wp:cNvGraphicFramePr/>
                <a:graphic xmlns:a="http://schemas.openxmlformats.org/drawingml/2006/main">
                  <a:graphicData uri="http://schemas.microsoft.com/office/word/2010/wordprocessingShape">
                    <wps:wsp>
                      <wps:cNvCnPr/>
                      <wps:spPr>
                        <a:xfrm flipV="1">
                          <a:off x="0" y="0"/>
                          <a:ext cx="0" cy="3203575"/>
                        </a:xfrm>
                        <a:prstGeom prst="line">
                          <a:avLst/>
                        </a:prstGeom>
                        <a:ln w="28575">
                          <a:solidFill>
                            <a:schemeClr val="accent1">
                              <a:lumMod val="40000"/>
                              <a:lumOff val="60000"/>
                            </a:schemeClr>
                          </a:solidFill>
                          <a:prstDash val="sysDot"/>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72D5F0E" id="Прямая соединительная линия 1"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187pt,14.9pt" to="187pt,2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" strokecolor="#bdd6ee [1300]" strokeweight="2.25pt">
                <v:stroke dashstyle="1 1" joinstyle="miter"/>
              </v:line>
            </w:pict>
          </mc:Fallback>
        </mc:AlternateContent>
      </w:r>
      <w:r w:rsidR="00C53556" w:rsidRPr="002917CA">
        <w:rPr>
          <w:rFonts w:cs="Calibri"/>
          <w:i/>
          <w:sz w:val="20"/>
          <w:szCs w:val="20"/>
          <w:lang w:val="en-US"/>
        </w:rPr>
        <w:t>(</w:t>
      </w:r>
      <w:r w:rsidR="001A43D7" w:rsidRPr="002917CA">
        <w:rPr>
          <w:rFonts w:cs="Calibri"/>
          <w:i/>
          <w:sz w:val="20"/>
          <w:szCs w:val="20"/>
          <w:lang w:val="en-US"/>
        </w:rPr>
        <w:t xml:space="preserve">mln. </w:t>
      </w:r>
      <w:r w:rsidR="00C53556" w:rsidRPr="002917CA">
        <w:rPr>
          <w:rFonts w:cs="Calibri"/>
          <w:i/>
          <w:sz w:val="20"/>
          <w:szCs w:val="20"/>
          <w:lang w:val="en-US"/>
        </w:rPr>
        <w:t>USD)</w:t>
      </w:r>
    </w:p>
    <w:p w:rsidR="00E45B56" w:rsidRPr="00BA2A16" w:rsidRDefault="00FF06F6" w:rsidP="00B3481D">
      <w:pPr>
        <w:spacing w:line="288" w:lineRule="auto"/>
        <w:rPr>
          <w:rFonts w:cs="Arial"/>
          <w:i/>
        </w:rPr>
      </w:pPr>
      <w:r>
        <w:rPr>
          <w:noProof/>
        </w:rPr>
        <w:drawing>
          <wp:inline distT="0" distB="0" distL="0" distR="0" wp14:anchorId="3547D315" wp14:editId="4840921C">
            <wp:extent cx="6299835" cy="3937000"/>
            <wp:effectExtent l="0" t="0" r="5715" b="63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415E9" w:rsidRDefault="005415E9" w:rsidP="00B3481D">
      <w:pPr>
        <w:spacing w:line="288" w:lineRule="auto"/>
        <w:ind w:firstLine="709"/>
        <w:jc w:val="both"/>
        <w:rPr>
          <w:noProof/>
          <w:lang w:val="en-US"/>
        </w:rPr>
      </w:pPr>
    </w:p>
    <w:p w:rsidR="003E49EF" w:rsidRPr="00A92B56" w:rsidRDefault="00B809D1" w:rsidP="00112494">
      <w:pPr>
        <w:spacing w:before="120" w:line="288" w:lineRule="auto"/>
        <w:ind w:firstLine="709"/>
        <w:jc w:val="both"/>
        <w:rPr>
          <w:rFonts w:asciiTheme="minorHAnsi" w:hAnsiTheme="minorHAnsi" w:cstheme="minorHAnsi"/>
          <w:sz w:val="26"/>
          <w:szCs w:val="26"/>
          <w:lang w:val="en-US"/>
        </w:rPr>
      </w:pPr>
      <w:r>
        <w:rPr>
          <w:sz w:val="26"/>
          <w:szCs w:val="26"/>
          <w:lang w:val="en-US"/>
        </w:rPr>
        <w:t>In</w:t>
      </w:r>
      <w:r w:rsidR="003E49EF" w:rsidRPr="00147844">
        <w:rPr>
          <w:sz w:val="26"/>
          <w:szCs w:val="26"/>
          <w:lang w:val="uz-Cyrl-UZ"/>
        </w:rPr>
        <w:t xml:space="preserve"> 2020, </w:t>
      </w:r>
      <w:r>
        <w:rPr>
          <w:sz w:val="26"/>
          <w:szCs w:val="26"/>
          <w:lang w:val="en-US"/>
        </w:rPr>
        <w:t xml:space="preserve">there was a reduction in </w:t>
      </w:r>
      <w:r w:rsidRPr="00147844">
        <w:rPr>
          <w:sz w:val="26"/>
          <w:szCs w:val="26"/>
          <w:lang w:val="en-US"/>
        </w:rPr>
        <w:t>all components</w:t>
      </w:r>
      <w:r w:rsidRPr="00147844">
        <w:rPr>
          <w:sz w:val="26"/>
          <w:szCs w:val="26"/>
          <w:lang w:val="uz-Cyrl-UZ"/>
        </w:rPr>
        <w:t xml:space="preserve"> </w:t>
      </w:r>
      <w:r w:rsidR="003E49EF" w:rsidRPr="00147844">
        <w:rPr>
          <w:sz w:val="26"/>
          <w:szCs w:val="26"/>
          <w:lang w:val="uz-Cyrl-UZ"/>
        </w:rPr>
        <w:t>of current account</w:t>
      </w:r>
      <w:r w:rsidR="00F3216F" w:rsidRPr="00147844">
        <w:rPr>
          <w:sz w:val="26"/>
          <w:szCs w:val="26"/>
          <w:lang w:val="uz-Cyrl-UZ"/>
        </w:rPr>
        <w:t xml:space="preserve"> </w:t>
      </w:r>
      <w:r w:rsidR="003E49EF" w:rsidRPr="00147844">
        <w:rPr>
          <w:sz w:val="26"/>
          <w:szCs w:val="26"/>
          <w:lang w:val="uz-Cyrl-UZ"/>
        </w:rPr>
        <w:t>compared to the same indicators of the corresponding period of the previous year</w:t>
      </w:r>
      <w:r w:rsidR="00BA2A16">
        <w:rPr>
          <w:sz w:val="26"/>
          <w:szCs w:val="26"/>
          <w:lang w:val="en-US"/>
        </w:rPr>
        <w:t>.</w:t>
      </w:r>
      <w:r w:rsidR="003E49EF" w:rsidRPr="00147844">
        <w:rPr>
          <w:sz w:val="26"/>
          <w:szCs w:val="26"/>
          <w:lang w:val="uz-Cyrl-UZ"/>
        </w:rPr>
        <w:t xml:space="preserve"> </w:t>
      </w:r>
      <w:r w:rsidR="003E49EF" w:rsidRPr="00147844">
        <w:rPr>
          <w:rFonts w:cs="Calibri"/>
          <w:color w:val="0070C0"/>
          <w:sz w:val="26"/>
          <w:szCs w:val="26"/>
          <w:lang w:val="en-US"/>
        </w:rPr>
        <w:t xml:space="preserve">(Table </w:t>
      </w:r>
      <w:r w:rsidR="00BA2A16">
        <w:rPr>
          <w:rFonts w:cs="Calibri"/>
          <w:color w:val="0070C0"/>
          <w:sz w:val="26"/>
          <w:szCs w:val="26"/>
          <w:lang w:val="en-US"/>
        </w:rPr>
        <w:t>2</w:t>
      </w:r>
      <w:r w:rsidR="003E49EF" w:rsidRPr="00147844">
        <w:rPr>
          <w:rFonts w:cs="Calibri"/>
          <w:color w:val="0070C0"/>
          <w:sz w:val="26"/>
          <w:szCs w:val="26"/>
          <w:lang w:val="en-US"/>
        </w:rPr>
        <w:t>).</w:t>
      </w:r>
    </w:p>
    <w:p w:rsidR="00A7596A" w:rsidRPr="00CA5095" w:rsidRDefault="00A7596A" w:rsidP="00A7596A">
      <w:pPr>
        <w:tabs>
          <w:tab w:val="left" w:pos="1560"/>
        </w:tabs>
        <w:spacing w:before="120" w:line="288" w:lineRule="auto"/>
        <w:ind w:firstLine="709"/>
        <w:jc w:val="both"/>
        <w:rPr>
          <w:noProof/>
          <w:sz w:val="26"/>
          <w:szCs w:val="26"/>
          <w:highlight w:val="yellow"/>
          <w:lang w:val="en-US"/>
        </w:rPr>
        <w:sectPr w:rsidR="00A7596A" w:rsidRPr="00CA5095" w:rsidSect="00477150">
          <w:pgSz w:w="11906" w:h="16838" w:code="9"/>
          <w:pgMar w:top="1134" w:right="851" w:bottom="851" w:left="1134" w:header="709" w:footer="0" w:gutter="0"/>
          <w:cols w:space="708"/>
          <w:titlePg/>
          <w:docGrid w:linePitch="360"/>
        </w:sectPr>
      </w:pPr>
    </w:p>
    <w:p w:rsidR="00A7596A" w:rsidRPr="005A1840" w:rsidRDefault="00A7596A" w:rsidP="00A7596A">
      <w:pPr>
        <w:jc w:val="right"/>
        <w:rPr>
          <w:noProof/>
          <w:lang w:val="en-US"/>
        </w:rPr>
      </w:pPr>
      <w:r>
        <w:rPr>
          <w:noProof/>
          <w:lang w:val="en-US"/>
        </w:rPr>
        <w:lastRenderedPageBreak/>
        <w:t>Table</w:t>
      </w:r>
      <w:r w:rsidR="0042287F">
        <w:rPr>
          <w:noProof/>
          <w:lang w:val="en-US"/>
        </w:rPr>
        <w:t xml:space="preserve"> </w:t>
      </w:r>
      <w:r w:rsidR="00373F87">
        <w:rPr>
          <w:noProof/>
          <w:lang w:val="en-US"/>
        </w:rPr>
        <w:t>2</w:t>
      </w:r>
    </w:p>
    <w:p w:rsidR="00EC4C61" w:rsidRPr="00F45A80" w:rsidRDefault="00EC4C61" w:rsidP="00DD03DB">
      <w:pPr>
        <w:spacing w:before="120"/>
        <w:jc w:val="center"/>
        <w:rPr>
          <w:b/>
          <w:noProof/>
          <w:sz w:val="28"/>
          <w:szCs w:val="28"/>
          <w:lang w:val="en-US"/>
        </w:rPr>
      </w:pPr>
      <w:r w:rsidRPr="00147844">
        <w:rPr>
          <w:b/>
          <w:noProof/>
          <w:sz w:val="28"/>
          <w:szCs w:val="28"/>
          <w:lang w:val="en-US"/>
        </w:rPr>
        <w:t>STRUCTURE OF CURRENT INCOME AND CURRENT EXPENSES</w:t>
      </w:r>
    </w:p>
    <w:p w:rsidR="00A7596A" w:rsidRPr="00CA5095" w:rsidRDefault="00EC4C61" w:rsidP="00DD03DB">
      <w:pPr>
        <w:spacing w:before="120"/>
        <w:jc w:val="right"/>
        <w:rPr>
          <w:i/>
          <w:noProof/>
          <w:lang w:val="en-US"/>
        </w:rPr>
      </w:pPr>
      <w:r w:rsidRPr="00EC4C61">
        <w:rPr>
          <w:i/>
          <w:noProof/>
          <w:lang w:val="en-US"/>
        </w:rPr>
        <w:t xml:space="preserve"> </w:t>
      </w:r>
      <w:r w:rsidR="00A7596A" w:rsidRPr="00CA5095">
        <w:rPr>
          <w:i/>
          <w:noProof/>
          <w:lang w:val="en-US"/>
        </w:rPr>
        <w:t>(</w:t>
      </w:r>
      <w:r w:rsidR="008B5C2D">
        <w:rPr>
          <w:i/>
          <w:noProof/>
          <w:lang w:val="en-US"/>
        </w:rPr>
        <w:t>mln</w:t>
      </w:r>
      <w:r w:rsidR="00A7596A" w:rsidRPr="00CA5095">
        <w:rPr>
          <w:i/>
          <w:noProof/>
          <w:lang w:val="en-US"/>
        </w:rPr>
        <w:t xml:space="preserve">. </w:t>
      </w:r>
      <w:r w:rsidR="008B5C2D" w:rsidRPr="008B5C2D">
        <w:rPr>
          <w:i/>
          <w:noProof/>
          <w:lang w:val="en-US"/>
        </w:rPr>
        <w:t>d</w:t>
      </w:r>
      <w:r w:rsidR="008B5C2D">
        <w:rPr>
          <w:i/>
          <w:noProof/>
          <w:lang w:val="en-US"/>
        </w:rPr>
        <w:t>oll</w:t>
      </w:r>
      <w:r w:rsidR="00A7596A" w:rsidRPr="00CA5095">
        <w:rPr>
          <w:i/>
          <w:noProof/>
          <w:lang w:val="en-US"/>
        </w:rPr>
        <w:t>.)</w:t>
      </w:r>
    </w:p>
    <w:tbl>
      <w:tblPr>
        <w:tblW w:w="15039" w:type="dxa"/>
        <w:tblLook w:val="04A0" w:firstRow="1" w:lastRow="0" w:firstColumn="1" w:lastColumn="0" w:noHBand="0" w:noVBand="1"/>
      </w:tblPr>
      <w:tblGrid>
        <w:gridCol w:w="3256"/>
        <w:gridCol w:w="992"/>
        <w:gridCol w:w="992"/>
        <w:gridCol w:w="992"/>
        <w:gridCol w:w="851"/>
        <w:gridCol w:w="993"/>
        <w:gridCol w:w="992"/>
        <w:gridCol w:w="992"/>
        <w:gridCol w:w="850"/>
        <w:gridCol w:w="992"/>
        <w:gridCol w:w="993"/>
        <w:gridCol w:w="995"/>
        <w:gridCol w:w="1149"/>
      </w:tblGrid>
      <w:tr w:rsidR="00373F87" w:rsidRPr="00BA2A16" w:rsidTr="00373F87">
        <w:trPr>
          <w:trHeight w:val="20"/>
        </w:trPr>
        <w:tc>
          <w:tcPr>
            <w:tcW w:w="3256" w:type="dxa"/>
            <w:vMerge w:val="restart"/>
            <w:tcBorders>
              <w:top w:val="single" w:sz="4" w:space="0" w:color="5B9BD5"/>
              <w:left w:val="single" w:sz="4" w:space="0" w:color="5B9BD5"/>
              <w:bottom w:val="single" w:sz="4" w:space="0" w:color="5B9BD5"/>
              <w:right w:val="single" w:sz="4" w:space="0" w:color="5B9BD5"/>
            </w:tcBorders>
            <w:shd w:val="clear" w:color="000000" w:fill="BDD6EE"/>
            <w:noWrap/>
            <w:vAlign w:val="center"/>
            <w:hideMark/>
          </w:tcPr>
          <w:p w:rsidR="00373F87" w:rsidRPr="00BA2A16" w:rsidRDefault="00373F87" w:rsidP="00BA2A16">
            <w:pPr>
              <w:jc w:val="center"/>
              <w:rPr>
                <w:rFonts w:cs="Calibri"/>
                <w:b/>
                <w:bCs/>
                <w:color w:val="000000"/>
                <w:sz w:val="20"/>
                <w:szCs w:val="20"/>
              </w:rPr>
            </w:pPr>
            <w:r w:rsidRPr="00BA2A16">
              <w:rPr>
                <w:rFonts w:cs="Calibri"/>
                <w:b/>
                <w:bCs/>
                <w:color w:val="000000"/>
                <w:sz w:val="20"/>
                <w:szCs w:val="20"/>
              </w:rPr>
              <w:t>Indicators</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000000" w:fill="BDD6EE"/>
            <w:vAlign w:val="center"/>
            <w:hideMark/>
          </w:tcPr>
          <w:p w:rsidR="00373F87" w:rsidRPr="00BA2A16" w:rsidRDefault="00373F87" w:rsidP="00BA2A16">
            <w:pPr>
              <w:jc w:val="center"/>
              <w:rPr>
                <w:rFonts w:cs="Calibri"/>
                <w:b/>
                <w:bCs/>
                <w:color w:val="000000"/>
                <w:sz w:val="20"/>
                <w:szCs w:val="20"/>
              </w:rPr>
            </w:pPr>
            <w:r w:rsidRPr="00BA2A16">
              <w:rPr>
                <w:rFonts w:cs="Calibri"/>
                <w:b/>
                <w:bCs/>
                <w:color w:val="000000"/>
                <w:sz w:val="20"/>
                <w:szCs w:val="20"/>
              </w:rPr>
              <w:t>2018</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000000" w:fill="BDD6EE"/>
            <w:vAlign w:val="center"/>
            <w:hideMark/>
          </w:tcPr>
          <w:p w:rsidR="00373F87" w:rsidRPr="00BA2A16" w:rsidRDefault="00373F87" w:rsidP="00BA2A16">
            <w:pPr>
              <w:jc w:val="center"/>
              <w:rPr>
                <w:rFonts w:cs="Calibri"/>
                <w:b/>
                <w:bCs/>
                <w:color w:val="000000"/>
                <w:sz w:val="20"/>
                <w:szCs w:val="20"/>
              </w:rPr>
            </w:pPr>
            <w:r w:rsidRPr="00BA2A16">
              <w:rPr>
                <w:rFonts w:cs="Calibri"/>
                <w:b/>
                <w:bCs/>
                <w:color w:val="000000"/>
                <w:sz w:val="20"/>
                <w:szCs w:val="20"/>
              </w:rPr>
              <w:t>2019</w:t>
            </w:r>
          </w:p>
        </w:tc>
        <w:tc>
          <w:tcPr>
            <w:tcW w:w="3828" w:type="dxa"/>
            <w:gridSpan w:val="4"/>
            <w:tcBorders>
              <w:top w:val="single" w:sz="4" w:space="0" w:color="5B9BD5"/>
              <w:left w:val="nil"/>
              <w:bottom w:val="single" w:sz="4" w:space="0" w:color="5B9BD5"/>
              <w:right w:val="nil"/>
            </w:tcBorders>
            <w:shd w:val="clear" w:color="000000" w:fill="BDD7EE"/>
            <w:noWrap/>
            <w:vAlign w:val="center"/>
            <w:hideMark/>
          </w:tcPr>
          <w:p w:rsidR="00373F87" w:rsidRPr="00BA2A16" w:rsidRDefault="00373F87" w:rsidP="00BA2A16">
            <w:pPr>
              <w:jc w:val="center"/>
              <w:rPr>
                <w:rFonts w:cs="Calibri"/>
                <w:b/>
                <w:bCs/>
                <w:color w:val="000000"/>
                <w:sz w:val="20"/>
                <w:szCs w:val="20"/>
              </w:rPr>
            </w:pPr>
            <w:r w:rsidRPr="00BA2A16">
              <w:rPr>
                <w:rFonts w:cs="Calibri"/>
                <w:b/>
                <w:bCs/>
                <w:color w:val="000000"/>
                <w:sz w:val="20"/>
                <w:szCs w:val="20"/>
              </w:rPr>
              <w:t>2019</w:t>
            </w:r>
          </w:p>
        </w:tc>
        <w:tc>
          <w:tcPr>
            <w:tcW w:w="992" w:type="dxa"/>
            <w:vMerge w:val="restart"/>
            <w:tcBorders>
              <w:top w:val="single" w:sz="4" w:space="0" w:color="5B9BD5"/>
              <w:left w:val="single" w:sz="4" w:space="0" w:color="5B9BD5"/>
              <w:right w:val="single" w:sz="4" w:space="0" w:color="5B9BD5"/>
            </w:tcBorders>
            <w:shd w:val="clear" w:color="000000" w:fill="BDD6EE"/>
            <w:vAlign w:val="center"/>
            <w:hideMark/>
          </w:tcPr>
          <w:p w:rsidR="00373F87" w:rsidRPr="00BA2A16" w:rsidRDefault="00373F87" w:rsidP="00BA2A16">
            <w:pPr>
              <w:jc w:val="center"/>
              <w:rPr>
                <w:rFonts w:cs="Calibri"/>
                <w:b/>
                <w:bCs/>
                <w:color w:val="000000"/>
                <w:sz w:val="20"/>
                <w:szCs w:val="20"/>
              </w:rPr>
            </w:pPr>
            <w:r w:rsidRPr="00BA2A16">
              <w:rPr>
                <w:rFonts w:cs="Calibri"/>
                <w:b/>
                <w:bCs/>
                <w:color w:val="000000"/>
                <w:sz w:val="20"/>
                <w:szCs w:val="20"/>
              </w:rPr>
              <w:t>2020</w:t>
            </w:r>
          </w:p>
        </w:tc>
        <w:tc>
          <w:tcPr>
            <w:tcW w:w="3830" w:type="dxa"/>
            <w:gridSpan w:val="4"/>
            <w:tcBorders>
              <w:top w:val="single" w:sz="4" w:space="0" w:color="5B9BD5"/>
              <w:left w:val="nil"/>
              <w:bottom w:val="single" w:sz="4" w:space="0" w:color="5B9BD5"/>
              <w:right w:val="single" w:sz="4" w:space="0" w:color="5B9BD5"/>
            </w:tcBorders>
            <w:shd w:val="clear" w:color="000000" w:fill="BDD6EE"/>
            <w:vAlign w:val="center"/>
            <w:hideMark/>
          </w:tcPr>
          <w:p w:rsidR="00373F87" w:rsidRPr="00BA2A16" w:rsidRDefault="00373F87" w:rsidP="00BA2A16">
            <w:pPr>
              <w:jc w:val="center"/>
              <w:rPr>
                <w:rFonts w:cs="Calibri"/>
                <w:b/>
                <w:bCs/>
                <w:color w:val="000000"/>
                <w:sz w:val="20"/>
                <w:szCs w:val="20"/>
              </w:rPr>
            </w:pPr>
            <w:r w:rsidRPr="00BA2A16">
              <w:rPr>
                <w:rFonts w:cs="Calibri"/>
                <w:b/>
                <w:bCs/>
                <w:color w:val="000000"/>
                <w:sz w:val="20"/>
                <w:szCs w:val="20"/>
              </w:rPr>
              <w:t>2020</w:t>
            </w:r>
          </w:p>
        </w:tc>
        <w:tc>
          <w:tcPr>
            <w:tcW w:w="1149" w:type="dxa"/>
            <w:vMerge w:val="restart"/>
            <w:tcBorders>
              <w:top w:val="single" w:sz="4" w:space="0" w:color="5B9BD5"/>
              <w:left w:val="single" w:sz="4" w:space="0" w:color="5B9BD5"/>
              <w:right w:val="single" w:sz="4" w:space="0" w:color="5B9BD5"/>
            </w:tcBorders>
            <w:shd w:val="clear" w:color="000000" w:fill="BDD6EE"/>
            <w:vAlign w:val="center"/>
            <w:hideMark/>
          </w:tcPr>
          <w:p w:rsidR="00373F87" w:rsidRPr="000F04EB" w:rsidRDefault="00373F87" w:rsidP="009B60A7">
            <w:pPr>
              <w:jc w:val="center"/>
              <w:rPr>
                <w:rFonts w:cs="Calibri"/>
                <w:b/>
                <w:bCs/>
                <w:color w:val="000000"/>
                <w:sz w:val="20"/>
                <w:szCs w:val="20"/>
              </w:rPr>
            </w:pPr>
            <w:r w:rsidRPr="000F04EB">
              <w:rPr>
                <w:rFonts w:cs="Calibri"/>
                <w:b/>
                <w:bCs/>
                <w:color w:val="000000"/>
                <w:sz w:val="20"/>
                <w:szCs w:val="20"/>
              </w:rPr>
              <w:t xml:space="preserve">Changes </w:t>
            </w:r>
            <w:r w:rsidRPr="009B60A7">
              <w:rPr>
                <w:rFonts w:cs="Calibri"/>
                <w:b/>
                <w:bCs/>
                <w:color w:val="000000"/>
                <w:sz w:val="18"/>
                <w:szCs w:val="18"/>
              </w:rPr>
              <w:t>(</w:t>
            </w:r>
            <w:r w:rsidR="009B60A7">
              <w:rPr>
                <w:rFonts w:cs="Calibri"/>
                <w:b/>
                <w:bCs/>
                <w:color w:val="000000"/>
                <w:sz w:val="18"/>
                <w:szCs w:val="18"/>
                <w:lang w:val="en-US"/>
              </w:rPr>
              <w:t>relative to 2</w:t>
            </w:r>
            <w:r w:rsidRPr="009B60A7">
              <w:rPr>
                <w:rFonts w:cs="Calibri"/>
                <w:b/>
                <w:bCs/>
                <w:color w:val="000000"/>
                <w:sz w:val="18"/>
                <w:szCs w:val="18"/>
              </w:rPr>
              <w:t>019)</w:t>
            </w:r>
          </w:p>
        </w:tc>
      </w:tr>
      <w:tr w:rsidR="000F04EB" w:rsidRPr="00BA2A16" w:rsidTr="009B60A7">
        <w:trPr>
          <w:trHeight w:val="85"/>
        </w:trPr>
        <w:tc>
          <w:tcPr>
            <w:tcW w:w="3256" w:type="dxa"/>
            <w:vMerge/>
            <w:tcBorders>
              <w:top w:val="single" w:sz="4" w:space="0" w:color="5B9BD5"/>
              <w:left w:val="single" w:sz="4" w:space="0" w:color="5B9BD5"/>
              <w:bottom w:val="single" w:sz="4" w:space="0" w:color="5B9BD5"/>
              <w:right w:val="single" w:sz="4" w:space="0" w:color="5B9BD5"/>
            </w:tcBorders>
            <w:vAlign w:val="center"/>
            <w:hideMark/>
          </w:tcPr>
          <w:p w:rsidR="000F04EB" w:rsidRPr="00BA2A16" w:rsidRDefault="000F04EB" w:rsidP="000F04EB">
            <w:pPr>
              <w:rPr>
                <w:rFonts w:cs="Calibri"/>
                <w:b/>
                <w:bCs/>
                <w:color w:val="000000"/>
                <w:sz w:val="20"/>
                <w:szCs w:val="20"/>
              </w:rPr>
            </w:pPr>
          </w:p>
        </w:tc>
        <w:tc>
          <w:tcPr>
            <w:tcW w:w="992" w:type="dxa"/>
            <w:vMerge/>
            <w:tcBorders>
              <w:top w:val="single" w:sz="4" w:space="0" w:color="5B9BD5"/>
              <w:left w:val="single" w:sz="4" w:space="0" w:color="5B9BD5"/>
              <w:bottom w:val="single" w:sz="4" w:space="0" w:color="5B9BD5"/>
              <w:right w:val="single" w:sz="4" w:space="0" w:color="5B9BD5"/>
            </w:tcBorders>
            <w:vAlign w:val="center"/>
            <w:hideMark/>
          </w:tcPr>
          <w:p w:rsidR="000F04EB" w:rsidRPr="00BA2A16" w:rsidRDefault="000F04EB" w:rsidP="000F04EB">
            <w:pPr>
              <w:rPr>
                <w:rFonts w:cs="Calibri"/>
                <w:b/>
                <w:bCs/>
                <w:color w:val="000000"/>
                <w:sz w:val="20"/>
                <w:szCs w:val="20"/>
              </w:rPr>
            </w:pPr>
          </w:p>
        </w:tc>
        <w:tc>
          <w:tcPr>
            <w:tcW w:w="992" w:type="dxa"/>
            <w:vMerge/>
            <w:tcBorders>
              <w:top w:val="single" w:sz="4" w:space="0" w:color="5B9BD5"/>
              <w:left w:val="single" w:sz="4" w:space="0" w:color="5B9BD5"/>
              <w:bottom w:val="single" w:sz="4" w:space="0" w:color="5B9BD5"/>
              <w:right w:val="single" w:sz="4" w:space="0" w:color="5B9BD5"/>
            </w:tcBorders>
            <w:vAlign w:val="center"/>
            <w:hideMark/>
          </w:tcPr>
          <w:p w:rsidR="000F04EB" w:rsidRPr="00BA2A16" w:rsidRDefault="000F04EB" w:rsidP="000F04EB">
            <w:pPr>
              <w:rPr>
                <w:rFonts w:cs="Calibri"/>
                <w:b/>
                <w:bCs/>
                <w:color w:val="000000"/>
                <w:sz w:val="20"/>
                <w:szCs w:val="20"/>
              </w:rPr>
            </w:pPr>
          </w:p>
        </w:tc>
        <w:tc>
          <w:tcPr>
            <w:tcW w:w="992" w:type="dxa"/>
            <w:tcBorders>
              <w:top w:val="nil"/>
              <w:left w:val="nil"/>
              <w:bottom w:val="single" w:sz="4" w:space="0" w:color="5B9BD5"/>
              <w:right w:val="single" w:sz="4" w:space="0" w:color="5B9BD5"/>
            </w:tcBorders>
            <w:shd w:val="clear" w:color="000000" w:fill="BDD6EE"/>
            <w:vAlign w:val="center"/>
            <w:hideMark/>
          </w:tcPr>
          <w:p w:rsidR="000F04EB" w:rsidRPr="000F04EB" w:rsidRDefault="000F04EB" w:rsidP="000F04EB">
            <w:pPr>
              <w:jc w:val="center"/>
              <w:rPr>
                <w:rFonts w:cs="Calibri"/>
                <w:bCs/>
                <w:color w:val="000000"/>
                <w:sz w:val="20"/>
                <w:szCs w:val="20"/>
                <w:lang w:val="en-US"/>
              </w:rPr>
            </w:pPr>
            <w:r w:rsidRPr="000F04EB">
              <w:rPr>
                <w:rFonts w:cs="Calibri"/>
                <w:bCs/>
                <w:color w:val="000000"/>
                <w:sz w:val="20"/>
                <w:szCs w:val="20"/>
                <w:lang w:val="en-US"/>
              </w:rPr>
              <w:t>Q1</w:t>
            </w:r>
          </w:p>
        </w:tc>
        <w:tc>
          <w:tcPr>
            <w:tcW w:w="851" w:type="dxa"/>
            <w:tcBorders>
              <w:top w:val="nil"/>
              <w:left w:val="nil"/>
              <w:bottom w:val="single" w:sz="4" w:space="0" w:color="5B9BD5"/>
              <w:right w:val="single" w:sz="4" w:space="0" w:color="5B9BD5"/>
            </w:tcBorders>
            <w:shd w:val="clear" w:color="000000" w:fill="BDD6EE"/>
            <w:vAlign w:val="center"/>
            <w:hideMark/>
          </w:tcPr>
          <w:p w:rsidR="000F04EB" w:rsidRPr="000F04EB" w:rsidRDefault="000F04EB" w:rsidP="000F04EB">
            <w:pPr>
              <w:jc w:val="center"/>
              <w:rPr>
                <w:rFonts w:cs="Calibri"/>
                <w:bCs/>
                <w:color w:val="000000"/>
                <w:sz w:val="20"/>
                <w:szCs w:val="20"/>
                <w:lang w:val="en-US"/>
              </w:rPr>
            </w:pPr>
            <w:r w:rsidRPr="000F04EB">
              <w:rPr>
                <w:rFonts w:cs="Calibri"/>
                <w:bCs/>
                <w:color w:val="000000"/>
                <w:sz w:val="20"/>
                <w:szCs w:val="20"/>
                <w:lang w:val="en-US"/>
              </w:rPr>
              <w:t>Q2</w:t>
            </w:r>
          </w:p>
        </w:tc>
        <w:tc>
          <w:tcPr>
            <w:tcW w:w="993" w:type="dxa"/>
            <w:tcBorders>
              <w:top w:val="nil"/>
              <w:left w:val="nil"/>
              <w:bottom w:val="single" w:sz="4" w:space="0" w:color="5B9BD5"/>
              <w:right w:val="single" w:sz="4" w:space="0" w:color="5B9BD5"/>
            </w:tcBorders>
            <w:shd w:val="clear" w:color="000000" w:fill="BDD6EE"/>
            <w:vAlign w:val="center"/>
            <w:hideMark/>
          </w:tcPr>
          <w:p w:rsidR="000F04EB" w:rsidRPr="000F04EB" w:rsidRDefault="000F04EB" w:rsidP="000F04EB">
            <w:pPr>
              <w:jc w:val="center"/>
              <w:rPr>
                <w:rFonts w:cs="Calibri"/>
                <w:bCs/>
                <w:color w:val="000000"/>
                <w:sz w:val="20"/>
                <w:szCs w:val="20"/>
                <w:lang w:val="en-US"/>
              </w:rPr>
            </w:pPr>
            <w:r w:rsidRPr="000F04EB">
              <w:rPr>
                <w:rFonts w:cs="Calibri"/>
                <w:bCs/>
                <w:color w:val="000000"/>
                <w:sz w:val="20"/>
                <w:szCs w:val="20"/>
                <w:lang w:val="en-US"/>
              </w:rPr>
              <w:t>Q3</w:t>
            </w:r>
          </w:p>
        </w:tc>
        <w:tc>
          <w:tcPr>
            <w:tcW w:w="992" w:type="dxa"/>
            <w:tcBorders>
              <w:top w:val="nil"/>
              <w:left w:val="nil"/>
              <w:bottom w:val="single" w:sz="4" w:space="0" w:color="5B9BD5"/>
              <w:right w:val="single" w:sz="4" w:space="0" w:color="5B9BD5"/>
            </w:tcBorders>
            <w:shd w:val="clear" w:color="000000" w:fill="BDD6EE"/>
            <w:vAlign w:val="center"/>
            <w:hideMark/>
          </w:tcPr>
          <w:p w:rsidR="000F04EB" w:rsidRPr="000F04EB" w:rsidRDefault="000F04EB" w:rsidP="000F04EB">
            <w:pPr>
              <w:jc w:val="center"/>
              <w:rPr>
                <w:rFonts w:cs="Calibri"/>
                <w:bCs/>
                <w:color w:val="000000"/>
                <w:sz w:val="20"/>
                <w:szCs w:val="20"/>
                <w:lang w:val="en-US"/>
              </w:rPr>
            </w:pPr>
            <w:r w:rsidRPr="000F04EB">
              <w:rPr>
                <w:rFonts w:cs="Calibri"/>
                <w:bCs/>
                <w:color w:val="000000"/>
                <w:sz w:val="20"/>
                <w:szCs w:val="20"/>
                <w:lang w:val="en-US"/>
              </w:rPr>
              <w:t>Q4</w:t>
            </w:r>
          </w:p>
        </w:tc>
        <w:tc>
          <w:tcPr>
            <w:tcW w:w="992" w:type="dxa"/>
            <w:vMerge/>
            <w:tcBorders>
              <w:left w:val="single" w:sz="4" w:space="0" w:color="5B9BD5"/>
              <w:bottom w:val="single" w:sz="4" w:space="0" w:color="5B9BD5"/>
              <w:right w:val="single" w:sz="4" w:space="0" w:color="5B9BD5"/>
            </w:tcBorders>
            <w:vAlign w:val="center"/>
            <w:hideMark/>
          </w:tcPr>
          <w:p w:rsidR="000F04EB" w:rsidRPr="00BA2A16" w:rsidRDefault="000F04EB" w:rsidP="000F04EB">
            <w:pPr>
              <w:jc w:val="center"/>
              <w:rPr>
                <w:rFonts w:cs="Calibri"/>
                <w:b/>
                <w:bCs/>
                <w:color w:val="000000"/>
                <w:sz w:val="20"/>
                <w:szCs w:val="20"/>
              </w:rPr>
            </w:pPr>
          </w:p>
        </w:tc>
        <w:tc>
          <w:tcPr>
            <w:tcW w:w="850" w:type="dxa"/>
            <w:tcBorders>
              <w:top w:val="nil"/>
              <w:left w:val="nil"/>
              <w:bottom w:val="single" w:sz="4" w:space="0" w:color="5B9BD5"/>
              <w:right w:val="single" w:sz="4" w:space="0" w:color="5B9BD5"/>
            </w:tcBorders>
            <w:shd w:val="clear" w:color="000000" w:fill="BDD6EE"/>
            <w:vAlign w:val="center"/>
            <w:hideMark/>
          </w:tcPr>
          <w:p w:rsidR="000F04EB" w:rsidRPr="000F04EB" w:rsidRDefault="000F04EB" w:rsidP="000F04EB">
            <w:pPr>
              <w:jc w:val="center"/>
              <w:rPr>
                <w:rFonts w:cs="Calibri"/>
                <w:bCs/>
                <w:color w:val="000000"/>
                <w:sz w:val="20"/>
                <w:szCs w:val="20"/>
                <w:lang w:val="en-US"/>
              </w:rPr>
            </w:pPr>
            <w:r w:rsidRPr="000F04EB">
              <w:rPr>
                <w:rFonts w:cs="Calibri"/>
                <w:bCs/>
                <w:color w:val="000000"/>
                <w:sz w:val="20"/>
                <w:szCs w:val="20"/>
                <w:lang w:val="en-US"/>
              </w:rPr>
              <w:t>Q1</w:t>
            </w:r>
          </w:p>
        </w:tc>
        <w:tc>
          <w:tcPr>
            <w:tcW w:w="992" w:type="dxa"/>
            <w:tcBorders>
              <w:top w:val="nil"/>
              <w:left w:val="nil"/>
              <w:bottom w:val="single" w:sz="4" w:space="0" w:color="5B9BD5"/>
              <w:right w:val="single" w:sz="4" w:space="0" w:color="5B9BD5"/>
            </w:tcBorders>
            <w:shd w:val="clear" w:color="000000" w:fill="BDD6EE"/>
            <w:vAlign w:val="center"/>
            <w:hideMark/>
          </w:tcPr>
          <w:p w:rsidR="000F04EB" w:rsidRPr="000F04EB" w:rsidRDefault="000F04EB" w:rsidP="000F04EB">
            <w:pPr>
              <w:jc w:val="center"/>
              <w:rPr>
                <w:rFonts w:cs="Calibri"/>
                <w:bCs/>
                <w:color w:val="000000"/>
                <w:sz w:val="20"/>
                <w:szCs w:val="20"/>
                <w:lang w:val="en-US"/>
              </w:rPr>
            </w:pPr>
            <w:r w:rsidRPr="000F04EB">
              <w:rPr>
                <w:rFonts w:cs="Calibri"/>
                <w:bCs/>
                <w:color w:val="000000"/>
                <w:sz w:val="20"/>
                <w:szCs w:val="20"/>
                <w:lang w:val="en-US"/>
              </w:rPr>
              <w:t>Q2</w:t>
            </w:r>
          </w:p>
        </w:tc>
        <w:tc>
          <w:tcPr>
            <w:tcW w:w="993" w:type="dxa"/>
            <w:tcBorders>
              <w:top w:val="nil"/>
              <w:left w:val="nil"/>
              <w:bottom w:val="single" w:sz="4" w:space="0" w:color="5B9BD5"/>
              <w:right w:val="single" w:sz="4" w:space="0" w:color="5B9BD5"/>
            </w:tcBorders>
            <w:shd w:val="clear" w:color="000000" w:fill="BDD6EE"/>
            <w:vAlign w:val="center"/>
            <w:hideMark/>
          </w:tcPr>
          <w:p w:rsidR="000F04EB" w:rsidRPr="000F04EB" w:rsidRDefault="000F04EB" w:rsidP="000F04EB">
            <w:pPr>
              <w:jc w:val="center"/>
              <w:rPr>
                <w:rFonts w:cs="Calibri"/>
                <w:bCs/>
                <w:color w:val="000000"/>
                <w:sz w:val="20"/>
                <w:szCs w:val="20"/>
                <w:lang w:val="en-US"/>
              </w:rPr>
            </w:pPr>
            <w:r w:rsidRPr="000F04EB">
              <w:rPr>
                <w:rFonts w:cs="Calibri"/>
                <w:bCs/>
                <w:color w:val="000000"/>
                <w:sz w:val="20"/>
                <w:szCs w:val="20"/>
                <w:lang w:val="en-US"/>
              </w:rPr>
              <w:t>Q3</w:t>
            </w:r>
          </w:p>
        </w:tc>
        <w:tc>
          <w:tcPr>
            <w:tcW w:w="995" w:type="dxa"/>
            <w:tcBorders>
              <w:top w:val="nil"/>
              <w:left w:val="nil"/>
              <w:bottom w:val="single" w:sz="4" w:space="0" w:color="5B9BD5"/>
              <w:right w:val="single" w:sz="4" w:space="0" w:color="5B9BD5"/>
            </w:tcBorders>
            <w:shd w:val="clear" w:color="000000" w:fill="BDD6EE"/>
            <w:vAlign w:val="center"/>
            <w:hideMark/>
          </w:tcPr>
          <w:p w:rsidR="000F04EB" w:rsidRPr="000F04EB" w:rsidRDefault="000F04EB" w:rsidP="000F04EB">
            <w:pPr>
              <w:jc w:val="center"/>
              <w:rPr>
                <w:rFonts w:cs="Calibri"/>
                <w:bCs/>
                <w:color w:val="000000"/>
                <w:sz w:val="20"/>
                <w:szCs w:val="20"/>
                <w:lang w:val="en-US"/>
              </w:rPr>
            </w:pPr>
            <w:r w:rsidRPr="000F04EB">
              <w:rPr>
                <w:rFonts w:cs="Calibri"/>
                <w:bCs/>
                <w:color w:val="000000"/>
                <w:sz w:val="20"/>
                <w:szCs w:val="20"/>
                <w:lang w:val="en-US"/>
              </w:rPr>
              <w:t>Q4</w:t>
            </w:r>
          </w:p>
        </w:tc>
        <w:tc>
          <w:tcPr>
            <w:tcW w:w="1149" w:type="dxa"/>
            <w:vMerge/>
            <w:tcBorders>
              <w:left w:val="single" w:sz="4" w:space="0" w:color="5B9BD5"/>
              <w:bottom w:val="single" w:sz="4" w:space="0" w:color="5B9BD5"/>
              <w:right w:val="single" w:sz="4" w:space="0" w:color="5B9BD5"/>
            </w:tcBorders>
            <w:vAlign w:val="center"/>
            <w:hideMark/>
          </w:tcPr>
          <w:p w:rsidR="000F04EB" w:rsidRPr="00BA2A16" w:rsidRDefault="000F04EB" w:rsidP="000F04EB">
            <w:pPr>
              <w:rPr>
                <w:rFonts w:cs="Calibri"/>
                <w:b/>
                <w:bCs/>
                <w:color w:val="000000"/>
                <w:sz w:val="20"/>
                <w:szCs w:val="20"/>
              </w:rPr>
            </w:pPr>
          </w:p>
        </w:tc>
      </w:tr>
      <w:tr w:rsidR="00373F87" w:rsidRPr="00BA2A16" w:rsidTr="00373F87">
        <w:trPr>
          <w:trHeight w:val="454"/>
        </w:trPr>
        <w:tc>
          <w:tcPr>
            <w:tcW w:w="3256" w:type="dxa"/>
            <w:tcBorders>
              <w:top w:val="nil"/>
              <w:left w:val="single" w:sz="4" w:space="0" w:color="5B9BD5"/>
              <w:bottom w:val="single" w:sz="4" w:space="0" w:color="5B9BD5"/>
              <w:right w:val="single" w:sz="4" w:space="0" w:color="5B9BD5"/>
            </w:tcBorders>
            <w:shd w:val="clear" w:color="000000" w:fill="F2F2F2"/>
            <w:vAlign w:val="center"/>
            <w:hideMark/>
          </w:tcPr>
          <w:p w:rsidR="00BA2A16" w:rsidRPr="00BA2A16" w:rsidRDefault="00BA2A16" w:rsidP="00BA2A16">
            <w:pPr>
              <w:ind w:firstLineChars="100" w:firstLine="201"/>
              <w:rPr>
                <w:rFonts w:cs="Calibri"/>
                <w:b/>
                <w:bCs/>
                <w:color w:val="000000"/>
                <w:sz w:val="20"/>
                <w:szCs w:val="20"/>
              </w:rPr>
            </w:pPr>
            <w:r w:rsidRPr="00BA2A16">
              <w:rPr>
                <w:rFonts w:cs="Calibri"/>
                <w:b/>
                <w:bCs/>
                <w:color w:val="000000"/>
                <w:sz w:val="20"/>
                <w:szCs w:val="20"/>
              </w:rPr>
              <w:t>Income receivable</w:t>
            </w:r>
          </w:p>
        </w:tc>
        <w:tc>
          <w:tcPr>
            <w:tcW w:w="992" w:type="dxa"/>
            <w:tcBorders>
              <w:top w:val="nil"/>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22 163,2</w:t>
            </w:r>
          </w:p>
        </w:tc>
        <w:tc>
          <w:tcPr>
            <w:tcW w:w="992" w:type="dxa"/>
            <w:tcBorders>
              <w:top w:val="nil"/>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25 991,0</w:t>
            </w:r>
          </w:p>
        </w:tc>
        <w:tc>
          <w:tcPr>
            <w:tcW w:w="992" w:type="dxa"/>
            <w:tcBorders>
              <w:top w:val="nil"/>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5 448,5</w:t>
            </w:r>
          </w:p>
        </w:tc>
        <w:tc>
          <w:tcPr>
            <w:tcW w:w="851" w:type="dxa"/>
            <w:tcBorders>
              <w:top w:val="nil"/>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6 440,7</w:t>
            </w:r>
          </w:p>
        </w:tc>
        <w:tc>
          <w:tcPr>
            <w:tcW w:w="993" w:type="dxa"/>
            <w:tcBorders>
              <w:top w:val="nil"/>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7 601,9</w:t>
            </w:r>
          </w:p>
        </w:tc>
        <w:tc>
          <w:tcPr>
            <w:tcW w:w="992" w:type="dxa"/>
            <w:tcBorders>
              <w:top w:val="nil"/>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6 499,8</w:t>
            </w:r>
          </w:p>
        </w:tc>
        <w:tc>
          <w:tcPr>
            <w:tcW w:w="992" w:type="dxa"/>
            <w:tcBorders>
              <w:top w:val="nil"/>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21 765,8</w:t>
            </w:r>
          </w:p>
        </w:tc>
        <w:tc>
          <w:tcPr>
            <w:tcW w:w="850" w:type="dxa"/>
            <w:tcBorders>
              <w:top w:val="nil"/>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4 999,5</w:t>
            </w:r>
          </w:p>
        </w:tc>
        <w:tc>
          <w:tcPr>
            <w:tcW w:w="992" w:type="dxa"/>
            <w:tcBorders>
              <w:top w:val="nil"/>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4 468,2</w:t>
            </w:r>
          </w:p>
        </w:tc>
        <w:tc>
          <w:tcPr>
            <w:tcW w:w="993" w:type="dxa"/>
            <w:tcBorders>
              <w:top w:val="nil"/>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8 002,6</w:t>
            </w:r>
          </w:p>
        </w:tc>
        <w:tc>
          <w:tcPr>
            <w:tcW w:w="995" w:type="dxa"/>
            <w:tcBorders>
              <w:top w:val="nil"/>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4 295,5</w:t>
            </w:r>
          </w:p>
        </w:tc>
        <w:tc>
          <w:tcPr>
            <w:tcW w:w="1149" w:type="dxa"/>
            <w:tcBorders>
              <w:top w:val="nil"/>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-16,3%</w:t>
            </w:r>
          </w:p>
        </w:tc>
      </w:tr>
      <w:tr w:rsidR="00373F87" w:rsidRPr="00BA2A16" w:rsidTr="00373F87">
        <w:trPr>
          <w:trHeight w:val="454"/>
        </w:trPr>
        <w:tc>
          <w:tcPr>
            <w:tcW w:w="3256" w:type="dxa"/>
            <w:tcBorders>
              <w:top w:val="nil"/>
              <w:left w:val="single" w:sz="4" w:space="0" w:color="5B9BD5"/>
              <w:bottom w:val="single" w:sz="4" w:space="0" w:color="5B9BD5"/>
              <w:right w:val="single" w:sz="4" w:space="0" w:color="5B9BD5"/>
            </w:tcBorders>
            <w:shd w:val="clear" w:color="000000" w:fill="FFFFFF"/>
            <w:vAlign w:val="center"/>
            <w:hideMark/>
          </w:tcPr>
          <w:p w:rsidR="00BA2A16" w:rsidRPr="00BA2A16" w:rsidRDefault="00BA2A16" w:rsidP="00BA2A16">
            <w:pPr>
              <w:ind w:firstLineChars="100" w:firstLine="201"/>
              <w:rPr>
                <w:rFonts w:cs="Calibri"/>
                <w:b/>
                <w:bCs/>
                <w:i/>
                <w:iCs/>
                <w:color w:val="000000"/>
                <w:sz w:val="20"/>
                <w:szCs w:val="20"/>
              </w:rPr>
            </w:pPr>
            <w:r w:rsidRPr="00BA2A16">
              <w:rPr>
                <w:rFonts w:cs="Calibri"/>
                <w:b/>
                <w:bCs/>
                <w:i/>
                <w:iCs/>
                <w:color w:val="000000"/>
                <w:sz w:val="20"/>
                <w:szCs w:val="20"/>
              </w:rPr>
              <w:t>Export</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14 135,1</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16 993,4</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3 681,1</w:t>
            </w:r>
          </w:p>
        </w:tc>
        <w:tc>
          <w:tcPr>
            <w:tcW w:w="851"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4 202,8</w:t>
            </w:r>
          </w:p>
        </w:tc>
        <w:tc>
          <w:tcPr>
            <w:tcW w:w="993"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4 996,2</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4 113,3</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14 522,7</w:t>
            </w:r>
          </w:p>
        </w:tc>
        <w:tc>
          <w:tcPr>
            <w:tcW w:w="850"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3 216,1</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2 894,3</w:t>
            </w:r>
          </w:p>
        </w:tc>
        <w:tc>
          <w:tcPr>
            <w:tcW w:w="993"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5 964,8</w:t>
            </w:r>
          </w:p>
        </w:tc>
        <w:tc>
          <w:tcPr>
            <w:tcW w:w="995"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2 447,6</w:t>
            </w:r>
          </w:p>
        </w:tc>
        <w:tc>
          <w:tcPr>
            <w:tcW w:w="1149"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-14,5%</w:t>
            </w:r>
          </w:p>
        </w:tc>
      </w:tr>
      <w:tr w:rsidR="00373F87" w:rsidRPr="00BA2A16" w:rsidTr="00373F87">
        <w:trPr>
          <w:trHeight w:val="454"/>
        </w:trPr>
        <w:tc>
          <w:tcPr>
            <w:tcW w:w="3256" w:type="dxa"/>
            <w:tcBorders>
              <w:top w:val="nil"/>
              <w:left w:val="single" w:sz="4" w:space="0" w:color="5B9BD5"/>
              <w:bottom w:val="single" w:sz="4" w:space="0" w:color="5B9BD5"/>
              <w:right w:val="single" w:sz="4" w:space="0" w:color="5B9BD5"/>
            </w:tcBorders>
            <w:shd w:val="clear" w:color="000000" w:fill="FFFFFF"/>
            <w:vAlign w:val="center"/>
            <w:hideMark/>
          </w:tcPr>
          <w:p w:rsidR="00BA2A16" w:rsidRPr="00BA2A16" w:rsidRDefault="00BA2A16" w:rsidP="00BA2A16">
            <w:pPr>
              <w:ind w:firstLineChars="200" w:firstLine="400"/>
              <w:rPr>
                <w:rFonts w:cs="Calibri"/>
                <w:i/>
                <w:iCs/>
                <w:color w:val="000000"/>
                <w:sz w:val="20"/>
                <w:szCs w:val="20"/>
              </w:rPr>
            </w:pPr>
            <w:r w:rsidRPr="00BA2A16">
              <w:rPr>
                <w:rFonts w:cs="Calibri"/>
                <w:i/>
                <w:iCs/>
                <w:color w:val="000000"/>
                <w:sz w:val="20"/>
                <w:szCs w:val="20"/>
              </w:rPr>
              <w:t>Goods</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11 385,6</w:t>
            </w:r>
          </w:p>
        </w:tc>
        <w:tc>
          <w:tcPr>
            <w:tcW w:w="992"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13 898,6</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3 045,0</w:t>
            </w:r>
          </w:p>
        </w:tc>
        <w:tc>
          <w:tcPr>
            <w:tcW w:w="851"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3 414,1</w:t>
            </w:r>
          </w:p>
        </w:tc>
        <w:tc>
          <w:tcPr>
            <w:tcW w:w="993"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4 146,6</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3 292,9</w:t>
            </w:r>
          </w:p>
        </w:tc>
        <w:tc>
          <w:tcPr>
            <w:tcW w:w="992" w:type="dxa"/>
            <w:tcBorders>
              <w:top w:val="nil"/>
              <w:left w:val="nil"/>
              <w:bottom w:val="single" w:sz="4" w:space="0" w:color="5B9BD5"/>
              <w:right w:val="single" w:sz="4" w:space="0" w:color="5B9BD5"/>
            </w:tcBorders>
            <w:shd w:val="clear" w:color="auto" w:fill="auto"/>
            <w:vAlign w:val="center"/>
            <w:hideMark/>
          </w:tcPr>
          <w:p w:rsidR="00BA2A16" w:rsidRPr="00B809D1" w:rsidRDefault="00BA2A16" w:rsidP="00B809D1">
            <w:pPr>
              <w:jc w:val="center"/>
              <w:rPr>
                <w:rFonts w:cs="Calibri"/>
                <w:color w:val="000000"/>
                <w:sz w:val="20"/>
                <w:szCs w:val="20"/>
                <w:lang w:val="en-US"/>
              </w:rPr>
            </w:pPr>
            <w:r w:rsidRPr="00BA2A16">
              <w:rPr>
                <w:rFonts w:cs="Calibri"/>
                <w:color w:val="000000"/>
                <w:sz w:val="20"/>
                <w:szCs w:val="20"/>
              </w:rPr>
              <w:t>12823,2</w:t>
            </w:r>
            <w:r w:rsidR="00B809D1">
              <w:rPr>
                <w:rFonts w:cs="Calibri"/>
                <w:color w:val="000000"/>
                <w:sz w:val="20"/>
                <w:szCs w:val="20"/>
                <w:lang w:val="en-US"/>
              </w:rPr>
              <w:t>*</w:t>
            </w:r>
          </w:p>
        </w:tc>
        <w:tc>
          <w:tcPr>
            <w:tcW w:w="850"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2 609,3</w:t>
            </w:r>
          </w:p>
        </w:tc>
        <w:tc>
          <w:tcPr>
            <w:tcW w:w="992"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2 579,2</w:t>
            </w:r>
          </w:p>
        </w:tc>
        <w:tc>
          <w:tcPr>
            <w:tcW w:w="993"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5 616,2</w:t>
            </w:r>
          </w:p>
        </w:tc>
        <w:tc>
          <w:tcPr>
            <w:tcW w:w="995"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2 018,5</w:t>
            </w:r>
          </w:p>
        </w:tc>
        <w:tc>
          <w:tcPr>
            <w:tcW w:w="1149"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-7,7%</w:t>
            </w:r>
          </w:p>
        </w:tc>
      </w:tr>
      <w:tr w:rsidR="00373F87" w:rsidRPr="00BA2A16" w:rsidTr="00373F87">
        <w:trPr>
          <w:trHeight w:val="454"/>
        </w:trPr>
        <w:tc>
          <w:tcPr>
            <w:tcW w:w="3256" w:type="dxa"/>
            <w:tcBorders>
              <w:top w:val="single" w:sz="4" w:space="0" w:color="5B9BD5"/>
              <w:left w:val="single" w:sz="4" w:space="0" w:color="5B9BD5"/>
              <w:bottom w:val="single" w:sz="4" w:space="0" w:color="5B9BD5"/>
              <w:right w:val="single" w:sz="4" w:space="0" w:color="5B9BD5"/>
            </w:tcBorders>
            <w:shd w:val="clear" w:color="000000" w:fill="F2F2F2"/>
            <w:vAlign w:val="center"/>
            <w:hideMark/>
          </w:tcPr>
          <w:p w:rsidR="00BA2A16" w:rsidRPr="00BA2A16" w:rsidRDefault="00BA2A16" w:rsidP="000F04EB">
            <w:pPr>
              <w:ind w:firstLineChars="297" w:firstLine="594"/>
              <w:rPr>
                <w:rFonts w:cs="Calibri"/>
                <w:i/>
                <w:iCs/>
                <w:color w:val="000000"/>
                <w:sz w:val="20"/>
                <w:szCs w:val="20"/>
              </w:rPr>
            </w:pPr>
            <w:r w:rsidRPr="00BA2A16">
              <w:rPr>
                <w:rFonts w:cs="Calibri"/>
                <w:i/>
                <w:iCs/>
                <w:color w:val="000000"/>
                <w:sz w:val="20"/>
                <w:szCs w:val="20"/>
              </w:rPr>
              <w:t>w/o</w:t>
            </w:r>
            <w:r w:rsidR="00B809D1">
              <w:rPr>
                <w:rFonts w:cs="Calibri"/>
                <w:i/>
                <w:iCs/>
                <w:color w:val="000000"/>
                <w:sz w:val="20"/>
                <w:szCs w:val="20"/>
                <w:lang w:val="en-US"/>
              </w:rPr>
              <w:t xml:space="preserve"> nonmonetary</w:t>
            </w:r>
            <w:r w:rsidRPr="00BA2A16">
              <w:rPr>
                <w:rFonts w:cs="Calibri"/>
                <w:i/>
                <w:iCs/>
                <w:color w:val="000000"/>
                <w:sz w:val="20"/>
                <w:szCs w:val="20"/>
              </w:rPr>
              <w:t xml:space="preserve"> gold</w:t>
            </w:r>
          </w:p>
        </w:tc>
        <w:tc>
          <w:tcPr>
            <w:tcW w:w="992" w:type="dxa"/>
            <w:tcBorders>
              <w:top w:val="single" w:sz="4" w:space="0" w:color="5B9BD5"/>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i/>
                <w:iCs/>
                <w:color w:val="000000"/>
                <w:sz w:val="20"/>
                <w:szCs w:val="20"/>
              </w:rPr>
            </w:pPr>
            <w:r w:rsidRPr="00BA2A16">
              <w:rPr>
                <w:rFonts w:cs="Calibri"/>
                <w:i/>
                <w:iCs/>
                <w:color w:val="000000"/>
                <w:sz w:val="20"/>
                <w:szCs w:val="20"/>
              </w:rPr>
              <w:t>8 476,1</w:t>
            </w:r>
          </w:p>
        </w:tc>
        <w:tc>
          <w:tcPr>
            <w:tcW w:w="992" w:type="dxa"/>
            <w:tcBorders>
              <w:top w:val="single" w:sz="4" w:space="0" w:color="5B9BD5"/>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i/>
                <w:iCs/>
                <w:color w:val="000000"/>
                <w:sz w:val="20"/>
                <w:szCs w:val="20"/>
              </w:rPr>
            </w:pPr>
            <w:r w:rsidRPr="00BA2A16">
              <w:rPr>
                <w:rFonts w:cs="Calibri"/>
                <w:i/>
                <w:iCs/>
                <w:color w:val="000000"/>
                <w:sz w:val="20"/>
                <w:szCs w:val="20"/>
              </w:rPr>
              <w:t>8 980,4</w:t>
            </w:r>
          </w:p>
        </w:tc>
        <w:tc>
          <w:tcPr>
            <w:tcW w:w="992" w:type="dxa"/>
            <w:tcBorders>
              <w:top w:val="single" w:sz="4" w:space="0" w:color="5B9BD5"/>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i/>
                <w:iCs/>
                <w:color w:val="000000"/>
                <w:sz w:val="20"/>
                <w:szCs w:val="20"/>
              </w:rPr>
            </w:pPr>
            <w:r w:rsidRPr="00BA2A16">
              <w:rPr>
                <w:rFonts w:cs="Calibri"/>
                <w:i/>
                <w:iCs/>
                <w:color w:val="000000"/>
                <w:sz w:val="20"/>
                <w:szCs w:val="20"/>
              </w:rPr>
              <w:t>1 813,6</w:t>
            </w:r>
          </w:p>
        </w:tc>
        <w:tc>
          <w:tcPr>
            <w:tcW w:w="851" w:type="dxa"/>
            <w:tcBorders>
              <w:top w:val="single" w:sz="4" w:space="0" w:color="5B9BD5"/>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i/>
                <w:iCs/>
                <w:color w:val="000000"/>
                <w:sz w:val="20"/>
                <w:szCs w:val="20"/>
              </w:rPr>
            </w:pPr>
            <w:r w:rsidRPr="00BA2A16">
              <w:rPr>
                <w:rFonts w:cs="Calibri"/>
                <w:i/>
                <w:iCs/>
                <w:color w:val="000000"/>
                <w:sz w:val="20"/>
                <w:szCs w:val="20"/>
              </w:rPr>
              <w:t>2 550,9</w:t>
            </w:r>
          </w:p>
        </w:tc>
        <w:tc>
          <w:tcPr>
            <w:tcW w:w="993" w:type="dxa"/>
            <w:tcBorders>
              <w:top w:val="single" w:sz="4" w:space="0" w:color="5B9BD5"/>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i/>
                <w:iCs/>
                <w:color w:val="000000"/>
                <w:sz w:val="20"/>
                <w:szCs w:val="20"/>
              </w:rPr>
            </w:pPr>
            <w:r w:rsidRPr="00BA2A16">
              <w:rPr>
                <w:rFonts w:cs="Calibri"/>
                <w:i/>
                <w:iCs/>
                <w:color w:val="000000"/>
                <w:sz w:val="20"/>
                <w:szCs w:val="20"/>
              </w:rPr>
              <w:t>2 258,2</w:t>
            </w:r>
          </w:p>
        </w:tc>
        <w:tc>
          <w:tcPr>
            <w:tcW w:w="992" w:type="dxa"/>
            <w:tcBorders>
              <w:top w:val="single" w:sz="4" w:space="0" w:color="5B9BD5"/>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i/>
                <w:iCs/>
                <w:color w:val="000000"/>
                <w:sz w:val="20"/>
                <w:szCs w:val="20"/>
              </w:rPr>
            </w:pPr>
            <w:r w:rsidRPr="00BA2A16">
              <w:rPr>
                <w:rFonts w:cs="Calibri"/>
                <w:i/>
                <w:iCs/>
                <w:color w:val="000000"/>
                <w:sz w:val="20"/>
                <w:szCs w:val="20"/>
              </w:rPr>
              <w:t>2 357,6</w:t>
            </w:r>
          </w:p>
        </w:tc>
        <w:tc>
          <w:tcPr>
            <w:tcW w:w="992" w:type="dxa"/>
            <w:tcBorders>
              <w:top w:val="single" w:sz="4" w:space="0" w:color="5B9BD5"/>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i/>
                <w:iCs/>
                <w:color w:val="000000"/>
                <w:sz w:val="20"/>
                <w:szCs w:val="20"/>
              </w:rPr>
            </w:pPr>
            <w:r w:rsidRPr="00BA2A16">
              <w:rPr>
                <w:rFonts w:cs="Calibri"/>
                <w:i/>
                <w:iCs/>
                <w:color w:val="000000"/>
                <w:sz w:val="20"/>
                <w:szCs w:val="20"/>
              </w:rPr>
              <w:t>6 974,8</w:t>
            </w:r>
          </w:p>
        </w:tc>
        <w:tc>
          <w:tcPr>
            <w:tcW w:w="850" w:type="dxa"/>
            <w:tcBorders>
              <w:top w:val="single" w:sz="4" w:space="0" w:color="5B9BD5"/>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i/>
                <w:iCs/>
                <w:color w:val="000000"/>
                <w:sz w:val="20"/>
                <w:szCs w:val="20"/>
              </w:rPr>
            </w:pPr>
            <w:r w:rsidRPr="00BA2A16">
              <w:rPr>
                <w:rFonts w:cs="Calibri"/>
                <w:i/>
                <w:iCs/>
                <w:color w:val="000000"/>
                <w:sz w:val="20"/>
                <w:szCs w:val="20"/>
              </w:rPr>
              <w:t>1 565,4</w:t>
            </w:r>
          </w:p>
        </w:tc>
        <w:tc>
          <w:tcPr>
            <w:tcW w:w="992" w:type="dxa"/>
            <w:tcBorders>
              <w:top w:val="single" w:sz="4" w:space="0" w:color="5B9BD5"/>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i/>
                <w:iCs/>
                <w:color w:val="000000"/>
                <w:sz w:val="20"/>
                <w:szCs w:val="20"/>
              </w:rPr>
            </w:pPr>
            <w:r w:rsidRPr="00BA2A16">
              <w:rPr>
                <w:rFonts w:cs="Calibri"/>
                <w:i/>
                <w:iCs/>
                <w:color w:val="000000"/>
                <w:sz w:val="20"/>
                <w:szCs w:val="20"/>
              </w:rPr>
              <w:t>1 458,9</w:t>
            </w:r>
          </w:p>
        </w:tc>
        <w:tc>
          <w:tcPr>
            <w:tcW w:w="993" w:type="dxa"/>
            <w:tcBorders>
              <w:top w:val="single" w:sz="4" w:space="0" w:color="5B9BD5"/>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i/>
                <w:iCs/>
                <w:color w:val="000000"/>
                <w:sz w:val="20"/>
                <w:szCs w:val="20"/>
              </w:rPr>
            </w:pPr>
            <w:r w:rsidRPr="00BA2A16">
              <w:rPr>
                <w:rFonts w:cs="Calibri"/>
                <w:i/>
                <w:iCs/>
                <w:color w:val="000000"/>
                <w:sz w:val="20"/>
                <w:szCs w:val="20"/>
              </w:rPr>
              <w:t>1 933,1</w:t>
            </w:r>
          </w:p>
        </w:tc>
        <w:tc>
          <w:tcPr>
            <w:tcW w:w="995" w:type="dxa"/>
            <w:tcBorders>
              <w:top w:val="single" w:sz="4" w:space="0" w:color="5B9BD5"/>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i/>
                <w:iCs/>
                <w:color w:val="000000"/>
                <w:sz w:val="20"/>
                <w:szCs w:val="20"/>
              </w:rPr>
            </w:pPr>
            <w:r w:rsidRPr="00BA2A16">
              <w:rPr>
                <w:rFonts w:cs="Calibri"/>
                <w:i/>
                <w:iCs/>
                <w:color w:val="000000"/>
                <w:sz w:val="20"/>
                <w:szCs w:val="20"/>
              </w:rPr>
              <w:t>2 017,4</w:t>
            </w:r>
          </w:p>
        </w:tc>
        <w:tc>
          <w:tcPr>
            <w:tcW w:w="1149" w:type="dxa"/>
            <w:tcBorders>
              <w:top w:val="single" w:sz="4" w:space="0" w:color="5B9BD5"/>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i/>
                <w:iCs/>
                <w:color w:val="000000"/>
                <w:sz w:val="20"/>
                <w:szCs w:val="20"/>
              </w:rPr>
            </w:pPr>
            <w:r w:rsidRPr="00BA2A16">
              <w:rPr>
                <w:rFonts w:cs="Calibri"/>
                <w:i/>
                <w:iCs/>
                <w:color w:val="000000"/>
                <w:sz w:val="20"/>
                <w:szCs w:val="20"/>
              </w:rPr>
              <w:t>-22,3%</w:t>
            </w:r>
          </w:p>
        </w:tc>
      </w:tr>
      <w:tr w:rsidR="00373F87" w:rsidRPr="00BA2A16" w:rsidTr="00373F87">
        <w:trPr>
          <w:trHeight w:val="454"/>
        </w:trPr>
        <w:tc>
          <w:tcPr>
            <w:tcW w:w="3256" w:type="dxa"/>
            <w:tcBorders>
              <w:top w:val="single" w:sz="4" w:space="0" w:color="5B9BD5"/>
              <w:left w:val="single" w:sz="4" w:space="0" w:color="5B9BD5"/>
              <w:bottom w:val="single" w:sz="4" w:space="0" w:color="5B9BD5"/>
              <w:right w:val="single" w:sz="4" w:space="0" w:color="5B9BD5"/>
            </w:tcBorders>
            <w:shd w:val="clear" w:color="000000" w:fill="FFFFFF"/>
            <w:vAlign w:val="center"/>
            <w:hideMark/>
          </w:tcPr>
          <w:p w:rsidR="00BA2A16" w:rsidRPr="00BA2A16" w:rsidRDefault="00BA2A16" w:rsidP="00BA2A16">
            <w:pPr>
              <w:ind w:firstLineChars="200" w:firstLine="400"/>
              <w:rPr>
                <w:rFonts w:cs="Calibri"/>
                <w:i/>
                <w:iCs/>
                <w:color w:val="000000"/>
                <w:sz w:val="20"/>
                <w:szCs w:val="20"/>
              </w:rPr>
            </w:pPr>
            <w:r w:rsidRPr="00BA2A16">
              <w:rPr>
                <w:rFonts w:cs="Calibri"/>
                <w:i/>
                <w:iCs/>
                <w:color w:val="000000"/>
                <w:sz w:val="20"/>
                <w:szCs w:val="20"/>
              </w:rPr>
              <w:t>Services</w:t>
            </w:r>
          </w:p>
        </w:tc>
        <w:tc>
          <w:tcPr>
            <w:tcW w:w="992" w:type="dxa"/>
            <w:tcBorders>
              <w:top w:val="single" w:sz="4" w:space="0" w:color="5B9BD5"/>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2 749,5</w:t>
            </w:r>
          </w:p>
        </w:tc>
        <w:tc>
          <w:tcPr>
            <w:tcW w:w="992" w:type="dxa"/>
            <w:tcBorders>
              <w:top w:val="single" w:sz="4" w:space="0" w:color="5B9BD5"/>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3 094,8</w:t>
            </w:r>
          </w:p>
        </w:tc>
        <w:tc>
          <w:tcPr>
            <w:tcW w:w="992" w:type="dxa"/>
            <w:tcBorders>
              <w:top w:val="single" w:sz="4" w:space="0" w:color="5B9BD5"/>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636,1</w:t>
            </w:r>
          </w:p>
        </w:tc>
        <w:tc>
          <w:tcPr>
            <w:tcW w:w="851" w:type="dxa"/>
            <w:tcBorders>
              <w:top w:val="single" w:sz="4" w:space="0" w:color="5B9BD5"/>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788,6</w:t>
            </w:r>
          </w:p>
        </w:tc>
        <w:tc>
          <w:tcPr>
            <w:tcW w:w="993" w:type="dxa"/>
            <w:tcBorders>
              <w:top w:val="single" w:sz="4" w:space="0" w:color="5B9BD5"/>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849,6</w:t>
            </w:r>
          </w:p>
        </w:tc>
        <w:tc>
          <w:tcPr>
            <w:tcW w:w="992" w:type="dxa"/>
            <w:tcBorders>
              <w:top w:val="single" w:sz="4" w:space="0" w:color="5B9BD5"/>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820,4</w:t>
            </w:r>
          </w:p>
        </w:tc>
        <w:tc>
          <w:tcPr>
            <w:tcW w:w="992" w:type="dxa"/>
            <w:tcBorders>
              <w:top w:val="single" w:sz="4" w:space="0" w:color="5B9BD5"/>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1 699,5</w:t>
            </w:r>
          </w:p>
        </w:tc>
        <w:tc>
          <w:tcPr>
            <w:tcW w:w="850" w:type="dxa"/>
            <w:tcBorders>
              <w:top w:val="single" w:sz="4" w:space="0" w:color="5B9BD5"/>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606,8</w:t>
            </w:r>
          </w:p>
        </w:tc>
        <w:tc>
          <w:tcPr>
            <w:tcW w:w="992" w:type="dxa"/>
            <w:tcBorders>
              <w:top w:val="single" w:sz="4" w:space="0" w:color="5B9BD5"/>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315,0</w:t>
            </w:r>
          </w:p>
        </w:tc>
        <w:tc>
          <w:tcPr>
            <w:tcW w:w="993" w:type="dxa"/>
            <w:tcBorders>
              <w:top w:val="single" w:sz="4" w:space="0" w:color="5B9BD5"/>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348,6</w:t>
            </w:r>
          </w:p>
        </w:tc>
        <w:tc>
          <w:tcPr>
            <w:tcW w:w="995" w:type="dxa"/>
            <w:tcBorders>
              <w:top w:val="single" w:sz="4" w:space="0" w:color="5B9BD5"/>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429,1</w:t>
            </w:r>
          </w:p>
        </w:tc>
        <w:tc>
          <w:tcPr>
            <w:tcW w:w="1149" w:type="dxa"/>
            <w:tcBorders>
              <w:top w:val="single" w:sz="4" w:space="0" w:color="5B9BD5"/>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-45,1%</w:t>
            </w:r>
          </w:p>
        </w:tc>
      </w:tr>
      <w:tr w:rsidR="00373F87" w:rsidRPr="00BA2A16" w:rsidTr="00373F87">
        <w:trPr>
          <w:trHeight w:val="454"/>
        </w:trPr>
        <w:tc>
          <w:tcPr>
            <w:tcW w:w="3256" w:type="dxa"/>
            <w:tcBorders>
              <w:top w:val="nil"/>
              <w:left w:val="single" w:sz="4" w:space="0" w:color="5B9BD5"/>
              <w:bottom w:val="single" w:sz="4" w:space="0" w:color="5B9BD5"/>
              <w:right w:val="single" w:sz="4" w:space="0" w:color="5B9BD5"/>
            </w:tcBorders>
            <w:shd w:val="clear" w:color="000000" w:fill="FFFFFF"/>
            <w:vAlign w:val="center"/>
            <w:hideMark/>
          </w:tcPr>
          <w:p w:rsidR="00BA2A16" w:rsidRPr="00BA2A16" w:rsidRDefault="00BA2A16" w:rsidP="00BA2A16">
            <w:pPr>
              <w:ind w:firstLineChars="100" w:firstLine="200"/>
              <w:rPr>
                <w:rFonts w:cs="Calibri"/>
                <w:i/>
                <w:iCs/>
                <w:color w:val="000000"/>
                <w:sz w:val="20"/>
                <w:szCs w:val="20"/>
              </w:rPr>
            </w:pPr>
            <w:r w:rsidRPr="00BA2A16">
              <w:rPr>
                <w:rFonts w:cs="Calibri"/>
                <w:i/>
                <w:iCs/>
                <w:color w:val="000000"/>
                <w:sz w:val="20"/>
                <w:szCs w:val="20"/>
              </w:rPr>
              <w:t>Primary income receivable</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3 205,2</w:t>
            </w:r>
          </w:p>
        </w:tc>
        <w:tc>
          <w:tcPr>
            <w:tcW w:w="992"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2 957,3</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760,0</w:t>
            </w:r>
          </w:p>
        </w:tc>
        <w:tc>
          <w:tcPr>
            <w:tcW w:w="851"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789,8</w:t>
            </w:r>
          </w:p>
        </w:tc>
        <w:tc>
          <w:tcPr>
            <w:tcW w:w="993"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748,1</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659,4</w:t>
            </w:r>
          </w:p>
        </w:tc>
        <w:tc>
          <w:tcPr>
            <w:tcW w:w="992"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1 658,3</w:t>
            </w:r>
          </w:p>
        </w:tc>
        <w:tc>
          <w:tcPr>
            <w:tcW w:w="850"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634,9</w:t>
            </w:r>
          </w:p>
        </w:tc>
        <w:tc>
          <w:tcPr>
            <w:tcW w:w="992"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363,1</w:t>
            </w:r>
          </w:p>
        </w:tc>
        <w:tc>
          <w:tcPr>
            <w:tcW w:w="993"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449,9</w:t>
            </w:r>
          </w:p>
        </w:tc>
        <w:tc>
          <w:tcPr>
            <w:tcW w:w="995"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210,4</w:t>
            </w:r>
          </w:p>
        </w:tc>
        <w:tc>
          <w:tcPr>
            <w:tcW w:w="1149"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-43,9%</w:t>
            </w:r>
          </w:p>
        </w:tc>
      </w:tr>
      <w:tr w:rsidR="00373F87" w:rsidRPr="00BA2A16" w:rsidTr="00373F87">
        <w:trPr>
          <w:trHeight w:val="454"/>
        </w:trPr>
        <w:tc>
          <w:tcPr>
            <w:tcW w:w="3256" w:type="dxa"/>
            <w:tcBorders>
              <w:top w:val="nil"/>
              <w:left w:val="single" w:sz="4" w:space="0" w:color="5B9BD5"/>
              <w:bottom w:val="single" w:sz="4" w:space="0" w:color="5B9BD5"/>
              <w:right w:val="single" w:sz="4" w:space="0" w:color="5B9BD5"/>
            </w:tcBorders>
            <w:shd w:val="clear" w:color="000000" w:fill="FFFFFF"/>
            <w:vAlign w:val="center"/>
            <w:hideMark/>
          </w:tcPr>
          <w:p w:rsidR="00BA2A16" w:rsidRPr="00BA2A16" w:rsidRDefault="00BA2A16" w:rsidP="00BA2A16">
            <w:pPr>
              <w:ind w:firstLineChars="100" w:firstLine="200"/>
              <w:rPr>
                <w:rFonts w:cs="Calibri"/>
                <w:i/>
                <w:iCs/>
                <w:color w:val="000000"/>
                <w:sz w:val="20"/>
                <w:szCs w:val="20"/>
              </w:rPr>
            </w:pPr>
            <w:r w:rsidRPr="00BA2A16">
              <w:rPr>
                <w:rFonts w:cs="Calibri"/>
                <w:i/>
                <w:iCs/>
                <w:color w:val="000000"/>
                <w:sz w:val="20"/>
                <w:szCs w:val="20"/>
              </w:rPr>
              <w:t>Secondary income receivable</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4 822,9</w:t>
            </w:r>
          </w:p>
        </w:tc>
        <w:tc>
          <w:tcPr>
            <w:tcW w:w="992"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6 040,3</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1 007,4</w:t>
            </w:r>
          </w:p>
        </w:tc>
        <w:tc>
          <w:tcPr>
            <w:tcW w:w="851"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1 448,1</w:t>
            </w:r>
          </w:p>
        </w:tc>
        <w:tc>
          <w:tcPr>
            <w:tcW w:w="993"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1 857,6</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1 727,1</w:t>
            </w:r>
          </w:p>
        </w:tc>
        <w:tc>
          <w:tcPr>
            <w:tcW w:w="992"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5 584,8</w:t>
            </w:r>
          </w:p>
        </w:tc>
        <w:tc>
          <w:tcPr>
            <w:tcW w:w="850"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1 148,6</w:t>
            </w:r>
          </w:p>
        </w:tc>
        <w:tc>
          <w:tcPr>
            <w:tcW w:w="992"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1 210,9</w:t>
            </w:r>
          </w:p>
        </w:tc>
        <w:tc>
          <w:tcPr>
            <w:tcW w:w="993"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1 587,9</w:t>
            </w:r>
          </w:p>
        </w:tc>
        <w:tc>
          <w:tcPr>
            <w:tcW w:w="995"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1 637,4</w:t>
            </w:r>
          </w:p>
        </w:tc>
        <w:tc>
          <w:tcPr>
            <w:tcW w:w="1149"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-7,5%</w:t>
            </w:r>
          </w:p>
        </w:tc>
      </w:tr>
      <w:tr w:rsidR="00373F87" w:rsidRPr="00BA2A16" w:rsidTr="00373F87">
        <w:trPr>
          <w:trHeight w:val="454"/>
        </w:trPr>
        <w:tc>
          <w:tcPr>
            <w:tcW w:w="3256" w:type="dxa"/>
            <w:tcBorders>
              <w:top w:val="nil"/>
              <w:left w:val="single" w:sz="4" w:space="0" w:color="5B9BD5"/>
              <w:bottom w:val="single" w:sz="4" w:space="0" w:color="5B9BD5"/>
              <w:right w:val="single" w:sz="4" w:space="0" w:color="5B9BD5"/>
            </w:tcBorders>
            <w:shd w:val="clear" w:color="000000" w:fill="F2F2F2"/>
            <w:vAlign w:val="center"/>
            <w:hideMark/>
          </w:tcPr>
          <w:p w:rsidR="00BA2A16" w:rsidRPr="00BA2A16" w:rsidRDefault="00BA2A16" w:rsidP="00BA2A16">
            <w:pPr>
              <w:ind w:firstLineChars="100" w:firstLine="201"/>
              <w:rPr>
                <w:rFonts w:cs="Calibri"/>
                <w:b/>
                <w:bCs/>
                <w:color w:val="000000"/>
                <w:sz w:val="20"/>
                <w:szCs w:val="20"/>
              </w:rPr>
            </w:pPr>
            <w:r w:rsidRPr="00BA2A16">
              <w:rPr>
                <w:rFonts w:cs="Calibri"/>
                <w:b/>
                <w:bCs/>
                <w:color w:val="000000"/>
                <w:sz w:val="20"/>
                <w:szCs w:val="20"/>
              </w:rPr>
              <w:t>Expenses payable</w:t>
            </w:r>
          </w:p>
        </w:tc>
        <w:tc>
          <w:tcPr>
            <w:tcW w:w="992" w:type="dxa"/>
            <w:tcBorders>
              <w:top w:val="nil"/>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25 756,4</w:t>
            </w:r>
          </w:p>
        </w:tc>
        <w:tc>
          <w:tcPr>
            <w:tcW w:w="992" w:type="dxa"/>
            <w:tcBorders>
              <w:top w:val="nil"/>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29 356,6</w:t>
            </w:r>
          </w:p>
        </w:tc>
        <w:tc>
          <w:tcPr>
            <w:tcW w:w="992" w:type="dxa"/>
            <w:tcBorders>
              <w:top w:val="nil"/>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6 494,7</w:t>
            </w:r>
          </w:p>
        </w:tc>
        <w:tc>
          <w:tcPr>
            <w:tcW w:w="851" w:type="dxa"/>
            <w:tcBorders>
              <w:top w:val="nil"/>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7 153,6</w:t>
            </w:r>
          </w:p>
        </w:tc>
        <w:tc>
          <w:tcPr>
            <w:tcW w:w="993" w:type="dxa"/>
            <w:tcBorders>
              <w:top w:val="nil"/>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7 616,4</w:t>
            </w:r>
          </w:p>
        </w:tc>
        <w:tc>
          <w:tcPr>
            <w:tcW w:w="992" w:type="dxa"/>
            <w:tcBorders>
              <w:top w:val="nil"/>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8 091,8</w:t>
            </w:r>
          </w:p>
        </w:tc>
        <w:tc>
          <w:tcPr>
            <w:tcW w:w="992" w:type="dxa"/>
            <w:tcBorders>
              <w:top w:val="nil"/>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24 904,3</w:t>
            </w:r>
          </w:p>
        </w:tc>
        <w:tc>
          <w:tcPr>
            <w:tcW w:w="850" w:type="dxa"/>
            <w:tcBorders>
              <w:top w:val="nil"/>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5 911,2</w:t>
            </w:r>
          </w:p>
        </w:tc>
        <w:tc>
          <w:tcPr>
            <w:tcW w:w="992" w:type="dxa"/>
            <w:tcBorders>
              <w:top w:val="nil"/>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5 519,2</w:t>
            </w:r>
          </w:p>
        </w:tc>
        <w:tc>
          <w:tcPr>
            <w:tcW w:w="993" w:type="dxa"/>
            <w:tcBorders>
              <w:top w:val="nil"/>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6 407,5</w:t>
            </w:r>
          </w:p>
        </w:tc>
        <w:tc>
          <w:tcPr>
            <w:tcW w:w="995" w:type="dxa"/>
            <w:tcBorders>
              <w:top w:val="nil"/>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7 066,5</w:t>
            </w:r>
          </w:p>
        </w:tc>
        <w:tc>
          <w:tcPr>
            <w:tcW w:w="1149" w:type="dxa"/>
            <w:tcBorders>
              <w:top w:val="nil"/>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-15,2%</w:t>
            </w:r>
          </w:p>
        </w:tc>
      </w:tr>
      <w:tr w:rsidR="00373F87" w:rsidRPr="00BA2A16" w:rsidTr="00373F87">
        <w:trPr>
          <w:trHeight w:val="454"/>
        </w:trPr>
        <w:tc>
          <w:tcPr>
            <w:tcW w:w="3256" w:type="dxa"/>
            <w:tcBorders>
              <w:top w:val="nil"/>
              <w:left w:val="single" w:sz="4" w:space="0" w:color="5B9BD5"/>
              <w:bottom w:val="single" w:sz="4" w:space="0" w:color="5B9BD5"/>
              <w:right w:val="single" w:sz="4" w:space="0" w:color="5B9BD5"/>
            </w:tcBorders>
            <w:shd w:val="clear" w:color="000000" w:fill="FFFFFF"/>
            <w:vAlign w:val="center"/>
            <w:hideMark/>
          </w:tcPr>
          <w:p w:rsidR="00BA2A16" w:rsidRPr="00BA2A16" w:rsidRDefault="00BA2A16" w:rsidP="00BA2A16">
            <w:pPr>
              <w:ind w:firstLineChars="100" w:firstLine="201"/>
              <w:rPr>
                <w:rFonts w:cs="Calibri"/>
                <w:b/>
                <w:bCs/>
                <w:i/>
                <w:iCs/>
                <w:color w:val="000000"/>
                <w:sz w:val="20"/>
                <w:szCs w:val="20"/>
              </w:rPr>
            </w:pPr>
            <w:r w:rsidRPr="00BA2A16">
              <w:rPr>
                <w:rFonts w:cs="Calibri"/>
                <w:b/>
                <w:bCs/>
                <w:i/>
                <w:iCs/>
                <w:color w:val="000000"/>
                <w:sz w:val="20"/>
                <w:szCs w:val="20"/>
              </w:rPr>
              <w:t>Import</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23 443,5</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26 550,8</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5 931,9</w:t>
            </w:r>
          </w:p>
        </w:tc>
        <w:tc>
          <w:tcPr>
            <w:tcW w:w="851"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6 602,7</w:t>
            </w:r>
          </w:p>
        </w:tc>
        <w:tc>
          <w:tcPr>
            <w:tcW w:w="993"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6 985,6</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7 030,6</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22 559,6</w:t>
            </w:r>
          </w:p>
        </w:tc>
        <w:tc>
          <w:tcPr>
            <w:tcW w:w="850"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5 356,0</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4 976,4</w:t>
            </w:r>
          </w:p>
        </w:tc>
        <w:tc>
          <w:tcPr>
            <w:tcW w:w="993"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5 789,4</w:t>
            </w:r>
          </w:p>
        </w:tc>
        <w:tc>
          <w:tcPr>
            <w:tcW w:w="995"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6 437,8</w:t>
            </w:r>
          </w:p>
        </w:tc>
        <w:tc>
          <w:tcPr>
            <w:tcW w:w="1149"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-15,0%</w:t>
            </w:r>
          </w:p>
        </w:tc>
      </w:tr>
      <w:tr w:rsidR="00373F87" w:rsidRPr="00BA2A16" w:rsidTr="00373F87">
        <w:trPr>
          <w:trHeight w:val="454"/>
        </w:trPr>
        <w:tc>
          <w:tcPr>
            <w:tcW w:w="3256" w:type="dxa"/>
            <w:tcBorders>
              <w:top w:val="nil"/>
              <w:left w:val="single" w:sz="4" w:space="0" w:color="5B9BD5"/>
              <w:bottom w:val="single" w:sz="4" w:space="0" w:color="5B9BD5"/>
              <w:right w:val="single" w:sz="4" w:space="0" w:color="5B9BD5"/>
            </w:tcBorders>
            <w:shd w:val="clear" w:color="000000" w:fill="FFFFFF"/>
            <w:vAlign w:val="center"/>
            <w:hideMark/>
          </w:tcPr>
          <w:p w:rsidR="00BA2A16" w:rsidRPr="00BA2A16" w:rsidRDefault="00BA2A16" w:rsidP="00BA2A16">
            <w:pPr>
              <w:ind w:firstLineChars="200" w:firstLine="400"/>
              <w:rPr>
                <w:rFonts w:cs="Calibri"/>
                <w:i/>
                <w:iCs/>
                <w:color w:val="000000"/>
                <w:sz w:val="20"/>
                <w:szCs w:val="20"/>
              </w:rPr>
            </w:pPr>
            <w:r w:rsidRPr="00BA2A16">
              <w:rPr>
                <w:rFonts w:cs="Calibri"/>
                <w:i/>
                <w:iCs/>
                <w:color w:val="000000"/>
                <w:sz w:val="20"/>
                <w:szCs w:val="20"/>
              </w:rPr>
              <w:t>Goods</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18 252,4</w:t>
            </w:r>
          </w:p>
        </w:tc>
        <w:tc>
          <w:tcPr>
            <w:tcW w:w="992"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21 190,0</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4 741,8</w:t>
            </w:r>
          </w:p>
        </w:tc>
        <w:tc>
          <w:tcPr>
            <w:tcW w:w="851"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5 291,7</w:t>
            </w:r>
          </w:p>
        </w:tc>
        <w:tc>
          <w:tcPr>
            <w:tcW w:w="993"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5 528,6</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5 627,9</w:t>
            </w:r>
          </w:p>
        </w:tc>
        <w:tc>
          <w:tcPr>
            <w:tcW w:w="992"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19 048,3</w:t>
            </w:r>
          </w:p>
        </w:tc>
        <w:tc>
          <w:tcPr>
            <w:tcW w:w="850"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4 291,4</w:t>
            </w:r>
          </w:p>
        </w:tc>
        <w:tc>
          <w:tcPr>
            <w:tcW w:w="992"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4 290,1</w:t>
            </w:r>
          </w:p>
        </w:tc>
        <w:tc>
          <w:tcPr>
            <w:tcW w:w="993"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4 998,3</w:t>
            </w:r>
          </w:p>
        </w:tc>
        <w:tc>
          <w:tcPr>
            <w:tcW w:w="995"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5 468,6</w:t>
            </w:r>
          </w:p>
        </w:tc>
        <w:tc>
          <w:tcPr>
            <w:tcW w:w="1149"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-10,1%</w:t>
            </w:r>
          </w:p>
        </w:tc>
      </w:tr>
      <w:tr w:rsidR="00373F87" w:rsidRPr="00BA2A16" w:rsidTr="00373F87">
        <w:trPr>
          <w:trHeight w:val="454"/>
        </w:trPr>
        <w:tc>
          <w:tcPr>
            <w:tcW w:w="3256" w:type="dxa"/>
            <w:tcBorders>
              <w:top w:val="nil"/>
              <w:left w:val="single" w:sz="4" w:space="0" w:color="5B9BD5"/>
              <w:bottom w:val="single" w:sz="4" w:space="0" w:color="5B9BD5"/>
              <w:right w:val="single" w:sz="4" w:space="0" w:color="5B9BD5"/>
            </w:tcBorders>
            <w:shd w:val="clear" w:color="000000" w:fill="FFFFFF"/>
            <w:vAlign w:val="center"/>
            <w:hideMark/>
          </w:tcPr>
          <w:p w:rsidR="00BA2A16" w:rsidRPr="00BA2A16" w:rsidRDefault="00BA2A16" w:rsidP="00BA2A16">
            <w:pPr>
              <w:ind w:firstLineChars="200" w:firstLine="400"/>
              <w:rPr>
                <w:rFonts w:cs="Calibri"/>
                <w:i/>
                <w:iCs/>
                <w:color w:val="000000"/>
                <w:sz w:val="20"/>
                <w:szCs w:val="20"/>
              </w:rPr>
            </w:pPr>
            <w:r w:rsidRPr="00BA2A16">
              <w:rPr>
                <w:rFonts w:cs="Calibri"/>
                <w:i/>
                <w:iCs/>
                <w:color w:val="000000"/>
                <w:sz w:val="20"/>
                <w:szCs w:val="20"/>
              </w:rPr>
              <w:t>Services</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5 191,1</w:t>
            </w:r>
          </w:p>
        </w:tc>
        <w:tc>
          <w:tcPr>
            <w:tcW w:w="992"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5 360,9</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1 190,2</w:t>
            </w:r>
          </w:p>
        </w:tc>
        <w:tc>
          <w:tcPr>
            <w:tcW w:w="851"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1 311,0</w:t>
            </w:r>
          </w:p>
        </w:tc>
        <w:tc>
          <w:tcPr>
            <w:tcW w:w="993"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1 456,9</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1 402,7</w:t>
            </w:r>
          </w:p>
        </w:tc>
        <w:tc>
          <w:tcPr>
            <w:tcW w:w="992"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3 511,3</w:t>
            </w:r>
          </w:p>
        </w:tc>
        <w:tc>
          <w:tcPr>
            <w:tcW w:w="850"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1 064,7</w:t>
            </w:r>
          </w:p>
        </w:tc>
        <w:tc>
          <w:tcPr>
            <w:tcW w:w="992"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686,3</w:t>
            </w:r>
          </w:p>
        </w:tc>
        <w:tc>
          <w:tcPr>
            <w:tcW w:w="993"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791,1</w:t>
            </w:r>
          </w:p>
        </w:tc>
        <w:tc>
          <w:tcPr>
            <w:tcW w:w="995"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969,2</w:t>
            </w:r>
          </w:p>
        </w:tc>
        <w:tc>
          <w:tcPr>
            <w:tcW w:w="1149"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-34,5%</w:t>
            </w:r>
          </w:p>
        </w:tc>
      </w:tr>
      <w:tr w:rsidR="00373F87" w:rsidRPr="00BA2A16" w:rsidTr="00373F87">
        <w:trPr>
          <w:trHeight w:val="454"/>
        </w:trPr>
        <w:tc>
          <w:tcPr>
            <w:tcW w:w="3256" w:type="dxa"/>
            <w:tcBorders>
              <w:top w:val="nil"/>
              <w:left w:val="single" w:sz="4" w:space="0" w:color="5B9BD5"/>
              <w:bottom w:val="single" w:sz="4" w:space="0" w:color="5B9BD5"/>
              <w:right w:val="single" w:sz="4" w:space="0" w:color="5B9BD5"/>
            </w:tcBorders>
            <w:shd w:val="clear" w:color="000000" w:fill="FFFFFF"/>
            <w:vAlign w:val="center"/>
            <w:hideMark/>
          </w:tcPr>
          <w:p w:rsidR="00BA2A16" w:rsidRPr="00BA2A16" w:rsidRDefault="00BA2A16" w:rsidP="00BA2A16">
            <w:pPr>
              <w:ind w:firstLineChars="100" w:firstLine="200"/>
              <w:rPr>
                <w:rFonts w:cs="Calibri"/>
                <w:i/>
                <w:iCs/>
                <w:color w:val="000000"/>
                <w:sz w:val="20"/>
                <w:szCs w:val="20"/>
              </w:rPr>
            </w:pPr>
            <w:r w:rsidRPr="00BA2A16">
              <w:rPr>
                <w:rFonts w:cs="Calibri"/>
                <w:i/>
                <w:iCs/>
                <w:color w:val="000000"/>
                <w:sz w:val="20"/>
                <w:szCs w:val="20"/>
              </w:rPr>
              <w:t>Primary income receivable</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1 697,6</w:t>
            </w:r>
          </w:p>
        </w:tc>
        <w:tc>
          <w:tcPr>
            <w:tcW w:w="992"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2 220,1</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418,1</w:t>
            </w:r>
          </w:p>
        </w:tc>
        <w:tc>
          <w:tcPr>
            <w:tcW w:w="851"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401,9</w:t>
            </w:r>
          </w:p>
        </w:tc>
        <w:tc>
          <w:tcPr>
            <w:tcW w:w="993"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487,6</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912,5</w:t>
            </w:r>
          </w:p>
        </w:tc>
        <w:tc>
          <w:tcPr>
            <w:tcW w:w="992"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1 899,4</w:t>
            </w:r>
          </w:p>
        </w:tc>
        <w:tc>
          <w:tcPr>
            <w:tcW w:w="850"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424,7</w:t>
            </w:r>
          </w:p>
        </w:tc>
        <w:tc>
          <w:tcPr>
            <w:tcW w:w="992"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454,8</w:t>
            </w:r>
          </w:p>
        </w:tc>
        <w:tc>
          <w:tcPr>
            <w:tcW w:w="993"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497,1</w:t>
            </w:r>
          </w:p>
        </w:tc>
        <w:tc>
          <w:tcPr>
            <w:tcW w:w="995"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522,8</w:t>
            </w:r>
          </w:p>
        </w:tc>
        <w:tc>
          <w:tcPr>
            <w:tcW w:w="1149"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-14,4%</w:t>
            </w:r>
          </w:p>
        </w:tc>
      </w:tr>
      <w:tr w:rsidR="00373F87" w:rsidRPr="00BA2A16" w:rsidTr="00373F87">
        <w:trPr>
          <w:trHeight w:val="454"/>
        </w:trPr>
        <w:tc>
          <w:tcPr>
            <w:tcW w:w="3256" w:type="dxa"/>
            <w:tcBorders>
              <w:top w:val="nil"/>
              <w:left w:val="single" w:sz="4" w:space="0" w:color="5B9BD5"/>
              <w:bottom w:val="single" w:sz="4" w:space="0" w:color="5B9BD5"/>
              <w:right w:val="single" w:sz="4" w:space="0" w:color="5B9BD5"/>
            </w:tcBorders>
            <w:shd w:val="clear" w:color="000000" w:fill="FFFFFF"/>
            <w:vAlign w:val="center"/>
            <w:hideMark/>
          </w:tcPr>
          <w:p w:rsidR="00BA2A16" w:rsidRPr="00BA2A16" w:rsidRDefault="00BA2A16" w:rsidP="00BA2A16">
            <w:pPr>
              <w:ind w:firstLineChars="100" w:firstLine="200"/>
              <w:rPr>
                <w:rFonts w:cs="Calibri"/>
                <w:i/>
                <w:iCs/>
                <w:color w:val="000000"/>
                <w:sz w:val="20"/>
                <w:szCs w:val="20"/>
              </w:rPr>
            </w:pPr>
            <w:r w:rsidRPr="00BA2A16">
              <w:rPr>
                <w:rFonts w:cs="Calibri"/>
                <w:i/>
                <w:iCs/>
                <w:color w:val="000000"/>
                <w:sz w:val="20"/>
                <w:szCs w:val="20"/>
              </w:rPr>
              <w:t>Secondary income receivable</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615,2</w:t>
            </w:r>
          </w:p>
        </w:tc>
        <w:tc>
          <w:tcPr>
            <w:tcW w:w="992"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585,7</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144,7</w:t>
            </w:r>
          </w:p>
        </w:tc>
        <w:tc>
          <w:tcPr>
            <w:tcW w:w="851"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148,9</w:t>
            </w:r>
          </w:p>
        </w:tc>
        <w:tc>
          <w:tcPr>
            <w:tcW w:w="993"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143,3</w:t>
            </w:r>
          </w:p>
        </w:tc>
        <w:tc>
          <w:tcPr>
            <w:tcW w:w="992"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148,8</w:t>
            </w:r>
          </w:p>
        </w:tc>
        <w:tc>
          <w:tcPr>
            <w:tcW w:w="992"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445,3</w:t>
            </w:r>
          </w:p>
        </w:tc>
        <w:tc>
          <w:tcPr>
            <w:tcW w:w="850"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130,5</w:t>
            </w:r>
          </w:p>
        </w:tc>
        <w:tc>
          <w:tcPr>
            <w:tcW w:w="992"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87,9</w:t>
            </w:r>
          </w:p>
        </w:tc>
        <w:tc>
          <w:tcPr>
            <w:tcW w:w="993"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121,0</w:t>
            </w:r>
          </w:p>
        </w:tc>
        <w:tc>
          <w:tcPr>
            <w:tcW w:w="995" w:type="dxa"/>
            <w:tcBorders>
              <w:top w:val="nil"/>
              <w:left w:val="nil"/>
              <w:bottom w:val="single" w:sz="4" w:space="0" w:color="5B9BD5"/>
              <w:right w:val="single" w:sz="4" w:space="0" w:color="5B9BD5"/>
            </w:tcBorders>
            <w:shd w:val="clear" w:color="auto" w:fill="auto"/>
            <w:noWrap/>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105,9</w:t>
            </w:r>
          </w:p>
        </w:tc>
        <w:tc>
          <w:tcPr>
            <w:tcW w:w="1149" w:type="dxa"/>
            <w:tcBorders>
              <w:top w:val="nil"/>
              <w:left w:val="nil"/>
              <w:bottom w:val="single" w:sz="4" w:space="0" w:color="5B9BD5"/>
              <w:right w:val="single" w:sz="4" w:space="0" w:color="5B9BD5"/>
            </w:tcBorders>
            <w:shd w:val="clear" w:color="auto" w:fill="auto"/>
            <w:vAlign w:val="center"/>
            <w:hideMark/>
          </w:tcPr>
          <w:p w:rsidR="00BA2A16" w:rsidRPr="00BA2A16" w:rsidRDefault="00BA2A16" w:rsidP="00BA2A16">
            <w:pPr>
              <w:jc w:val="center"/>
              <w:rPr>
                <w:rFonts w:cs="Calibri"/>
                <w:color w:val="000000"/>
                <w:sz w:val="20"/>
                <w:szCs w:val="20"/>
              </w:rPr>
            </w:pPr>
            <w:r w:rsidRPr="00BA2A16">
              <w:rPr>
                <w:rFonts w:cs="Calibri"/>
                <w:color w:val="000000"/>
                <w:sz w:val="20"/>
                <w:szCs w:val="20"/>
              </w:rPr>
              <w:t>-24,0%</w:t>
            </w:r>
          </w:p>
        </w:tc>
      </w:tr>
      <w:tr w:rsidR="00373F87" w:rsidRPr="00BA2A16" w:rsidTr="00373F87">
        <w:trPr>
          <w:trHeight w:val="454"/>
        </w:trPr>
        <w:tc>
          <w:tcPr>
            <w:tcW w:w="3256" w:type="dxa"/>
            <w:tcBorders>
              <w:top w:val="nil"/>
              <w:left w:val="single" w:sz="4" w:space="0" w:color="5B9BD5"/>
              <w:bottom w:val="single" w:sz="4" w:space="0" w:color="5B9BD5"/>
              <w:right w:val="single" w:sz="4" w:space="0" w:color="5B9BD5"/>
            </w:tcBorders>
            <w:shd w:val="clear" w:color="000000" w:fill="F2F2F2"/>
            <w:vAlign w:val="center"/>
            <w:hideMark/>
          </w:tcPr>
          <w:p w:rsidR="00BA2A16" w:rsidRPr="00BA2A16" w:rsidRDefault="00BA2A16" w:rsidP="00BA2A16">
            <w:pPr>
              <w:ind w:firstLineChars="100" w:firstLine="201"/>
              <w:rPr>
                <w:rFonts w:cs="Calibri"/>
                <w:b/>
                <w:bCs/>
                <w:color w:val="000000"/>
                <w:sz w:val="20"/>
                <w:szCs w:val="20"/>
              </w:rPr>
            </w:pPr>
            <w:r w:rsidRPr="00BA2A16">
              <w:rPr>
                <w:rFonts w:cs="Calibri"/>
                <w:b/>
                <w:bCs/>
                <w:color w:val="000000"/>
                <w:sz w:val="20"/>
                <w:szCs w:val="20"/>
              </w:rPr>
              <w:t>Current account balance</w:t>
            </w:r>
          </w:p>
        </w:tc>
        <w:tc>
          <w:tcPr>
            <w:tcW w:w="992" w:type="dxa"/>
            <w:tcBorders>
              <w:top w:val="nil"/>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-3 593,2</w:t>
            </w:r>
          </w:p>
        </w:tc>
        <w:tc>
          <w:tcPr>
            <w:tcW w:w="992" w:type="dxa"/>
            <w:tcBorders>
              <w:top w:val="nil"/>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-3 365,6</w:t>
            </w:r>
          </w:p>
        </w:tc>
        <w:tc>
          <w:tcPr>
            <w:tcW w:w="992" w:type="dxa"/>
            <w:tcBorders>
              <w:top w:val="nil"/>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-1 046,2</w:t>
            </w:r>
          </w:p>
        </w:tc>
        <w:tc>
          <w:tcPr>
            <w:tcW w:w="851" w:type="dxa"/>
            <w:tcBorders>
              <w:top w:val="nil"/>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-712,9</w:t>
            </w:r>
          </w:p>
        </w:tc>
        <w:tc>
          <w:tcPr>
            <w:tcW w:w="993" w:type="dxa"/>
            <w:tcBorders>
              <w:top w:val="nil"/>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-14,5</w:t>
            </w:r>
          </w:p>
        </w:tc>
        <w:tc>
          <w:tcPr>
            <w:tcW w:w="992" w:type="dxa"/>
            <w:tcBorders>
              <w:top w:val="nil"/>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-1 592,0</w:t>
            </w:r>
          </w:p>
        </w:tc>
        <w:tc>
          <w:tcPr>
            <w:tcW w:w="992" w:type="dxa"/>
            <w:tcBorders>
              <w:top w:val="nil"/>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-3 138,4</w:t>
            </w:r>
          </w:p>
        </w:tc>
        <w:tc>
          <w:tcPr>
            <w:tcW w:w="850" w:type="dxa"/>
            <w:tcBorders>
              <w:top w:val="nil"/>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-911,7</w:t>
            </w:r>
          </w:p>
        </w:tc>
        <w:tc>
          <w:tcPr>
            <w:tcW w:w="992" w:type="dxa"/>
            <w:tcBorders>
              <w:top w:val="nil"/>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-1 050,9</w:t>
            </w:r>
          </w:p>
        </w:tc>
        <w:tc>
          <w:tcPr>
            <w:tcW w:w="993" w:type="dxa"/>
            <w:tcBorders>
              <w:top w:val="nil"/>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1 595,2</w:t>
            </w:r>
          </w:p>
        </w:tc>
        <w:tc>
          <w:tcPr>
            <w:tcW w:w="995" w:type="dxa"/>
            <w:tcBorders>
              <w:top w:val="nil"/>
              <w:left w:val="nil"/>
              <w:bottom w:val="single" w:sz="4" w:space="0" w:color="5B9BD5"/>
              <w:right w:val="single" w:sz="4" w:space="0" w:color="5B9BD5"/>
            </w:tcBorders>
            <w:shd w:val="clear" w:color="000000" w:fill="F2F2F2"/>
            <w:noWrap/>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-2 771,0</w:t>
            </w:r>
          </w:p>
        </w:tc>
        <w:tc>
          <w:tcPr>
            <w:tcW w:w="1149" w:type="dxa"/>
            <w:tcBorders>
              <w:top w:val="nil"/>
              <w:left w:val="nil"/>
              <w:bottom w:val="single" w:sz="4" w:space="0" w:color="5B9BD5"/>
              <w:right w:val="single" w:sz="4" w:space="0" w:color="5B9BD5"/>
            </w:tcBorders>
            <w:shd w:val="clear" w:color="000000" w:fill="F2F2F2"/>
            <w:vAlign w:val="center"/>
            <w:hideMark/>
          </w:tcPr>
          <w:p w:rsidR="00BA2A16" w:rsidRPr="00BA2A16" w:rsidRDefault="00BA2A16" w:rsidP="00BA2A16">
            <w:pPr>
              <w:jc w:val="center"/>
              <w:rPr>
                <w:rFonts w:cs="Calibri"/>
                <w:b/>
                <w:bCs/>
                <w:color w:val="000000"/>
                <w:sz w:val="20"/>
                <w:szCs w:val="20"/>
              </w:rPr>
            </w:pPr>
            <w:r w:rsidRPr="00BA2A16">
              <w:rPr>
                <w:rFonts w:cs="Calibri"/>
                <w:b/>
                <w:bCs/>
                <w:color w:val="000000"/>
                <w:sz w:val="20"/>
                <w:szCs w:val="20"/>
              </w:rPr>
              <w:t>-6,8%</w:t>
            </w:r>
          </w:p>
        </w:tc>
      </w:tr>
    </w:tbl>
    <w:p w:rsidR="00A7596A" w:rsidRDefault="00B13D99" w:rsidP="00A7596A">
      <w:pPr>
        <w:spacing w:line="288" w:lineRule="auto"/>
        <w:jc w:val="both"/>
        <w:rPr>
          <w:rFonts w:cs="Calibri"/>
          <w:i/>
          <w:noProof/>
          <w:sz w:val="20"/>
          <w:szCs w:val="20"/>
          <w:lang w:val="uz-Cyrl-UZ"/>
        </w:rPr>
      </w:pPr>
      <w:r w:rsidRPr="008936FD">
        <w:rPr>
          <w:rFonts w:cs="Calibri"/>
          <w:i/>
          <w:noProof/>
          <w:sz w:val="20"/>
          <w:szCs w:val="20"/>
          <w:lang w:val="uz-Cyrl-UZ"/>
        </w:rPr>
        <w:t xml:space="preserve"> </w:t>
      </w:r>
      <w:r w:rsidR="00A7596A" w:rsidRPr="008936FD">
        <w:rPr>
          <w:rFonts w:cs="Calibri"/>
          <w:i/>
          <w:noProof/>
          <w:sz w:val="20"/>
          <w:szCs w:val="20"/>
          <w:lang w:val="uz-Cyrl-UZ"/>
        </w:rPr>
        <w:t>*</w:t>
      </w:r>
      <w:r w:rsidR="006B5DFE" w:rsidRPr="008936FD">
        <w:rPr>
          <w:rFonts w:cs="Calibri"/>
          <w:i/>
          <w:noProof/>
          <w:sz w:val="20"/>
          <w:szCs w:val="20"/>
          <w:lang w:val="en-US"/>
        </w:rPr>
        <w:t xml:space="preserve"> </w:t>
      </w:r>
      <w:r w:rsidR="00A7596A" w:rsidRPr="008936FD">
        <w:rPr>
          <w:rFonts w:cs="Calibri"/>
          <w:i/>
          <w:noProof/>
          <w:sz w:val="20"/>
          <w:szCs w:val="20"/>
          <w:lang w:val="uz-Cyrl-UZ"/>
        </w:rPr>
        <w:t xml:space="preserve">including gas USD </w:t>
      </w:r>
      <w:r w:rsidR="00373F87">
        <w:rPr>
          <w:rFonts w:cs="Calibri"/>
          <w:i/>
          <w:noProof/>
          <w:sz w:val="20"/>
          <w:szCs w:val="20"/>
          <w:lang w:val="en-US"/>
        </w:rPr>
        <w:t>460</w:t>
      </w:r>
      <w:r w:rsidR="00A7596A" w:rsidRPr="008936FD">
        <w:rPr>
          <w:rFonts w:cs="Calibri"/>
          <w:i/>
          <w:noProof/>
          <w:sz w:val="20"/>
          <w:szCs w:val="20"/>
          <w:lang w:val="uz-Cyrl-UZ"/>
        </w:rPr>
        <w:t>.</w:t>
      </w:r>
      <w:r w:rsidR="00373F87">
        <w:rPr>
          <w:rFonts w:cs="Calibri"/>
          <w:i/>
          <w:noProof/>
          <w:sz w:val="20"/>
          <w:szCs w:val="20"/>
          <w:lang w:val="en-US"/>
        </w:rPr>
        <w:t>6</w:t>
      </w:r>
      <w:r w:rsidR="00A7596A" w:rsidRPr="008936FD">
        <w:rPr>
          <w:rFonts w:cs="Calibri"/>
          <w:i/>
          <w:noProof/>
          <w:sz w:val="20"/>
          <w:szCs w:val="20"/>
          <w:lang w:val="uz-Cyrl-UZ"/>
        </w:rPr>
        <w:t xml:space="preserve"> </w:t>
      </w:r>
      <w:r w:rsidR="0056599C" w:rsidRPr="008936FD">
        <w:rPr>
          <w:rFonts w:cs="Calibri"/>
          <w:i/>
          <w:noProof/>
          <w:sz w:val="20"/>
          <w:szCs w:val="20"/>
          <w:lang w:val="en-US"/>
        </w:rPr>
        <w:t>m</w:t>
      </w:r>
      <w:r w:rsidR="00A7596A" w:rsidRPr="008936FD">
        <w:rPr>
          <w:rFonts w:cs="Calibri"/>
          <w:i/>
          <w:noProof/>
          <w:sz w:val="20"/>
          <w:szCs w:val="20"/>
          <w:lang w:val="uz-Cyrl-UZ"/>
        </w:rPr>
        <w:t xml:space="preserve">illion, precious metals (gold) USD </w:t>
      </w:r>
      <w:r w:rsidR="00F3216F">
        <w:rPr>
          <w:rFonts w:cs="Calibri"/>
          <w:i/>
          <w:noProof/>
          <w:sz w:val="20"/>
          <w:szCs w:val="20"/>
          <w:lang w:val="en-US"/>
        </w:rPr>
        <w:t>5</w:t>
      </w:r>
      <w:r w:rsidR="00A7596A" w:rsidRPr="008936FD">
        <w:rPr>
          <w:rFonts w:cs="Calibri"/>
          <w:i/>
          <w:noProof/>
          <w:sz w:val="20"/>
          <w:szCs w:val="20"/>
          <w:lang w:val="en-US"/>
        </w:rPr>
        <w:t>.</w:t>
      </w:r>
      <w:r w:rsidR="00F3216F">
        <w:rPr>
          <w:rFonts w:cs="Calibri"/>
          <w:i/>
          <w:noProof/>
          <w:sz w:val="20"/>
          <w:szCs w:val="20"/>
          <w:lang w:val="en-US"/>
        </w:rPr>
        <w:t>8</w:t>
      </w:r>
      <w:r w:rsidR="00A7596A" w:rsidRPr="008936FD">
        <w:rPr>
          <w:rFonts w:cs="Calibri"/>
          <w:i/>
          <w:noProof/>
          <w:sz w:val="20"/>
          <w:szCs w:val="20"/>
          <w:lang w:val="uz-Cyrl-UZ"/>
        </w:rPr>
        <w:t xml:space="preserve"> billion</w:t>
      </w:r>
    </w:p>
    <w:p w:rsidR="00A7596A" w:rsidRPr="00147844" w:rsidRDefault="00EA79D0" w:rsidP="00A7596A">
      <w:pPr>
        <w:spacing w:line="288" w:lineRule="auto"/>
        <w:ind w:firstLine="709"/>
        <w:jc w:val="both"/>
        <w:rPr>
          <w:noProof/>
          <w:sz w:val="26"/>
          <w:szCs w:val="26"/>
          <w:lang w:val="en-US"/>
        </w:rPr>
      </w:pPr>
      <w:r w:rsidRPr="00147844">
        <w:rPr>
          <w:noProof/>
          <w:sz w:val="26"/>
          <w:szCs w:val="26"/>
          <w:lang w:val="en-US"/>
        </w:rPr>
        <w:t xml:space="preserve">Thus, </w:t>
      </w:r>
      <w:r w:rsidR="005B7BB8" w:rsidRPr="00147844">
        <w:rPr>
          <w:noProof/>
          <w:sz w:val="26"/>
          <w:szCs w:val="26"/>
          <w:lang w:val="en-US"/>
        </w:rPr>
        <w:t xml:space="preserve">according to the results </w:t>
      </w:r>
      <w:r w:rsidR="009B60A7">
        <w:rPr>
          <w:noProof/>
          <w:sz w:val="26"/>
          <w:szCs w:val="26"/>
          <w:lang w:val="en-US"/>
        </w:rPr>
        <w:t>of</w:t>
      </w:r>
      <w:r w:rsidR="004258BC" w:rsidRPr="00147844">
        <w:rPr>
          <w:noProof/>
          <w:sz w:val="26"/>
          <w:szCs w:val="26"/>
          <w:lang w:val="en-US"/>
        </w:rPr>
        <w:t xml:space="preserve"> </w:t>
      </w:r>
      <w:r w:rsidR="005B7BB8" w:rsidRPr="00147844">
        <w:rPr>
          <w:noProof/>
          <w:sz w:val="26"/>
          <w:szCs w:val="26"/>
          <w:lang w:val="en-US"/>
        </w:rPr>
        <w:t>2020</w:t>
      </w:r>
      <w:r w:rsidRPr="00147844">
        <w:rPr>
          <w:noProof/>
          <w:sz w:val="26"/>
          <w:szCs w:val="26"/>
          <w:lang w:val="en-US"/>
        </w:rPr>
        <w:t xml:space="preserve">, </w:t>
      </w:r>
      <w:r w:rsidR="0062400B" w:rsidRPr="00147844">
        <w:rPr>
          <w:sz w:val="26"/>
          <w:szCs w:val="26"/>
          <w:lang w:val="uz-Cyrl-UZ"/>
        </w:rPr>
        <w:t>the negative trade balance</w:t>
      </w:r>
      <w:r w:rsidR="006A09DD">
        <w:rPr>
          <w:sz w:val="26"/>
          <w:szCs w:val="26"/>
          <w:lang w:val="en-US"/>
        </w:rPr>
        <w:t xml:space="preserve"> </w:t>
      </w:r>
      <w:r w:rsidR="009B60A7">
        <w:rPr>
          <w:sz w:val="26"/>
          <w:szCs w:val="26"/>
          <w:lang w:val="en-US"/>
        </w:rPr>
        <w:t>taking into account</w:t>
      </w:r>
      <w:r w:rsidR="006A09DD">
        <w:rPr>
          <w:sz w:val="26"/>
          <w:szCs w:val="26"/>
          <w:lang w:val="en-US"/>
        </w:rPr>
        <w:t xml:space="preserve"> international services </w:t>
      </w:r>
      <w:r w:rsidR="00CB30D3" w:rsidRPr="00147844">
        <w:rPr>
          <w:sz w:val="26"/>
          <w:szCs w:val="26"/>
          <w:lang w:val="en-US"/>
        </w:rPr>
        <w:t>and primary income</w:t>
      </w:r>
      <w:r w:rsidR="0062400B" w:rsidRPr="00147844">
        <w:rPr>
          <w:sz w:val="26"/>
          <w:szCs w:val="26"/>
          <w:lang w:val="uz-Cyrl-UZ"/>
        </w:rPr>
        <w:t xml:space="preserve"> according to the BPM6 methodology, amounted to USD</w:t>
      </w:r>
      <w:r w:rsidR="002D2728" w:rsidRPr="00147844">
        <w:rPr>
          <w:sz w:val="26"/>
          <w:szCs w:val="26"/>
          <w:lang w:val="uz-Cyrl-UZ"/>
        </w:rPr>
        <w:t xml:space="preserve"> </w:t>
      </w:r>
      <w:r w:rsidR="00373F87">
        <w:rPr>
          <w:sz w:val="26"/>
          <w:szCs w:val="26"/>
          <w:lang w:val="en-US"/>
        </w:rPr>
        <w:t>8</w:t>
      </w:r>
      <w:r w:rsidR="0062400B" w:rsidRPr="00147844">
        <w:rPr>
          <w:sz w:val="26"/>
          <w:szCs w:val="26"/>
          <w:lang w:val="uz-Cyrl-UZ"/>
        </w:rPr>
        <w:t>.</w:t>
      </w:r>
      <w:r w:rsidR="00373F87">
        <w:rPr>
          <w:sz w:val="26"/>
          <w:szCs w:val="26"/>
          <w:lang w:val="en-US"/>
        </w:rPr>
        <w:t>3</w:t>
      </w:r>
      <w:r w:rsidR="0062400B" w:rsidRPr="00147844">
        <w:rPr>
          <w:sz w:val="26"/>
          <w:szCs w:val="26"/>
          <w:lang w:val="uz-Cyrl-UZ"/>
        </w:rPr>
        <w:t xml:space="preserve"> billion. At the same time, the positive balance of secondary income </w:t>
      </w:r>
      <w:r w:rsidR="0062400B" w:rsidRPr="00147844">
        <w:rPr>
          <w:sz w:val="26"/>
          <w:szCs w:val="26"/>
          <w:lang w:val="en-US"/>
        </w:rPr>
        <w:t>equaled</w:t>
      </w:r>
      <w:r w:rsidR="0062400B" w:rsidRPr="00147844">
        <w:rPr>
          <w:sz w:val="26"/>
          <w:szCs w:val="26"/>
          <w:lang w:val="uz-Cyrl-UZ"/>
        </w:rPr>
        <w:t xml:space="preserve"> </w:t>
      </w:r>
      <w:r w:rsidR="009B60A7">
        <w:rPr>
          <w:sz w:val="26"/>
          <w:szCs w:val="26"/>
          <w:lang w:val="uz-Cyrl-UZ"/>
        </w:rPr>
        <w:br/>
      </w:r>
      <w:r w:rsidR="0062400B" w:rsidRPr="00147844">
        <w:rPr>
          <w:sz w:val="26"/>
          <w:szCs w:val="26"/>
          <w:lang w:val="uz-Cyrl-UZ"/>
        </w:rPr>
        <w:t xml:space="preserve">USD </w:t>
      </w:r>
      <w:r w:rsidR="00373F87">
        <w:rPr>
          <w:sz w:val="26"/>
          <w:szCs w:val="26"/>
          <w:lang w:val="en-US"/>
        </w:rPr>
        <w:t>5</w:t>
      </w:r>
      <w:r w:rsidR="0062400B" w:rsidRPr="00147844">
        <w:rPr>
          <w:sz w:val="26"/>
          <w:szCs w:val="26"/>
          <w:lang w:val="uz-Cyrl-UZ"/>
        </w:rPr>
        <w:t>.</w:t>
      </w:r>
      <w:r w:rsidR="00373F87">
        <w:rPr>
          <w:sz w:val="26"/>
          <w:szCs w:val="26"/>
          <w:lang w:val="en-US"/>
        </w:rPr>
        <w:t>1</w:t>
      </w:r>
      <w:r w:rsidR="0062400B" w:rsidRPr="00147844">
        <w:rPr>
          <w:sz w:val="26"/>
          <w:szCs w:val="26"/>
          <w:lang w:val="uz-Cyrl-UZ"/>
        </w:rPr>
        <w:t xml:space="preserve"> billion.</w:t>
      </w:r>
    </w:p>
    <w:p w:rsidR="00A7596A" w:rsidRPr="00147844" w:rsidRDefault="00A7596A" w:rsidP="00A7596A">
      <w:pPr>
        <w:spacing w:line="288" w:lineRule="auto"/>
        <w:ind w:firstLine="709"/>
        <w:jc w:val="both"/>
        <w:rPr>
          <w:lang w:val="en-US"/>
        </w:rPr>
        <w:sectPr w:rsidR="00A7596A" w:rsidRPr="00147844" w:rsidSect="008D4642">
          <w:pgSz w:w="16838" w:h="11906" w:orient="landscape" w:code="9"/>
          <w:pgMar w:top="851" w:right="851" w:bottom="1134" w:left="1134" w:header="709" w:footer="0" w:gutter="0"/>
          <w:cols w:space="708"/>
          <w:titlePg/>
          <w:docGrid w:linePitch="360"/>
        </w:sectPr>
      </w:pPr>
    </w:p>
    <w:p w:rsidR="0036624D" w:rsidRPr="00147844" w:rsidRDefault="00492C4B" w:rsidP="0056599C">
      <w:pPr>
        <w:pStyle w:val="21"/>
        <w:spacing w:after="240" w:line="288" w:lineRule="auto"/>
        <w:ind w:left="709"/>
        <w:rPr>
          <w:rFonts w:ascii="Calibri" w:hAnsi="Calibri"/>
          <w:lang w:val="en-US"/>
        </w:rPr>
      </w:pPr>
      <w:bookmarkStart w:id="3" w:name="_Toc67050787"/>
      <w:r w:rsidRPr="000F04EB">
        <w:rPr>
          <w:rFonts w:ascii="Calibri" w:hAnsi="Calibri"/>
          <w:lang w:val="en-US"/>
        </w:rPr>
        <w:lastRenderedPageBreak/>
        <w:t>GOODS</w:t>
      </w:r>
      <w:bookmarkEnd w:id="3"/>
    </w:p>
    <w:p w:rsidR="00B12F01" w:rsidRPr="00147844" w:rsidRDefault="00CB30D3" w:rsidP="00CC154F">
      <w:pPr>
        <w:suppressAutoHyphens/>
        <w:spacing w:before="120" w:line="288" w:lineRule="auto"/>
        <w:ind w:firstLine="709"/>
        <w:jc w:val="both"/>
        <w:rPr>
          <w:sz w:val="26"/>
          <w:szCs w:val="26"/>
          <w:lang w:val="en-US"/>
        </w:rPr>
      </w:pPr>
      <w:r w:rsidRPr="00147844">
        <w:rPr>
          <w:sz w:val="26"/>
          <w:szCs w:val="26"/>
          <w:lang w:val="en-US"/>
        </w:rPr>
        <w:t>For</w:t>
      </w:r>
      <w:r w:rsidR="005B7BB8" w:rsidRPr="00147844">
        <w:rPr>
          <w:sz w:val="26"/>
          <w:szCs w:val="26"/>
          <w:lang w:val="en-US"/>
        </w:rPr>
        <w:t xml:space="preserve"> 2020</w:t>
      </w:r>
      <w:r w:rsidR="00B12F01" w:rsidRPr="00147844">
        <w:rPr>
          <w:sz w:val="26"/>
          <w:szCs w:val="26"/>
          <w:lang w:val="en-US"/>
        </w:rPr>
        <w:t xml:space="preserve">, foreign trade in goods </w:t>
      </w:r>
      <w:r w:rsidR="002D2728" w:rsidRPr="00147844">
        <w:rPr>
          <w:sz w:val="26"/>
          <w:szCs w:val="26"/>
          <w:lang w:val="en-US"/>
        </w:rPr>
        <w:t>(</w:t>
      </w:r>
      <w:r w:rsidR="00B12F01" w:rsidRPr="00147844">
        <w:rPr>
          <w:sz w:val="26"/>
          <w:szCs w:val="26"/>
          <w:lang w:val="en-US"/>
        </w:rPr>
        <w:t>inc</w:t>
      </w:r>
      <w:r w:rsidR="005B7BB8" w:rsidRPr="00147844">
        <w:rPr>
          <w:sz w:val="26"/>
          <w:szCs w:val="26"/>
          <w:lang w:val="en-US"/>
        </w:rPr>
        <w:t xml:space="preserve">luding trade of precious metals </w:t>
      </w:r>
      <w:r w:rsidR="002D2728" w:rsidRPr="00147844">
        <w:rPr>
          <w:sz w:val="26"/>
          <w:szCs w:val="26"/>
          <w:lang w:val="en-US"/>
        </w:rPr>
        <w:t>(</w:t>
      </w:r>
      <w:r w:rsidR="00B12F01" w:rsidRPr="00147844">
        <w:rPr>
          <w:i/>
          <w:sz w:val="26"/>
          <w:szCs w:val="26"/>
          <w:lang w:val="en-US"/>
        </w:rPr>
        <w:t>gold</w:t>
      </w:r>
      <w:r w:rsidR="002D2728" w:rsidRPr="00147844">
        <w:rPr>
          <w:i/>
          <w:sz w:val="26"/>
          <w:szCs w:val="26"/>
          <w:lang w:val="en-US"/>
        </w:rPr>
        <w:t>)</w:t>
      </w:r>
      <w:r w:rsidR="00B12F01" w:rsidRPr="00147844">
        <w:rPr>
          <w:sz w:val="26"/>
          <w:szCs w:val="26"/>
          <w:lang w:val="en-US"/>
        </w:rPr>
        <w:t xml:space="preserve"> and a</w:t>
      </w:r>
      <w:r w:rsidR="003B7F54" w:rsidRPr="00147844">
        <w:rPr>
          <w:sz w:val="26"/>
          <w:szCs w:val="26"/>
          <w:lang w:val="en-US"/>
        </w:rPr>
        <w:t>djustments</w:t>
      </w:r>
      <w:r w:rsidR="00F31792" w:rsidRPr="00147844">
        <w:rPr>
          <w:rStyle w:val="a9"/>
          <w:noProof/>
          <w:sz w:val="26"/>
          <w:szCs w:val="26"/>
          <w:lang w:val="en-US"/>
        </w:rPr>
        <w:footnoteReference w:id="3"/>
      </w:r>
      <w:r w:rsidR="002D2728" w:rsidRPr="00147844">
        <w:rPr>
          <w:sz w:val="26"/>
          <w:szCs w:val="26"/>
          <w:lang w:val="en-US"/>
        </w:rPr>
        <w:t>)</w:t>
      </w:r>
      <w:r w:rsidR="005B7BB8" w:rsidRPr="00147844">
        <w:rPr>
          <w:sz w:val="26"/>
          <w:szCs w:val="26"/>
          <w:lang w:val="en-US"/>
        </w:rPr>
        <w:t xml:space="preserve"> </w:t>
      </w:r>
      <w:r w:rsidR="003B7F54" w:rsidRPr="00147844">
        <w:rPr>
          <w:sz w:val="26"/>
          <w:szCs w:val="26"/>
          <w:lang w:val="en-US"/>
        </w:rPr>
        <w:t xml:space="preserve">amounted to USD </w:t>
      </w:r>
      <w:r w:rsidR="007441A5">
        <w:rPr>
          <w:sz w:val="26"/>
          <w:szCs w:val="26"/>
          <w:lang w:val="uz-Cyrl-UZ"/>
        </w:rPr>
        <w:t>31</w:t>
      </w:r>
      <w:r w:rsidR="005B7BB8" w:rsidRPr="00147844">
        <w:rPr>
          <w:sz w:val="26"/>
          <w:szCs w:val="26"/>
          <w:lang w:val="en-US"/>
        </w:rPr>
        <w:t>.</w:t>
      </w:r>
      <w:r w:rsidR="007441A5">
        <w:rPr>
          <w:sz w:val="26"/>
          <w:szCs w:val="26"/>
          <w:lang w:val="uz-Cyrl-UZ"/>
        </w:rPr>
        <w:t>9</w:t>
      </w:r>
      <w:r w:rsidR="005B7BB8" w:rsidRPr="00147844">
        <w:rPr>
          <w:sz w:val="26"/>
          <w:szCs w:val="26"/>
          <w:lang w:val="en-US"/>
        </w:rPr>
        <w:t xml:space="preserve"> billion </w:t>
      </w:r>
      <w:r w:rsidR="003B7F54" w:rsidRPr="00147844">
        <w:rPr>
          <w:sz w:val="26"/>
          <w:szCs w:val="26"/>
          <w:lang w:val="en-US"/>
        </w:rPr>
        <w:t>(</w:t>
      </w:r>
      <w:r w:rsidR="003B7F54" w:rsidRPr="00147844">
        <w:rPr>
          <w:i/>
          <w:sz w:val="26"/>
          <w:szCs w:val="26"/>
          <w:lang w:val="en-US"/>
        </w:rPr>
        <w:t xml:space="preserve">USD </w:t>
      </w:r>
      <w:r w:rsidR="007441A5">
        <w:rPr>
          <w:i/>
          <w:sz w:val="26"/>
          <w:szCs w:val="26"/>
          <w:lang w:val="uz-Cyrl-UZ"/>
        </w:rPr>
        <w:t>35</w:t>
      </w:r>
      <w:r w:rsidR="005B7BB8" w:rsidRPr="00147844">
        <w:rPr>
          <w:i/>
          <w:sz w:val="26"/>
          <w:szCs w:val="26"/>
          <w:lang w:val="en-US"/>
        </w:rPr>
        <w:t>.</w:t>
      </w:r>
      <w:r w:rsidR="007441A5">
        <w:rPr>
          <w:i/>
          <w:sz w:val="26"/>
          <w:szCs w:val="26"/>
          <w:lang w:val="uz-Cyrl-UZ"/>
        </w:rPr>
        <w:t>1</w:t>
      </w:r>
      <w:r w:rsidR="003B7F54" w:rsidRPr="00147844">
        <w:rPr>
          <w:i/>
          <w:sz w:val="26"/>
          <w:szCs w:val="26"/>
          <w:lang w:val="en-US"/>
        </w:rPr>
        <w:t xml:space="preserve"> billion </w:t>
      </w:r>
      <w:r w:rsidR="00F22FEB" w:rsidRPr="00147844">
        <w:rPr>
          <w:i/>
          <w:sz w:val="26"/>
          <w:szCs w:val="26"/>
          <w:lang w:val="en-US"/>
        </w:rPr>
        <w:t>for</w:t>
      </w:r>
      <w:r w:rsidR="003B7F54" w:rsidRPr="00147844">
        <w:rPr>
          <w:i/>
          <w:sz w:val="26"/>
          <w:szCs w:val="26"/>
          <w:lang w:val="en-US"/>
        </w:rPr>
        <w:t xml:space="preserve"> </w:t>
      </w:r>
      <w:r w:rsidR="005B7BB8" w:rsidRPr="00147844">
        <w:rPr>
          <w:i/>
          <w:sz w:val="26"/>
          <w:szCs w:val="26"/>
          <w:lang w:val="en-US"/>
        </w:rPr>
        <w:t>2019</w:t>
      </w:r>
      <w:r w:rsidR="00B12F01" w:rsidRPr="00147844">
        <w:rPr>
          <w:sz w:val="26"/>
          <w:szCs w:val="26"/>
          <w:lang w:val="en-US"/>
        </w:rPr>
        <w:t>). Volume of exports</w:t>
      </w:r>
      <w:r w:rsidR="003B7F54" w:rsidRPr="00147844">
        <w:rPr>
          <w:sz w:val="26"/>
          <w:szCs w:val="26"/>
          <w:lang w:val="en-US"/>
        </w:rPr>
        <w:t xml:space="preserve"> and imports amounted to USD </w:t>
      </w:r>
      <w:r w:rsidR="007441A5">
        <w:rPr>
          <w:sz w:val="26"/>
          <w:szCs w:val="26"/>
          <w:lang w:val="uz-Cyrl-UZ"/>
        </w:rPr>
        <w:t>12</w:t>
      </w:r>
      <w:r w:rsidR="005B7BB8" w:rsidRPr="00147844">
        <w:rPr>
          <w:sz w:val="26"/>
          <w:szCs w:val="26"/>
          <w:lang w:val="en-US"/>
        </w:rPr>
        <w:t>.</w:t>
      </w:r>
      <w:r w:rsidR="00F22FEB" w:rsidRPr="00147844">
        <w:rPr>
          <w:sz w:val="26"/>
          <w:szCs w:val="26"/>
          <w:lang w:val="en-US"/>
        </w:rPr>
        <w:t>8</w:t>
      </w:r>
      <w:r w:rsidR="003B7F54" w:rsidRPr="00147844">
        <w:rPr>
          <w:sz w:val="26"/>
          <w:szCs w:val="26"/>
          <w:lang w:val="en-US"/>
        </w:rPr>
        <w:t xml:space="preserve"> billion and USD </w:t>
      </w:r>
      <w:r w:rsidR="007441A5">
        <w:rPr>
          <w:sz w:val="26"/>
          <w:szCs w:val="26"/>
          <w:lang w:val="uz-Cyrl-UZ"/>
        </w:rPr>
        <w:t>19</w:t>
      </w:r>
      <w:r w:rsidR="005B7BB8" w:rsidRPr="00147844">
        <w:rPr>
          <w:sz w:val="26"/>
          <w:szCs w:val="26"/>
          <w:lang w:val="en-US"/>
        </w:rPr>
        <w:t>.</w:t>
      </w:r>
      <w:r w:rsidR="00352A51">
        <w:rPr>
          <w:sz w:val="26"/>
          <w:szCs w:val="26"/>
          <w:lang w:val="en-US"/>
        </w:rPr>
        <w:t>0</w:t>
      </w:r>
      <w:r w:rsidR="005B7BB8" w:rsidRPr="00147844">
        <w:rPr>
          <w:sz w:val="26"/>
          <w:szCs w:val="26"/>
          <w:lang w:val="en-US"/>
        </w:rPr>
        <w:t xml:space="preserve"> billion, respectively. </w:t>
      </w:r>
      <w:r w:rsidR="00B12F01" w:rsidRPr="00147844">
        <w:rPr>
          <w:sz w:val="26"/>
          <w:szCs w:val="26"/>
          <w:lang w:val="en-US"/>
        </w:rPr>
        <w:t>Thus, the negative t</w:t>
      </w:r>
      <w:r w:rsidR="003B7F54" w:rsidRPr="00147844">
        <w:rPr>
          <w:sz w:val="26"/>
          <w:szCs w:val="26"/>
          <w:lang w:val="en-US"/>
        </w:rPr>
        <w:t xml:space="preserve">rade balance </w:t>
      </w:r>
      <w:r w:rsidR="00553CB4" w:rsidRPr="00147844">
        <w:rPr>
          <w:sz w:val="26"/>
          <w:szCs w:val="26"/>
          <w:lang w:val="en-US"/>
        </w:rPr>
        <w:t xml:space="preserve">of goods </w:t>
      </w:r>
      <w:r w:rsidR="003B7F54" w:rsidRPr="00147844">
        <w:rPr>
          <w:sz w:val="26"/>
          <w:szCs w:val="26"/>
          <w:lang w:val="en-US"/>
        </w:rPr>
        <w:t xml:space="preserve">amounted to USD </w:t>
      </w:r>
      <w:r w:rsidR="007441A5">
        <w:rPr>
          <w:sz w:val="26"/>
          <w:szCs w:val="26"/>
          <w:lang w:val="uz-Cyrl-UZ"/>
        </w:rPr>
        <w:t>6</w:t>
      </w:r>
      <w:r w:rsidR="005B7BB8" w:rsidRPr="00147844">
        <w:rPr>
          <w:sz w:val="26"/>
          <w:szCs w:val="26"/>
          <w:lang w:val="en-US"/>
        </w:rPr>
        <w:t>.</w:t>
      </w:r>
      <w:r w:rsidR="007441A5">
        <w:rPr>
          <w:sz w:val="26"/>
          <w:szCs w:val="26"/>
          <w:lang w:val="uz-Cyrl-UZ"/>
        </w:rPr>
        <w:t>2</w:t>
      </w:r>
      <w:r w:rsidR="00B12F01" w:rsidRPr="00147844">
        <w:rPr>
          <w:sz w:val="26"/>
          <w:szCs w:val="26"/>
          <w:lang w:val="en-US"/>
        </w:rPr>
        <w:t xml:space="preserve"> billion.</w:t>
      </w:r>
    </w:p>
    <w:p w:rsidR="00CB42EA" w:rsidRPr="00147844" w:rsidRDefault="00553CB4" w:rsidP="00CB42EA">
      <w:pPr>
        <w:suppressAutoHyphens/>
        <w:spacing w:before="120" w:line="288" w:lineRule="auto"/>
        <w:ind w:firstLine="709"/>
        <w:jc w:val="both"/>
        <w:rPr>
          <w:rFonts w:cs="Calibri"/>
          <w:color w:val="0070C0"/>
          <w:sz w:val="26"/>
          <w:szCs w:val="26"/>
          <w:lang w:val="en-US"/>
        </w:rPr>
      </w:pPr>
      <w:r w:rsidRPr="00147844">
        <w:rPr>
          <w:sz w:val="26"/>
          <w:szCs w:val="26"/>
          <w:lang w:val="en-US"/>
        </w:rPr>
        <w:t>The volume of e</w:t>
      </w:r>
      <w:r w:rsidR="00B12F01" w:rsidRPr="00147844">
        <w:rPr>
          <w:sz w:val="26"/>
          <w:szCs w:val="26"/>
          <w:lang w:val="en-US"/>
        </w:rPr>
        <w:t xml:space="preserve">xport of goods </w:t>
      </w:r>
      <w:r w:rsidR="00784FA7">
        <w:rPr>
          <w:sz w:val="26"/>
          <w:szCs w:val="26"/>
          <w:lang w:val="en-US"/>
        </w:rPr>
        <w:t>(</w:t>
      </w:r>
      <w:r w:rsidR="00CB42EA">
        <w:rPr>
          <w:sz w:val="26"/>
          <w:szCs w:val="26"/>
          <w:lang w:val="en-US"/>
        </w:rPr>
        <w:t>without</w:t>
      </w:r>
      <w:r w:rsidR="00784FA7">
        <w:rPr>
          <w:sz w:val="26"/>
          <w:szCs w:val="26"/>
          <w:lang w:val="en-US"/>
        </w:rPr>
        <w:t xml:space="preserve"> export of </w:t>
      </w:r>
      <w:r w:rsidR="00D65069">
        <w:rPr>
          <w:sz w:val="26"/>
          <w:szCs w:val="26"/>
          <w:lang w:val="en-US"/>
        </w:rPr>
        <w:t xml:space="preserve">non-monetary </w:t>
      </w:r>
      <w:r w:rsidR="00784FA7">
        <w:rPr>
          <w:sz w:val="26"/>
          <w:szCs w:val="26"/>
          <w:lang w:val="en-US"/>
        </w:rPr>
        <w:t xml:space="preserve">gold and adjustments) </w:t>
      </w:r>
      <w:r w:rsidR="007441A5">
        <w:rPr>
          <w:sz w:val="26"/>
          <w:szCs w:val="26"/>
          <w:lang w:val="en-US"/>
        </w:rPr>
        <w:t xml:space="preserve">decreased </w:t>
      </w:r>
      <w:r w:rsidR="00784FA7">
        <w:rPr>
          <w:sz w:val="26"/>
          <w:szCs w:val="26"/>
          <w:lang w:val="en-US"/>
        </w:rPr>
        <w:t>by</w:t>
      </w:r>
      <w:r w:rsidR="002013DD">
        <w:rPr>
          <w:sz w:val="26"/>
          <w:szCs w:val="26"/>
          <w:lang w:val="en-US"/>
        </w:rPr>
        <w:t xml:space="preserve"> USD</w:t>
      </w:r>
      <w:r w:rsidR="007441A5">
        <w:rPr>
          <w:sz w:val="26"/>
          <w:szCs w:val="26"/>
          <w:lang w:val="en-US"/>
        </w:rPr>
        <w:t xml:space="preserve"> 1</w:t>
      </w:r>
      <w:r w:rsidR="00373F87">
        <w:rPr>
          <w:sz w:val="26"/>
          <w:szCs w:val="26"/>
          <w:lang w:val="en-US"/>
        </w:rPr>
        <w:t>.1</w:t>
      </w:r>
      <w:r w:rsidR="007441A5">
        <w:rPr>
          <w:sz w:val="26"/>
          <w:szCs w:val="26"/>
          <w:lang w:val="en-US"/>
        </w:rPr>
        <w:t xml:space="preserve"> billion</w:t>
      </w:r>
      <w:r w:rsidR="00D65069">
        <w:rPr>
          <w:sz w:val="26"/>
          <w:szCs w:val="26"/>
          <w:lang w:val="en-US"/>
        </w:rPr>
        <w:t xml:space="preserve"> or by 20</w:t>
      </w:r>
      <w:r w:rsidR="00784FA7">
        <w:rPr>
          <w:sz w:val="26"/>
          <w:szCs w:val="26"/>
          <w:lang w:val="en-US"/>
        </w:rPr>
        <w:t>%</w:t>
      </w:r>
      <w:r w:rsidR="00D65069">
        <w:rPr>
          <w:sz w:val="26"/>
          <w:szCs w:val="26"/>
          <w:lang w:val="en-US"/>
        </w:rPr>
        <w:t xml:space="preserve"> </w:t>
      </w:r>
      <w:r w:rsidR="00784FA7">
        <w:rPr>
          <w:sz w:val="26"/>
          <w:szCs w:val="26"/>
          <w:lang w:val="en-US"/>
        </w:rPr>
        <w:t>(</w:t>
      </w:r>
      <w:r w:rsidR="00D65069">
        <w:rPr>
          <w:noProof/>
          <w:sz w:val="26"/>
          <w:szCs w:val="26"/>
          <w:lang w:val="en-US"/>
        </w:rPr>
        <w:t>in</w:t>
      </w:r>
      <w:r w:rsidR="00CB42EA" w:rsidRPr="00147844">
        <w:rPr>
          <w:noProof/>
          <w:sz w:val="26"/>
          <w:szCs w:val="26"/>
          <w:lang w:val="en-US"/>
        </w:rPr>
        <w:t xml:space="preserve"> 2019, an increase of </w:t>
      </w:r>
      <w:r w:rsidR="00CB42EA">
        <w:rPr>
          <w:noProof/>
          <w:sz w:val="26"/>
          <w:szCs w:val="26"/>
          <w:lang w:val="en-US"/>
        </w:rPr>
        <w:t>560 mln. or 7</w:t>
      </w:r>
      <w:r w:rsidR="00CB42EA" w:rsidRPr="00147844">
        <w:rPr>
          <w:noProof/>
          <w:sz w:val="26"/>
          <w:szCs w:val="26"/>
          <w:lang w:val="en-US"/>
        </w:rPr>
        <w:t>% was observed</w:t>
      </w:r>
      <w:r w:rsidR="00CB42EA">
        <w:rPr>
          <w:sz w:val="26"/>
          <w:szCs w:val="26"/>
          <w:lang w:val="en-US"/>
        </w:rPr>
        <w:t xml:space="preserve">). </w:t>
      </w:r>
      <w:r w:rsidR="00B12F01" w:rsidRPr="00147844">
        <w:rPr>
          <w:sz w:val="26"/>
          <w:szCs w:val="26"/>
          <w:lang w:val="en-US"/>
        </w:rPr>
        <w:t xml:space="preserve">Furthermore, </w:t>
      </w:r>
      <w:r w:rsidR="006E4D34" w:rsidRPr="00147844">
        <w:rPr>
          <w:sz w:val="26"/>
          <w:szCs w:val="26"/>
          <w:lang w:val="en-US"/>
        </w:rPr>
        <w:t>due to a sharp decline in world energy prices and drop in demand from ma</w:t>
      </w:r>
      <w:r w:rsidR="00AB1D26" w:rsidRPr="00147844">
        <w:rPr>
          <w:sz w:val="26"/>
          <w:szCs w:val="26"/>
          <w:lang w:val="en-US"/>
        </w:rPr>
        <w:t>in</w:t>
      </w:r>
      <w:r w:rsidR="006E4D34" w:rsidRPr="00147844">
        <w:rPr>
          <w:sz w:val="26"/>
          <w:szCs w:val="26"/>
          <w:lang w:val="en-US"/>
        </w:rPr>
        <w:t xml:space="preserve"> consumers, </w:t>
      </w:r>
      <w:r w:rsidR="00B12F01" w:rsidRPr="00147844">
        <w:rPr>
          <w:sz w:val="26"/>
          <w:szCs w:val="26"/>
          <w:lang w:val="en-US"/>
        </w:rPr>
        <w:t xml:space="preserve">there was </w:t>
      </w:r>
      <w:r w:rsidR="007454F5" w:rsidRPr="00147844">
        <w:rPr>
          <w:sz w:val="26"/>
          <w:szCs w:val="26"/>
          <w:lang w:val="en-US"/>
        </w:rPr>
        <w:t xml:space="preserve">a decrease in the export volume of gas by </w:t>
      </w:r>
      <w:r w:rsidR="007441A5">
        <w:rPr>
          <w:sz w:val="26"/>
          <w:szCs w:val="26"/>
          <w:lang w:val="en-US"/>
        </w:rPr>
        <w:t>79</w:t>
      </w:r>
      <w:r w:rsidR="007454F5" w:rsidRPr="00147844">
        <w:rPr>
          <w:sz w:val="26"/>
          <w:szCs w:val="26"/>
          <w:lang w:val="en-US"/>
        </w:rPr>
        <w:t xml:space="preserve">% </w:t>
      </w:r>
      <w:r w:rsidR="00C957A2" w:rsidRPr="00147844">
        <w:rPr>
          <w:sz w:val="26"/>
          <w:szCs w:val="26"/>
          <w:lang w:val="en-US"/>
        </w:rPr>
        <w:t>in comparison with</w:t>
      </w:r>
      <w:r w:rsidR="00B12F01" w:rsidRPr="00147844">
        <w:rPr>
          <w:sz w:val="26"/>
          <w:szCs w:val="26"/>
          <w:lang w:val="en-US"/>
        </w:rPr>
        <w:t xml:space="preserve"> </w:t>
      </w:r>
      <w:r w:rsidR="00C957A2" w:rsidRPr="00147844">
        <w:rPr>
          <w:sz w:val="26"/>
          <w:szCs w:val="26"/>
          <w:lang w:val="en-US"/>
        </w:rPr>
        <w:t>the 2019</w:t>
      </w:r>
      <w:r w:rsidR="007454F5" w:rsidRPr="00147844">
        <w:rPr>
          <w:sz w:val="26"/>
          <w:szCs w:val="26"/>
          <w:lang w:val="en-US"/>
        </w:rPr>
        <w:t>.</w:t>
      </w:r>
      <w:r w:rsidR="00CB42EA" w:rsidRPr="00CB42EA">
        <w:rPr>
          <w:rFonts w:cs="Calibri"/>
          <w:color w:val="0070C0"/>
          <w:sz w:val="26"/>
          <w:szCs w:val="26"/>
          <w:lang w:val="en-US"/>
        </w:rPr>
        <w:t xml:space="preserve"> </w:t>
      </w:r>
      <w:r w:rsidR="00CB42EA" w:rsidRPr="00147844">
        <w:rPr>
          <w:rFonts w:cs="Calibri"/>
          <w:color w:val="0070C0"/>
          <w:sz w:val="26"/>
          <w:szCs w:val="26"/>
          <w:lang w:val="en-US"/>
        </w:rPr>
        <w:t xml:space="preserve">(Figure </w:t>
      </w:r>
      <w:r w:rsidR="00CB42EA">
        <w:rPr>
          <w:rFonts w:cs="Calibri"/>
          <w:color w:val="0070C0"/>
          <w:sz w:val="26"/>
          <w:szCs w:val="26"/>
          <w:lang w:val="en-US"/>
        </w:rPr>
        <w:t>3</w:t>
      </w:r>
      <w:r w:rsidR="00CB42EA" w:rsidRPr="00147844">
        <w:rPr>
          <w:rFonts w:cs="Calibri"/>
          <w:color w:val="0070C0"/>
          <w:sz w:val="26"/>
          <w:szCs w:val="26"/>
          <w:lang w:val="en-US"/>
        </w:rPr>
        <w:t>).</w:t>
      </w:r>
    </w:p>
    <w:p w:rsidR="00B31CD7" w:rsidRPr="00147844" w:rsidRDefault="00B23450" w:rsidP="00B31CD7">
      <w:pPr>
        <w:jc w:val="right"/>
        <w:rPr>
          <w:rFonts w:cs="Calibri"/>
          <w:noProof/>
          <w:lang w:val="en-US"/>
        </w:rPr>
      </w:pPr>
      <w:r w:rsidRPr="00147844">
        <w:rPr>
          <w:rFonts w:cs="Calibri"/>
          <w:noProof/>
          <w:lang w:val="en-US"/>
        </w:rPr>
        <w:t>Figure</w:t>
      </w:r>
      <w:r w:rsidR="00CC154F" w:rsidRPr="00147844">
        <w:rPr>
          <w:rFonts w:cs="Calibri"/>
          <w:noProof/>
          <w:lang w:val="en-US"/>
        </w:rPr>
        <w:t xml:space="preserve"> </w:t>
      </w:r>
      <w:r w:rsidR="00373F87">
        <w:rPr>
          <w:rFonts w:cs="Calibri"/>
          <w:noProof/>
          <w:lang w:val="en-US"/>
        </w:rPr>
        <w:t>3</w:t>
      </w:r>
    </w:p>
    <w:p w:rsidR="00B31CD7" w:rsidRPr="00F45A80" w:rsidRDefault="004619C5" w:rsidP="0056599C">
      <w:pPr>
        <w:spacing w:before="240"/>
        <w:jc w:val="center"/>
        <w:rPr>
          <w:b/>
          <w:noProof/>
          <w:sz w:val="28"/>
          <w:szCs w:val="28"/>
          <w:lang w:val="en-US"/>
        </w:rPr>
      </w:pPr>
      <w:r w:rsidRPr="00352A51">
        <w:rPr>
          <w:b/>
          <w:noProof/>
          <w:sz w:val="28"/>
          <w:szCs w:val="28"/>
          <w:lang w:val="en-US"/>
        </w:rPr>
        <w:t>COMPONENTS OF GOODS EXPORTS</w:t>
      </w:r>
    </w:p>
    <w:p w:rsidR="00B31CD7" w:rsidRPr="00F45A80" w:rsidRDefault="00B31CD7" w:rsidP="00911D7A">
      <w:pPr>
        <w:spacing w:before="120"/>
        <w:jc w:val="right"/>
        <w:rPr>
          <w:i/>
          <w:noProof/>
          <w:sz w:val="20"/>
          <w:szCs w:val="20"/>
          <w:lang w:val="en-US"/>
        </w:rPr>
      </w:pPr>
      <w:r w:rsidRPr="00F45A80">
        <w:rPr>
          <w:i/>
          <w:noProof/>
          <w:sz w:val="20"/>
          <w:szCs w:val="20"/>
          <w:lang w:val="en-US"/>
        </w:rPr>
        <w:t>(mln. USD)</w:t>
      </w:r>
    </w:p>
    <w:p w:rsidR="00CD7E2E" w:rsidRPr="00F45A80" w:rsidRDefault="00373F87" w:rsidP="0056599C">
      <w:pPr>
        <w:suppressAutoHyphens/>
        <w:spacing w:before="120" w:line="288" w:lineRule="auto"/>
        <w:jc w:val="both"/>
        <w:rPr>
          <w:noProof/>
          <w:sz w:val="26"/>
          <w:szCs w:val="26"/>
          <w:lang w:val="en-US"/>
        </w:rPr>
      </w:pPr>
      <w:r>
        <w:rPr>
          <w:noProof/>
        </w:rPr>
        <w:drawing>
          <wp:inline distT="0" distB="0" distL="0" distR="0" wp14:anchorId="47FD3E5E" wp14:editId="350DDA2F">
            <wp:extent cx="6400800" cy="4180870"/>
            <wp:effectExtent l="0" t="0" r="0" b="1016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65069" w:rsidRDefault="00D65069" w:rsidP="00A1551F">
      <w:pPr>
        <w:tabs>
          <w:tab w:val="left" w:pos="9498"/>
        </w:tabs>
        <w:suppressAutoHyphens/>
        <w:spacing w:before="120" w:line="288" w:lineRule="auto"/>
        <w:ind w:firstLine="709"/>
        <w:jc w:val="both"/>
        <w:rPr>
          <w:noProof/>
          <w:sz w:val="26"/>
          <w:szCs w:val="26"/>
          <w:lang w:val="en-US"/>
        </w:rPr>
      </w:pPr>
    </w:p>
    <w:p w:rsidR="00B31CD7" w:rsidRPr="00147844" w:rsidRDefault="00DC0A6B" w:rsidP="00A1551F">
      <w:pPr>
        <w:tabs>
          <w:tab w:val="left" w:pos="9498"/>
        </w:tabs>
        <w:suppressAutoHyphens/>
        <w:spacing w:before="120" w:line="288" w:lineRule="auto"/>
        <w:ind w:firstLine="709"/>
        <w:jc w:val="both"/>
        <w:rPr>
          <w:noProof/>
          <w:color w:val="2E74B5"/>
          <w:sz w:val="26"/>
          <w:szCs w:val="26"/>
          <w:lang w:val="en-US"/>
        </w:rPr>
      </w:pPr>
      <w:r w:rsidRPr="00147844">
        <w:rPr>
          <w:noProof/>
          <w:sz w:val="26"/>
          <w:szCs w:val="26"/>
          <w:lang w:val="en-US"/>
        </w:rPr>
        <w:lastRenderedPageBreak/>
        <w:t>V</w:t>
      </w:r>
      <w:r w:rsidR="00B12F01" w:rsidRPr="00147844">
        <w:rPr>
          <w:noProof/>
          <w:sz w:val="26"/>
          <w:szCs w:val="26"/>
          <w:lang w:val="en-US"/>
        </w:rPr>
        <w:t>olume of import of goods</w:t>
      </w:r>
      <w:r w:rsidR="002A7452" w:rsidRPr="00147844">
        <w:rPr>
          <w:noProof/>
          <w:sz w:val="26"/>
          <w:szCs w:val="26"/>
          <w:lang w:val="en-US"/>
        </w:rPr>
        <w:t xml:space="preserve"> </w:t>
      </w:r>
      <w:r w:rsidR="00D65069">
        <w:rPr>
          <w:noProof/>
          <w:sz w:val="26"/>
          <w:szCs w:val="26"/>
          <w:lang w:val="en-US"/>
        </w:rPr>
        <w:t>decreased</w:t>
      </w:r>
      <w:r w:rsidRPr="00147844">
        <w:rPr>
          <w:noProof/>
          <w:sz w:val="26"/>
          <w:szCs w:val="26"/>
          <w:lang w:val="en-US"/>
        </w:rPr>
        <w:t xml:space="preserve"> by </w:t>
      </w:r>
      <w:r w:rsidR="007441A5">
        <w:rPr>
          <w:noProof/>
          <w:sz w:val="26"/>
          <w:szCs w:val="26"/>
          <w:lang w:val="en-US"/>
        </w:rPr>
        <w:t>10</w:t>
      </w:r>
      <w:r w:rsidR="009E6DAE" w:rsidRPr="00147844">
        <w:rPr>
          <w:noProof/>
          <w:sz w:val="26"/>
          <w:szCs w:val="26"/>
          <w:lang w:val="en-US"/>
        </w:rPr>
        <w:t>% compared to</w:t>
      </w:r>
      <w:r w:rsidRPr="00147844">
        <w:rPr>
          <w:noProof/>
          <w:sz w:val="26"/>
          <w:szCs w:val="26"/>
          <w:lang w:val="en-US"/>
        </w:rPr>
        <w:t xml:space="preserve"> </w:t>
      </w:r>
      <w:r w:rsidR="00F24DFC" w:rsidRPr="00147844">
        <w:rPr>
          <w:noProof/>
          <w:sz w:val="26"/>
          <w:szCs w:val="26"/>
          <w:lang w:val="en-US"/>
        </w:rPr>
        <w:t>2019</w:t>
      </w:r>
      <w:r w:rsidRPr="00147844">
        <w:rPr>
          <w:noProof/>
          <w:sz w:val="26"/>
          <w:szCs w:val="26"/>
          <w:lang w:val="en-US"/>
        </w:rPr>
        <w:t xml:space="preserve"> </w:t>
      </w:r>
      <w:r w:rsidR="005A1353" w:rsidRPr="00147844">
        <w:rPr>
          <w:noProof/>
          <w:sz w:val="26"/>
          <w:szCs w:val="26"/>
          <w:lang w:val="en-US"/>
        </w:rPr>
        <w:br/>
      </w:r>
      <w:r w:rsidRPr="00147844">
        <w:rPr>
          <w:noProof/>
          <w:sz w:val="26"/>
          <w:szCs w:val="26"/>
          <w:lang w:val="en-US"/>
        </w:rPr>
        <w:t>(</w:t>
      </w:r>
      <w:r w:rsidR="00D65069">
        <w:rPr>
          <w:noProof/>
          <w:sz w:val="26"/>
          <w:szCs w:val="26"/>
          <w:lang w:val="en-US"/>
        </w:rPr>
        <w:t>in</w:t>
      </w:r>
      <w:r w:rsidR="00D175B9" w:rsidRPr="00147844">
        <w:rPr>
          <w:noProof/>
          <w:sz w:val="26"/>
          <w:szCs w:val="26"/>
          <w:lang w:val="en-US"/>
        </w:rPr>
        <w:t xml:space="preserve"> </w:t>
      </w:r>
      <w:r w:rsidRPr="00147844">
        <w:rPr>
          <w:noProof/>
          <w:sz w:val="26"/>
          <w:szCs w:val="26"/>
          <w:lang w:val="en-US"/>
        </w:rPr>
        <w:t xml:space="preserve">2019, an increase </w:t>
      </w:r>
      <w:r w:rsidR="00D65069">
        <w:rPr>
          <w:noProof/>
          <w:sz w:val="26"/>
          <w:szCs w:val="26"/>
          <w:lang w:val="en-US"/>
        </w:rPr>
        <w:t>by</w:t>
      </w:r>
      <w:r w:rsidRPr="00147844">
        <w:rPr>
          <w:noProof/>
          <w:sz w:val="26"/>
          <w:szCs w:val="26"/>
          <w:lang w:val="en-US"/>
        </w:rPr>
        <w:t xml:space="preserve"> </w:t>
      </w:r>
      <w:r w:rsidR="007441A5">
        <w:rPr>
          <w:noProof/>
          <w:sz w:val="26"/>
          <w:szCs w:val="26"/>
          <w:lang w:val="en-US"/>
        </w:rPr>
        <w:t>16</w:t>
      </w:r>
      <w:r w:rsidRPr="00147844">
        <w:rPr>
          <w:noProof/>
          <w:sz w:val="26"/>
          <w:szCs w:val="26"/>
          <w:lang w:val="en-US"/>
        </w:rPr>
        <w:t xml:space="preserve">% was observed) </w:t>
      </w:r>
      <w:r w:rsidR="00040DA5" w:rsidRPr="00147844">
        <w:rPr>
          <w:rFonts w:cs="Calibri"/>
          <w:color w:val="0070C0"/>
          <w:sz w:val="26"/>
          <w:szCs w:val="26"/>
          <w:lang w:val="en-US"/>
        </w:rPr>
        <w:t>(</w:t>
      </w:r>
      <w:r w:rsidR="00B23450" w:rsidRPr="00147844">
        <w:rPr>
          <w:rFonts w:cs="Calibri"/>
          <w:color w:val="0070C0"/>
          <w:sz w:val="26"/>
          <w:szCs w:val="26"/>
          <w:lang w:val="en-US"/>
        </w:rPr>
        <w:t>Figure</w:t>
      </w:r>
      <w:r w:rsidR="00040DA5" w:rsidRPr="00147844">
        <w:rPr>
          <w:rFonts w:cs="Calibri"/>
          <w:color w:val="0070C0"/>
          <w:sz w:val="26"/>
          <w:szCs w:val="26"/>
          <w:lang w:val="en-US"/>
        </w:rPr>
        <w:t xml:space="preserve"> </w:t>
      </w:r>
      <w:r w:rsidR="00710903">
        <w:rPr>
          <w:rFonts w:cs="Calibri"/>
          <w:color w:val="0070C0"/>
          <w:sz w:val="26"/>
          <w:szCs w:val="26"/>
          <w:lang w:val="en-US"/>
        </w:rPr>
        <w:t>4</w:t>
      </w:r>
      <w:r w:rsidR="00040DA5" w:rsidRPr="00147844">
        <w:rPr>
          <w:rFonts w:cs="Calibri"/>
          <w:color w:val="0070C0"/>
          <w:sz w:val="26"/>
          <w:szCs w:val="26"/>
          <w:lang w:val="en-US"/>
        </w:rPr>
        <w:t>)</w:t>
      </w:r>
      <w:r w:rsidR="005A3B6A" w:rsidRPr="00147844">
        <w:rPr>
          <w:rFonts w:cs="Calibri"/>
          <w:color w:val="0070C0"/>
          <w:sz w:val="26"/>
          <w:szCs w:val="26"/>
          <w:lang w:val="en-US"/>
        </w:rPr>
        <w:t>.</w:t>
      </w:r>
    </w:p>
    <w:p w:rsidR="00DC0A6B" w:rsidRPr="00147844" w:rsidRDefault="00DC0A6B" w:rsidP="00B31CD7">
      <w:pPr>
        <w:jc w:val="right"/>
        <w:rPr>
          <w:rFonts w:cs="Calibri"/>
          <w:noProof/>
          <w:lang w:val="en-US"/>
        </w:rPr>
      </w:pPr>
    </w:p>
    <w:p w:rsidR="00B31CD7" w:rsidRPr="00147844" w:rsidRDefault="00B23450" w:rsidP="00B31CD7">
      <w:pPr>
        <w:jc w:val="right"/>
        <w:rPr>
          <w:rFonts w:cs="Calibri"/>
          <w:noProof/>
          <w:lang w:val="en-US"/>
        </w:rPr>
      </w:pPr>
      <w:r w:rsidRPr="00147844">
        <w:rPr>
          <w:rFonts w:cs="Calibri"/>
          <w:noProof/>
          <w:lang w:val="en-US"/>
        </w:rPr>
        <w:t>Figure</w:t>
      </w:r>
      <w:r w:rsidR="00CC154F" w:rsidRPr="00147844">
        <w:rPr>
          <w:rFonts w:cs="Calibri"/>
          <w:noProof/>
          <w:lang w:val="en-US"/>
        </w:rPr>
        <w:t xml:space="preserve"> </w:t>
      </w:r>
      <w:r w:rsidR="00710903">
        <w:rPr>
          <w:rFonts w:cs="Calibri"/>
          <w:noProof/>
          <w:lang w:val="en-US"/>
        </w:rPr>
        <w:t>4</w:t>
      </w:r>
    </w:p>
    <w:p w:rsidR="00B31CD7" w:rsidRPr="00F45A80" w:rsidRDefault="004619C5" w:rsidP="00911D7A">
      <w:pPr>
        <w:spacing w:before="120"/>
        <w:jc w:val="center"/>
        <w:rPr>
          <w:b/>
          <w:noProof/>
          <w:sz w:val="28"/>
          <w:szCs w:val="28"/>
          <w:lang w:val="en-US"/>
        </w:rPr>
      </w:pPr>
      <w:r w:rsidRPr="00352A51">
        <w:rPr>
          <w:b/>
          <w:noProof/>
          <w:sz w:val="28"/>
          <w:szCs w:val="28"/>
          <w:lang w:val="en-US"/>
        </w:rPr>
        <w:t>COMPONENTS OF GOODS IMPORTS</w:t>
      </w:r>
    </w:p>
    <w:p w:rsidR="00B31CD7" w:rsidRPr="00F45A80" w:rsidRDefault="00B31CD7" w:rsidP="00911D7A">
      <w:pPr>
        <w:spacing w:before="120"/>
        <w:jc w:val="right"/>
        <w:rPr>
          <w:i/>
          <w:noProof/>
          <w:sz w:val="20"/>
          <w:szCs w:val="20"/>
          <w:lang w:val="en-US"/>
        </w:rPr>
      </w:pPr>
      <w:r w:rsidRPr="00F45A80">
        <w:rPr>
          <w:i/>
          <w:noProof/>
          <w:sz w:val="20"/>
          <w:szCs w:val="20"/>
          <w:lang w:val="en-US"/>
        </w:rPr>
        <w:t>(mln. USD)</w:t>
      </w:r>
    </w:p>
    <w:p w:rsidR="00B31CD7" w:rsidRPr="00F45A80" w:rsidRDefault="00710903" w:rsidP="00B31CD7">
      <w:pPr>
        <w:jc w:val="center"/>
        <w:rPr>
          <w:b/>
          <w:noProof/>
          <w:sz w:val="28"/>
          <w:szCs w:val="28"/>
          <w:lang w:val="en-US"/>
        </w:rPr>
      </w:pPr>
      <w:r>
        <w:rPr>
          <w:noProof/>
        </w:rPr>
        <w:drawing>
          <wp:inline distT="0" distB="0" distL="0" distR="0" wp14:anchorId="26DA49C1" wp14:editId="4A0FE4E7">
            <wp:extent cx="6341110" cy="4080681"/>
            <wp:effectExtent l="0" t="0" r="2540" b="1524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E0C24" w:rsidRPr="00147844" w:rsidRDefault="00DC0A6B" w:rsidP="00B12F01">
      <w:pPr>
        <w:tabs>
          <w:tab w:val="left" w:pos="9356"/>
        </w:tabs>
        <w:spacing w:before="120" w:line="288" w:lineRule="auto"/>
        <w:ind w:firstLine="709"/>
        <w:jc w:val="both"/>
        <w:rPr>
          <w:rFonts w:cs="Calibri"/>
          <w:sz w:val="26"/>
          <w:szCs w:val="26"/>
          <w:lang w:val="en-US"/>
        </w:rPr>
      </w:pPr>
      <w:r w:rsidRPr="00147844">
        <w:rPr>
          <w:rFonts w:cs="Calibri"/>
          <w:sz w:val="26"/>
          <w:szCs w:val="26"/>
          <w:lang w:val="en-US"/>
        </w:rPr>
        <w:t xml:space="preserve">Moreover, </w:t>
      </w:r>
      <w:r w:rsidR="00D175B9" w:rsidRPr="00147844">
        <w:rPr>
          <w:rFonts w:cs="Calibri"/>
          <w:sz w:val="26"/>
          <w:szCs w:val="26"/>
          <w:lang w:val="en-US"/>
        </w:rPr>
        <w:t xml:space="preserve">for </w:t>
      </w:r>
      <w:r w:rsidR="00BC6B9A" w:rsidRPr="00147844">
        <w:rPr>
          <w:rFonts w:cs="Calibri"/>
          <w:sz w:val="26"/>
          <w:szCs w:val="26"/>
          <w:lang w:val="en-US"/>
        </w:rPr>
        <w:t>2020</w:t>
      </w:r>
      <w:r w:rsidR="00845CA8" w:rsidRPr="00147844">
        <w:rPr>
          <w:rFonts w:cs="Calibri"/>
          <w:sz w:val="26"/>
          <w:szCs w:val="26"/>
          <w:lang w:val="en-US"/>
        </w:rPr>
        <w:t xml:space="preserve">, </w:t>
      </w:r>
      <w:r w:rsidR="00BC6B9A" w:rsidRPr="00147844">
        <w:rPr>
          <w:rFonts w:cs="Calibri"/>
          <w:sz w:val="26"/>
          <w:szCs w:val="26"/>
          <w:lang w:val="en-US"/>
        </w:rPr>
        <w:t>7</w:t>
      </w:r>
      <w:r w:rsidR="00D175B9" w:rsidRPr="00147844">
        <w:rPr>
          <w:rFonts w:cs="Calibri"/>
          <w:sz w:val="26"/>
          <w:szCs w:val="26"/>
          <w:lang w:val="en-US"/>
        </w:rPr>
        <w:t>7</w:t>
      </w:r>
      <w:r w:rsidR="00B12F01" w:rsidRPr="00147844">
        <w:rPr>
          <w:rFonts w:cs="Calibri"/>
          <w:sz w:val="26"/>
          <w:szCs w:val="26"/>
          <w:lang w:val="en-US"/>
        </w:rPr>
        <w:t>% of total exports of goods</w:t>
      </w:r>
      <w:r w:rsidR="00633CBD" w:rsidRPr="00147844">
        <w:rPr>
          <w:rFonts w:cs="Calibri"/>
          <w:sz w:val="26"/>
          <w:szCs w:val="26"/>
          <w:lang w:val="en-US"/>
        </w:rPr>
        <w:t xml:space="preserve"> </w:t>
      </w:r>
      <w:r w:rsidR="00633CBD" w:rsidRPr="00147844">
        <w:rPr>
          <w:sz w:val="26"/>
          <w:szCs w:val="26"/>
          <w:lang w:val="uz-Cyrl-UZ"/>
        </w:rPr>
        <w:t>(</w:t>
      </w:r>
      <w:r w:rsidR="00633CBD" w:rsidRPr="00147844">
        <w:rPr>
          <w:i/>
          <w:sz w:val="26"/>
          <w:szCs w:val="26"/>
          <w:lang w:val="uz-Cyrl-UZ"/>
        </w:rPr>
        <w:t>excluding non-monetary gold</w:t>
      </w:r>
      <w:r w:rsidR="00633CBD" w:rsidRPr="00147844">
        <w:rPr>
          <w:sz w:val="26"/>
          <w:szCs w:val="26"/>
          <w:lang w:val="uz-Cyrl-UZ"/>
        </w:rPr>
        <w:t>)</w:t>
      </w:r>
      <w:r w:rsidR="00B12F01" w:rsidRPr="00147844">
        <w:rPr>
          <w:rFonts w:cs="Calibri"/>
          <w:sz w:val="26"/>
          <w:szCs w:val="26"/>
          <w:lang w:val="en-US"/>
        </w:rPr>
        <w:t xml:space="preserve"> </w:t>
      </w:r>
      <w:r w:rsidR="00AB1D26" w:rsidRPr="00147844">
        <w:rPr>
          <w:rFonts w:cs="Calibri"/>
          <w:sz w:val="26"/>
          <w:szCs w:val="26"/>
          <w:lang w:val="en-US"/>
        </w:rPr>
        <w:t xml:space="preserve">accounted for </w:t>
      </w:r>
      <w:r w:rsidR="003D0AE6" w:rsidRPr="00147844">
        <w:rPr>
          <w:rFonts w:cs="Calibri"/>
          <w:sz w:val="26"/>
          <w:szCs w:val="26"/>
          <w:lang w:val="en-US"/>
        </w:rPr>
        <w:t>six countries such as</w:t>
      </w:r>
      <w:r w:rsidR="00633CBD" w:rsidRPr="00147844">
        <w:rPr>
          <w:sz w:val="26"/>
          <w:szCs w:val="26"/>
          <w:lang w:val="uz-Cyrl-UZ"/>
        </w:rPr>
        <w:t xml:space="preserve"> </w:t>
      </w:r>
      <w:r w:rsidR="00CB0492" w:rsidRPr="00147844">
        <w:rPr>
          <w:sz w:val="26"/>
          <w:szCs w:val="26"/>
          <w:lang w:val="en-US"/>
        </w:rPr>
        <w:t>China</w:t>
      </w:r>
      <w:r w:rsidR="00742B19" w:rsidRPr="00147844">
        <w:rPr>
          <w:sz w:val="26"/>
          <w:szCs w:val="26"/>
          <w:lang w:val="en-US"/>
        </w:rPr>
        <w:t xml:space="preserve"> – 19, </w:t>
      </w:r>
      <w:r w:rsidR="00633CBD" w:rsidRPr="00147844">
        <w:rPr>
          <w:sz w:val="26"/>
          <w:szCs w:val="26"/>
          <w:lang w:val="uz-Cyrl-UZ"/>
        </w:rPr>
        <w:t>Russia</w:t>
      </w:r>
      <w:r w:rsidR="003D0AE6" w:rsidRPr="00147844">
        <w:rPr>
          <w:sz w:val="26"/>
          <w:szCs w:val="26"/>
          <w:lang w:val="en-US"/>
        </w:rPr>
        <w:t xml:space="preserve"> </w:t>
      </w:r>
      <w:r w:rsidR="00CB0492" w:rsidRPr="00147844">
        <w:rPr>
          <w:sz w:val="26"/>
          <w:szCs w:val="26"/>
          <w:lang w:val="en-US"/>
        </w:rPr>
        <w:t>- 1</w:t>
      </w:r>
      <w:r w:rsidR="00742B19" w:rsidRPr="00147844">
        <w:rPr>
          <w:sz w:val="26"/>
          <w:szCs w:val="26"/>
          <w:lang w:val="en-US"/>
        </w:rPr>
        <w:t>7</w:t>
      </w:r>
      <w:r w:rsidR="00CB0492" w:rsidRPr="00147844">
        <w:rPr>
          <w:sz w:val="26"/>
          <w:szCs w:val="26"/>
          <w:lang w:val="en-US"/>
        </w:rPr>
        <w:t>%</w:t>
      </w:r>
      <w:r w:rsidR="00633CBD" w:rsidRPr="00147844">
        <w:rPr>
          <w:sz w:val="26"/>
          <w:szCs w:val="26"/>
          <w:lang w:val="uz-Cyrl-UZ"/>
        </w:rPr>
        <w:t>,</w:t>
      </w:r>
      <w:r w:rsidR="003D0AE6" w:rsidRPr="00147844">
        <w:rPr>
          <w:sz w:val="26"/>
          <w:szCs w:val="26"/>
          <w:lang w:val="uz-Cyrl-UZ"/>
        </w:rPr>
        <w:t xml:space="preserve"> </w:t>
      </w:r>
      <w:r w:rsidR="00633CBD" w:rsidRPr="00147844">
        <w:rPr>
          <w:sz w:val="26"/>
          <w:szCs w:val="26"/>
          <w:lang w:val="uz-Cyrl-UZ"/>
        </w:rPr>
        <w:t>Turkey</w:t>
      </w:r>
      <w:r w:rsidR="00CB0492" w:rsidRPr="00147844">
        <w:rPr>
          <w:sz w:val="26"/>
          <w:szCs w:val="26"/>
          <w:lang w:val="en-US"/>
        </w:rPr>
        <w:t xml:space="preserve"> -</w:t>
      </w:r>
      <w:r w:rsidR="003D0AE6" w:rsidRPr="00147844">
        <w:rPr>
          <w:sz w:val="26"/>
          <w:szCs w:val="26"/>
          <w:lang w:val="en-US"/>
        </w:rPr>
        <w:t xml:space="preserve"> </w:t>
      </w:r>
      <w:r w:rsidR="00CB0492" w:rsidRPr="00147844">
        <w:rPr>
          <w:sz w:val="26"/>
          <w:szCs w:val="26"/>
          <w:lang w:val="uz-Cyrl-UZ"/>
        </w:rPr>
        <w:t>1</w:t>
      </w:r>
      <w:r w:rsidR="00FD34B6">
        <w:rPr>
          <w:sz w:val="26"/>
          <w:szCs w:val="26"/>
          <w:lang w:val="en-US"/>
        </w:rPr>
        <w:t>4</w:t>
      </w:r>
      <w:r w:rsidR="003D0AE6" w:rsidRPr="00147844">
        <w:rPr>
          <w:sz w:val="26"/>
          <w:szCs w:val="26"/>
          <w:lang w:val="uz-Cyrl-UZ"/>
        </w:rPr>
        <w:t>%</w:t>
      </w:r>
      <w:r w:rsidR="00633CBD" w:rsidRPr="00147844">
        <w:rPr>
          <w:sz w:val="26"/>
          <w:szCs w:val="26"/>
          <w:lang w:val="uz-Cyrl-UZ"/>
        </w:rPr>
        <w:t>, Kazakhstan</w:t>
      </w:r>
      <w:r w:rsidR="003D0AE6" w:rsidRPr="00147844">
        <w:rPr>
          <w:sz w:val="26"/>
          <w:szCs w:val="26"/>
          <w:lang w:val="en-US"/>
        </w:rPr>
        <w:t xml:space="preserve"> </w:t>
      </w:r>
      <w:r w:rsidR="00CB0492" w:rsidRPr="00147844">
        <w:rPr>
          <w:sz w:val="26"/>
          <w:szCs w:val="26"/>
          <w:lang w:val="en-US"/>
        </w:rPr>
        <w:t>and</w:t>
      </w:r>
      <w:r w:rsidR="003D0AE6" w:rsidRPr="00147844">
        <w:rPr>
          <w:sz w:val="26"/>
          <w:szCs w:val="26"/>
          <w:lang w:val="uz-Cyrl-UZ"/>
        </w:rPr>
        <w:t xml:space="preserve"> </w:t>
      </w:r>
      <w:r w:rsidR="00633CBD" w:rsidRPr="00147844">
        <w:rPr>
          <w:sz w:val="26"/>
          <w:szCs w:val="26"/>
          <w:lang w:val="uz-Cyrl-UZ"/>
        </w:rPr>
        <w:t>Kyrgyzstan</w:t>
      </w:r>
      <w:r w:rsidR="00CB0492" w:rsidRPr="00147844">
        <w:rPr>
          <w:sz w:val="26"/>
          <w:szCs w:val="26"/>
          <w:lang w:val="en-US"/>
        </w:rPr>
        <w:t xml:space="preserve"> </w:t>
      </w:r>
      <w:r w:rsidR="00586026">
        <w:rPr>
          <w:sz w:val="26"/>
          <w:szCs w:val="26"/>
          <w:lang w:val="en-US"/>
        </w:rPr>
        <w:t xml:space="preserve">– </w:t>
      </w:r>
      <w:r w:rsidR="00742B19" w:rsidRPr="00147844">
        <w:rPr>
          <w:sz w:val="26"/>
          <w:szCs w:val="26"/>
          <w:lang w:val="en-US"/>
        </w:rPr>
        <w:t>1</w:t>
      </w:r>
      <w:r w:rsidR="00FD34B6">
        <w:rPr>
          <w:sz w:val="26"/>
          <w:szCs w:val="26"/>
          <w:lang w:val="en-US"/>
        </w:rPr>
        <w:t>0</w:t>
      </w:r>
      <w:r w:rsidR="003D0AE6" w:rsidRPr="00147844">
        <w:rPr>
          <w:sz w:val="26"/>
          <w:szCs w:val="26"/>
          <w:lang w:val="uz-Cyrl-UZ"/>
        </w:rPr>
        <w:t>%</w:t>
      </w:r>
      <w:r w:rsidR="00CB0492" w:rsidRPr="00147844">
        <w:rPr>
          <w:sz w:val="26"/>
          <w:szCs w:val="26"/>
          <w:lang w:val="en-US"/>
        </w:rPr>
        <w:t xml:space="preserve"> </w:t>
      </w:r>
      <w:r w:rsidR="00AB1D26" w:rsidRPr="00147844">
        <w:rPr>
          <w:sz w:val="26"/>
          <w:szCs w:val="26"/>
          <w:lang w:val="en-US"/>
        </w:rPr>
        <w:t xml:space="preserve">for </w:t>
      </w:r>
      <w:r w:rsidR="00CB0492" w:rsidRPr="00147844">
        <w:rPr>
          <w:sz w:val="26"/>
          <w:szCs w:val="26"/>
          <w:lang w:val="en-US"/>
        </w:rPr>
        <w:t>each</w:t>
      </w:r>
      <w:r w:rsidR="003D0AE6" w:rsidRPr="00147844">
        <w:rPr>
          <w:sz w:val="26"/>
          <w:szCs w:val="26"/>
          <w:lang w:val="uz-Cyrl-UZ"/>
        </w:rPr>
        <w:t xml:space="preserve"> and </w:t>
      </w:r>
      <w:r w:rsidR="00633CBD" w:rsidRPr="00147844">
        <w:rPr>
          <w:sz w:val="26"/>
          <w:szCs w:val="26"/>
          <w:lang w:val="uz-Cyrl-UZ"/>
        </w:rPr>
        <w:t>Afghanista</w:t>
      </w:r>
      <w:r w:rsidR="00633CBD" w:rsidRPr="00147844">
        <w:rPr>
          <w:sz w:val="26"/>
          <w:szCs w:val="26"/>
          <w:lang w:val="en-US"/>
        </w:rPr>
        <w:t>n</w:t>
      </w:r>
      <w:r w:rsidR="003D0AE6" w:rsidRPr="00147844">
        <w:rPr>
          <w:sz w:val="26"/>
          <w:szCs w:val="26"/>
          <w:lang w:val="en-US"/>
        </w:rPr>
        <w:t xml:space="preserve"> </w:t>
      </w:r>
      <w:r w:rsidR="00CB0492" w:rsidRPr="00147844">
        <w:rPr>
          <w:sz w:val="26"/>
          <w:szCs w:val="26"/>
          <w:lang w:val="en-US"/>
        </w:rPr>
        <w:t xml:space="preserve">- </w:t>
      </w:r>
      <w:r w:rsidR="003D0AE6" w:rsidRPr="00147844">
        <w:rPr>
          <w:sz w:val="26"/>
          <w:szCs w:val="26"/>
          <w:lang w:val="uz-Cyrl-UZ"/>
        </w:rPr>
        <w:t>6%</w:t>
      </w:r>
      <w:r w:rsidR="003D0AE6" w:rsidRPr="00147844">
        <w:rPr>
          <w:rFonts w:cs="Calibri"/>
          <w:sz w:val="26"/>
          <w:szCs w:val="26"/>
          <w:lang w:val="en-US"/>
        </w:rPr>
        <w:t xml:space="preserve"> </w:t>
      </w:r>
      <w:r w:rsidR="00353A26" w:rsidRPr="00147844">
        <w:rPr>
          <w:rFonts w:cs="Calibri"/>
          <w:color w:val="0070C0"/>
          <w:sz w:val="26"/>
          <w:szCs w:val="26"/>
          <w:lang w:val="en-US"/>
        </w:rPr>
        <w:t>(</w:t>
      </w:r>
      <w:r w:rsidR="00B23450" w:rsidRPr="00147844">
        <w:rPr>
          <w:rFonts w:cs="Calibri"/>
          <w:color w:val="0070C0"/>
          <w:sz w:val="26"/>
          <w:szCs w:val="26"/>
          <w:lang w:val="en-US"/>
        </w:rPr>
        <w:t>Figure</w:t>
      </w:r>
      <w:r w:rsidR="00353A26" w:rsidRPr="00147844">
        <w:rPr>
          <w:rFonts w:cs="Calibri"/>
          <w:color w:val="0070C0"/>
          <w:sz w:val="26"/>
          <w:szCs w:val="26"/>
          <w:lang w:val="en-US"/>
        </w:rPr>
        <w:t xml:space="preserve"> </w:t>
      </w:r>
      <w:r w:rsidR="00710903">
        <w:rPr>
          <w:rFonts w:cs="Calibri"/>
          <w:color w:val="0070C0"/>
          <w:sz w:val="26"/>
          <w:szCs w:val="26"/>
          <w:lang w:val="en-US"/>
        </w:rPr>
        <w:t>5</w:t>
      </w:r>
      <w:r w:rsidR="00353A26" w:rsidRPr="00147844">
        <w:rPr>
          <w:rFonts w:cs="Calibri"/>
          <w:color w:val="0070C0"/>
          <w:sz w:val="26"/>
          <w:szCs w:val="26"/>
          <w:lang w:val="en-US"/>
        </w:rPr>
        <w:t>)</w:t>
      </w:r>
      <w:r w:rsidR="0073015C" w:rsidRPr="00147844">
        <w:rPr>
          <w:rFonts w:cs="Calibri"/>
          <w:color w:val="0070C0"/>
          <w:sz w:val="26"/>
          <w:szCs w:val="26"/>
          <w:lang w:val="en-US"/>
        </w:rPr>
        <w:t>.</w:t>
      </w:r>
    </w:p>
    <w:p w:rsidR="00BC6B9A" w:rsidRPr="00147844" w:rsidRDefault="00084641" w:rsidP="00633CBD">
      <w:pPr>
        <w:tabs>
          <w:tab w:val="left" w:pos="9498"/>
        </w:tabs>
        <w:spacing w:before="120" w:line="288" w:lineRule="auto"/>
        <w:ind w:firstLine="709"/>
        <w:jc w:val="both"/>
        <w:rPr>
          <w:sz w:val="26"/>
          <w:szCs w:val="26"/>
          <w:lang w:val="en-US"/>
        </w:rPr>
      </w:pPr>
      <w:r w:rsidRPr="00147844">
        <w:rPr>
          <w:sz w:val="26"/>
          <w:szCs w:val="26"/>
          <w:lang w:val="en-US"/>
        </w:rPr>
        <w:t>At the same time</w:t>
      </w:r>
      <w:r w:rsidR="00BC6B9A" w:rsidRPr="00147844">
        <w:rPr>
          <w:sz w:val="26"/>
          <w:szCs w:val="26"/>
          <w:lang w:val="en-US"/>
        </w:rPr>
        <w:t xml:space="preserve">, </w:t>
      </w:r>
      <w:r w:rsidR="00D97086" w:rsidRPr="00147844">
        <w:rPr>
          <w:sz w:val="26"/>
          <w:szCs w:val="26"/>
          <w:lang w:val="uz-Cyrl-UZ"/>
        </w:rPr>
        <w:t xml:space="preserve">the group of goods </w:t>
      </w:r>
      <w:r w:rsidR="00D97086" w:rsidRPr="00147844">
        <w:rPr>
          <w:sz w:val="26"/>
          <w:szCs w:val="26"/>
          <w:lang w:val="en-US"/>
        </w:rPr>
        <w:t>«</w:t>
      </w:r>
      <w:r w:rsidR="00633CBD" w:rsidRPr="00147844">
        <w:rPr>
          <w:sz w:val="26"/>
          <w:szCs w:val="26"/>
          <w:lang w:val="uz-Cyrl-UZ"/>
        </w:rPr>
        <w:t>precious metals and stones</w:t>
      </w:r>
      <w:r w:rsidR="00D97086" w:rsidRPr="00147844">
        <w:rPr>
          <w:sz w:val="26"/>
          <w:szCs w:val="26"/>
          <w:lang w:val="en-US"/>
        </w:rPr>
        <w:t>»</w:t>
      </w:r>
      <w:r w:rsidR="00633CBD" w:rsidRPr="00147844">
        <w:rPr>
          <w:sz w:val="26"/>
          <w:szCs w:val="26"/>
          <w:lang w:val="uz-Cyrl-UZ"/>
        </w:rPr>
        <w:t xml:space="preserve"> occupied </w:t>
      </w:r>
      <w:r w:rsidR="00EB7948">
        <w:rPr>
          <w:sz w:val="26"/>
          <w:szCs w:val="26"/>
          <w:lang w:val="uz-Cyrl-UZ"/>
        </w:rPr>
        <w:br/>
      </w:r>
      <w:r w:rsidR="00633CBD" w:rsidRPr="00147844">
        <w:rPr>
          <w:sz w:val="26"/>
          <w:szCs w:val="26"/>
          <w:lang w:val="uz-Cyrl-UZ"/>
        </w:rPr>
        <w:t>a significant share in the structure of export of goods –</w:t>
      </w:r>
      <w:r w:rsidR="00633CBD" w:rsidRPr="00147844">
        <w:rPr>
          <w:sz w:val="26"/>
          <w:szCs w:val="26"/>
          <w:lang w:val="en-US"/>
        </w:rPr>
        <w:t xml:space="preserve"> </w:t>
      </w:r>
      <w:r w:rsidR="00CB0492" w:rsidRPr="00147844">
        <w:rPr>
          <w:sz w:val="26"/>
          <w:szCs w:val="26"/>
          <w:lang w:val="uz-Cyrl-UZ"/>
        </w:rPr>
        <w:t xml:space="preserve">USD </w:t>
      </w:r>
      <w:r w:rsidR="00742B19" w:rsidRPr="00147844">
        <w:rPr>
          <w:sz w:val="26"/>
          <w:szCs w:val="26"/>
          <w:lang w:val="en-US"/>
        </w:rPr>
        <w:t>5</w:t>
      </w:r>
      <w:r w:rsidR="00633CBD" w:rsidRPr="00147844">
        <w:rPr>
          <w:sz w:val="26"/>
          <w:szCs w:val="26"/>
          <w:lang w:val="uz-Cyrl-UZ"/>
        </w:rPr>
        <w:t>.</w:t>
      </w:r>
      <w:r w:rsidR="00742B19" w:rsidRPr="00147844">
        <w:rPr>
          <w:sz w:val="26"/>
          <w:szCs w:val="26"/>
          <w:lang w:val="en-US"/>
        </w:rPr>
        <w:t>9</w:t>
      </w:r>
      <w:r w:rsidR="00633CBD" w:rsidRPr="00147844">
        <w:rPr>
          <w:sz w:val="26"/>
          <w:szCs w:val="26"/>
          <w:lang w:val="uz-Cyrl-UZ"/>
        </w:rPr>
        <w:t xml:space="preserve"> billion (</w:t>
      </w:r>
      <w:r w:rsidR="00633CBD" w:rsidRPr="00147844">
        <w:rPr>
          <w:i/>
          <w:sz w:val="26"/>
          <w:szCs w:val="26"/>
          <w:lang w:val="uz-Cyrl-UZ"/>
        </w:rPr>
        <w:t xml:space="preserve">USD </w:t>
      </w:r>
      <w:r w:rsidR="00FD34B6">
        <w:rPr>
          <w:i/>
          <w:sz w:val="26"/>
          <w:szCs w:val="26"/>
          <w:lang w:val="en-US"/>
        </w:rPr>
        <w:t>5</w:t>
      </w:r>
      <w:r w:rsidR="00633CBD" w:rsidRPr="00147844">
        <w:rPr>
          <w:i/>
          <w:sz w:val="26"/>
          <w:szCs w:val="26"/>
          <w:lang w:val="uz-Cyrl-UZ"/>
        </w:rPr>
        <w:t>.</w:t>
      </w:r>
      <w:r w:rsidR="00742B19" w:rsidRPr="00147844">
        <w:rPr>
          <w:i/>
          <w:sz w:val="26"/>
          <w:szCs w:val="26"/>
          <w:lang w:val="en-US"/>
        </w:rPr>
        <w:t>1</w:t>
      </w:r>
      <w:r w:rsidR="00633CBD" w:rsidRPr="00147844">
        <w:rPr>
          <w:i/>
          <w:sz w:val="26"/>
          <w:szCs w:val="26"/>
          <w:lang w:val="uz-Cyrl-UZ"/>
        </w:rPr>
        <w:t xml:space="preserve"> billion </w:t>
      </w:r>
      <w:r w:rsidR="00742B19" w:rsidRPr="00147844">
        <w:rPr>
          <w:i/>
          <w:sz w:val="26"/>
          <w:szCs w:val="26"/>
          <w:lang w:val="en-US"/>
        </w:rPr>
        <w:t xml:space="preserve">for </w:t>
      </w:r>
      <w:r w:rsidRPr="00147844">
        <w:rPr>
          <w:i/>
          <w:sz w:val="26"/>
          <w:szCs w:val="26"/>
          <w:lang w:val="en-US"/>
        </w:rPr>
        <w:br/>
      </w:r>
      <w:r w:rsidR="00633CBD" w:rsidRPr="00147844">
        <w:rPr>
          <w:i/>
          <w:sz w:val="26"/>
          <w:szCs w:val="26"/>
          <w:lang w:val="uz-Cyrl-UZ"/>
        </w:rPr>
        <w:t>2019</w:t>
      </w:r>
      <w:r w:rsidR="00D97086" w:rsidRPr="00147844">
        <w:rPr>
          <w:sz w:val="26"/>
          <w:szCs w:val="26"/>
          <w:lang w:val="uz-Cyrl-UZ"/>
        </w:rPr>
        <w:t xml:space="preserve">), </w:t>
      </w:r>
      <w:r w:rsidR="00D97086" w:rsidRPr="00147844">
        <w:rPr>
          <w:sz w:val="26"/>
          <w:szCs w:val="26"/>
          <w:lang w:val="en-US"/>
        </w:rPr>
        <w:t>«</w:t>
      </w:r>
      <w:r w:rsidR="00633CBD" w:rsidRPr="00147844">
        <w:rPr>
          <w:sz w:val="26"/>
          <w:szCs w:val="26"/>
          <w:lang w:val="uz-Cyrl-UZ"/>
        </w:rPr>
        <w:t>textiles and textile p</w:t>
      </w:r>
      <w:r w:rsidR="00D97086" w:rsidRPr="00147844">
        <w:rPr>
          <w:sz w:val="26"/>
          <w:szCs w:val="26"/>
          <w:lang w:val="uz-Cyrl-UZ"/>
        </w:rPr>
        <w:t>roducts</w:t>
      </w:r>
      <w:r w:rsidR="00D97086" w:rsidRPr="00147844">
        <w:rPr>
          <w:sz w:val="26"/>
          <w:szCs w:val="26"/>
          <w:lang w:val="en-US"/>
        </w:rPr>
        <w:t xml:space="preserve">» </w:t>
      </w:r>
      <w:r w:rsidR="00633CBD" w:rsidRPr="00147844">
        <w:rPr>
          <w:sz w:val="26"/>
          <w:szCs w:val="26"/>
          <w:lang w:val="uz-Cyrl-UZ"/>
        </w:rPr>
        <w:t xml:space="preserve">– USD </w:t>
      </w:r>
      <w:r w:rsidR="00C825EA">
        <w:rPr>
          <w:sz w:val="26"/>
          <w:szCs w:val="26"/>
          <w:lang w:val="en-US"/>
        </w:rPr>
        <w:t>2</w:t>
      </w:r>
      <w:r w:rsidR="00633CBD" w:rsidRPr="00147844">
        <w:rPr>
          <w:sz w:val="26"/>
          <w:szCs w:val="26"/>
          <w:lang w:val="uz-Cyrl-UZ"/>
        </w:rPr>
        <w:t>.</w:t>
      </w:r>
      <w:r w:rsidR="00C825EA">
        <w:rPr>
          <w:sz w:val="26"/>
          <w:szCs w:val="26"/>
          <w:lang w:val="en-US"/>
        </w:rPr>
        <w:t>1</w:t>
      </w:r>
      <w:r w:rsidR="00633CBD" w:rsidRPr="00147844">
        <w:rPr>
          <w:sz w:val="26"/>
          <w:szCs w:val="26"/>
          <w:lang w:val="uz-Cyrl-UZ"/>
        </w:rPr>
        <w:t xml:space="preserve"> </w:t>
      </w:r>
      <w:r w:rsidR="0000491C" w:rsidRPr="00147844">
        <w:rPr>
          <w:sz w:val="26"/>
          <w:szCs w:val="26"/>
          <w:lang w:val="uz-Cyrl-UZ"/>
        </w:rPr>
        <w:t>billion</w:t>
      </w:r>
      <w:r w:rsidR="00633CBD" w:rsidRPr="00147844">
        <w:rPr>
          <w:sz w:val="26"/>
          <w:szCs w:val="26"/>
          <w:lang w:val="uz-Cyrl-UZ"/>
        </w:rPr>
        <w:t xml:space="preserve"> (</w:t>
      </w:r>
      <w:r w:rsidR="00633CBD" w:rsidRPr="00147844">
        <w:rPr>
          <w:i/>
          <w:sz w:val="26"/>
          <w:szCs w:val="26"/>
          <w:lang w:val="uz-Cyrl-UZ"/>
        </w:rPr>
        <w:t xml:space="preserve">USD </w:t>
      </w:r>
      <w:r w:rsidR="00B17BC4">
        <w:rPr>
          <w:i/>
          <w:sz w:val="26"/>
          <w:szCs w:val="26"/>
          <w:lang w:val="en-US"/>
        </w:rPr>
        <w:t>2</w:t>
      </w:r>
      <w:r w:rsidR="00CB0492" w:rsidRPr="00147844">
        <w:rPr>
          <w:i/>
          <w:sz w:val="26"/>
          <w:szCs w:val="26"/>
          <w:lang w:val="en-US"/>
        </w:rPr>
        <w:t>.</w:t>
      </w:r>
      <w:r w:rsidR="00B17BC4">
        <w:rPr>
          <w:i/>
          <w:sz w:val="26"/>
          <w:szCs w:val="26"/>
          <w:lang w:val="en-US"/>
        </w:rPr>
        <w:t>0</w:t>
      </w:r>
      <w:r w:rsidR="00D97086" w:rsidRPr="00147844">
        <w:rPr>
          <w:i/>
          <w:sz w:val="26"/>
          <w:szCs w:val="26"/>
          <w:lang w:val="uz-Cyrl-UZ"/>
        </w:rPr>
        <w:t xml:space="preserve"> </w:t>
      </w:r>
      <w:r w:rsidR="00CB0492" w:rsidRPr="00147844">
        <w:rPr>
          <w:i/>
          <w:sz w:val="26"/>
          <w:szCs w:val="26"/>
          <w:lang w:val="en-US"/>
        </w:rPr>
        <w:t>b</w:t>
      </w:r>
      <w:r w:rsidR="00D97086" w:rsidRPr="00147844">
        <w:rPr>
          <w:i/>
          <w:sz w:val="26"/>
          <w:szCs w:val="26"/>
          <w:lang w:val="uz-Cyrl-UZ"/>
        </w:rPr>
        <w:t xml:space="preserve">illion </w:t>
      </w:r>
      <w:r w:rsidR="0000491C" w:rsidRPr="00147844">
        <w:rPr>
          <w:i/>
          <w:sz w:val="26"/>
          <w:szCs w:val="26"/>
          <w:lang w:val="en-US"/>
        </w:rPr>
        <w:t xml:space="preserve">for </w:t>
      </w:r>
      <w:r w:rsidR="00633CBD" w:rsidRPr="00147844">
        <w:rPr>
          <w:i/>
          <w:sz w:val="26"/>
          <w:szCs w:val="26"/>
          <w:lang w:val="uz-Cyrl-UZ"/>
        </w:rPr>
        <w:t>2019</w:t>
      </w:r>
      <w:r w:rsidR="00D97086" w:rsidRPr="00147844">
        <w:rPr>
          <w:sz w:val="26"/>
          <w:szCs w:val="26"/>
          <w:lang w:val="uz-Cyrl-UZ"/>
        </w:rPr>
        <w:t>),</w:t>
      </w:r>
      <w:r w:rsidR="00CB0492" w:rsidRPr="00147844">
        <w:rPr>
          <w:sz w:val="26"/>
          <w:szCs w:val="26"/>
          <w:lang w:val="en-US"/>
        </w:rPr>
        <w:t xml:space="preserve"> «</w:t>
      </w:r>
      <w:r w:rsidR="00D232B3">
        <w:rPr>
          <w:sz w:val="26"/>
          <w:szCs w:val="26"/>
          <w:lang w:val="en-US"/>
        </w:rPr>
        <w:t>vegetable</w:t>
      </w:r>
      <w:r w:rsidR="00CB0492" w:rsidRPr="00147844">
        <w:rPr>
          <w:sz w:val="26"/>
          <w:szCs w:val="26"/>
          <w:lang w:val="en-US"/>
        </w:rPr>
        <w:t xml:space="preserve"> products»</w:t>
      </w:r>
      <w:r w:rsidR="00CB0492" w:rsidRPr="00147844">
        <w:rPr>
          <w:sz w:val="26"/>
          <w:szCs w:val="26"/>
          <w:lang w:val="uz-Cyrl-UZ"/>
        </w:rPr>
        <w:t xml:space="preserve"> –</w:t>
      </w:r>
      <w:r w:rsidR="00CB0492" w:rsidRPr="00147844">
        <w:rPr>
          <w:sz w:val="26"/>
          <w:szCs w:val="26"/>
          <w:lang w:val="en-US"/>
        </w:rPr>
        <w:t xml:space="preserve"> </w:t>
      </w:r>
      <w:r w:rsidR="00CB0492" w:rsidRPr="00147844">
        <w:rPr>
          <w:sz w:val="26"/>
          <w:szCs w:val="26"/>
          <w:lang w:val="uz-Cyrl-UZ"/>
        </w:rPr>
        <w:t xml:space="preserve">USD </w:t>
      </w:r>
      <w:r w:rsidR="00C825EA">
        <w:rPr>
          <w:sz w:val="26"/>
          <w:szCs w:val="26"/>
          <w:lang w:val="en-US"/>
        </w:rPr>
        <w:t>1</w:t>
      </w:r>
      <w:r w:rsidR="00FC2A71" w:rsidRPr="00147844">
        <w:rPr>
          <w:sz w:val="26"/>
          <w:szCs w:val="26"/>
          <w:lang w:val="en-US"/>
        </w:rPr>
        <w:t>.</w:t>
      </w:r>
      <w:r w:rsidR="00C825EA">
        <w:rPr>
          <w:sz w:val="26"/>
          <w:szCs w:val="26"/>
          <w:lang w:val="en-US"/>
        </w:rPr>
        <w:t>2</w:t>
      </w:r>
      <w:r w:rsidR="00CB0492" w:rsidRPr="00147844">
        <w:rPr>
          <w:sz w:val="26"/>
          <w:szCs w:val="26"/>
          <w:lang w:val="uz-Cyrl-UZ"/>
        </w:rPr>
        <w:t xml:space="preserve"> </w:t>
      </w:r>
      <w:r w:rsidR="00C825EA">
        <w:rPr>
          <w:sz w:val="26"/>
          <w:szCs w:val="26"/>
          <w:lang w:val="en-US"/>
        </w:rPr>
        <w:t>b</w:t>
      </w:r>
      <w:r w:rsidR="00CB0492" w:rsidRPr="00147844">
        <w:rPr>
          <w:sz w:val="26"/>
          <w:szCs w:val="26"/>
          <w:lang w:val="uz-Cyrl-UZ"/>
        </w:rPr>
        <w:t>illion (</w:t>
      </w:r>
      <w:r w:rsidR="00CB0492" w:rsidRPr="00147844">
        <w:rPr>
          <w:i/>
          <w:sz w:val="26"/>
          <w:szCs w:val="26"/>
          <w:lang w:val="uz-Cyrl-UZ"/>
        </w:rPr>
        <w:t xml:space="preserve">USD </w:t>
      </w:r>
      <w:r w:rsidR="0000491C" w:rsidRPr="00147844">
        <w:rPr>
          <w:i/>
          <w:sz w:val="26"/>
          <w:szCs w:val="26"/>
          <w:lang w:val="en-US"/>
        </w:rPr>
        <w:t>1</w:t>
      </w:r>
      <w:r w:rsidR="00FC2A71" w:rsidRPr="00147844">
        <w:rPr>
          <w:i/>
          <w:sz w:val="26"/>
          <w:szCs w:val="26"/>
          <w:lang w:val="en-US"/>
        </w:rPr>
        <w:t>.</w:t>
      </w:r>
      <w:r w:rsidR="00C825EA">
        <w:rPr>
          <w:i/>
          <w:sz w:val="26"/>
          <w:szCs w:val="26"/>
          <w:lang w:val="en-US"/>
        </w:rPr>
        <w:t>4</w:t>
      </w:r>
      <w:r w:rsidR="00CB0492" w:rsidRPr="00147844">
        <w:rPr>
          <w:i/>
          <w:sz w:val="26"/>
          <w:szCs w:val="26"/>
          <w:lang w:val="uz-Cyrl-UZ"/>
        </w:rPr>
        <w:t xml:space="preserve"> </w:t>
      </w:r>
      <w:r w:rsidR="0000491C" w:rsidRPr="00147844">
        <w:rPr>
          <w:sz w:val="26"/>
          <w:szCs w:val="26"/>
          <w:lang w:val="uz-Cyrl-UZ"/>
        </w:rPr>
        <w:t>billion</w:t>
      </w:r>
      <w:r w:rsidR="00CB0492" w:rsidRPr="00147844">
        <w:rPr>
          <w:i/>
          <w:sz w:val="26"/>
          <w:szCs w:val="26"/>
          <w:lang w:val="uz-Cyrl-UZ"/>
        </w:rPr>
        <w:t xml:space="preserve"> </w:t>
      </w:r>
      <w:r w:rsidR="0000491C" w:rsidRPr="00147844">
        <w:rPr>
          <w:i/>
          <w:sz w:val="26"/>
          <w:szCs w:val="26"/>
          <w:lang w:val="en-US"/>
        </w:rPr>
        <w:t xml:space="preserve">for </w:t>
      </w:r>
      <w:r w:rsidR="00CB0492" w:rsidRPr="00147844">
        <w:rPr>
          <w:i/>
          <w:sz w:val="26"/>
          <w:szCs w:val="26"/>
          <w:lang w:val="uz-Cyrl-UZ"/>
        </w:rPr>
        <w:t>2019</w:t>
      </w:r>
      <w:r w:rsidR="00CB0492" w:rsidRPr="00147844">
        <w:rPr>
          <w:sz w:val="26"/>
          <w:szCs w:val="26"/>
          <w:lang w:val="uz-Cyrl-UZ"/>
        </w:rPr>
        <w:t>)</w:t>
      </w:r>
      <w:r w:rsidR="00FC2A71" w:rsidRPr="00147844">
        <w:rPr>
          <w:sz w:val="26"/>
          <w:szCs w:val="26"/>
          <w:lang w:val="en-US"/>
        </w:rPr>
        <w:t xml:space="preserve"> and</w:t>
      </w:r>
      <w:r w:rsidR="00D97086" w:rsidRPr="00147844">
        <w:rPr>
          <w:sz w:val="26"/>
          <w:szCs w:val="26"/>
          <w:lang w:val="uz-Cyrl-UZ"/>
        </w:rPr>
        <w:t xml:space="preserve"> </w:t>
      </w:r>
      <w:r w:rsidR="00D97086" w:rsidRPr="00147844">
        <w:rPr>
          <w:sz w:val="26"/>
          <w:szCs w:val="26"/>
          <w:lang w:val="en-US"/>
        </w:rPr>
        <w:t>«</w:t>
      </w:r>
      <w:r w:rsidR="001C35C3" w:rsidRPr="00147844">
        <w:rPr>
          <w:sz w:val="26"/>
          <w:szCs w:val="26"/>
          <w:lang w:val="en-US"/>
        </w:rPr>
        <w:t>n</w:t>
      </w:r>
      <w:r w:rsidR="0000491C" w:rsidRPr="00147844">
        <w:rPr>
          <w:sz w:val="26"/>
          <w:szCs w:val="26"/>
          <w:lang w:val="uz-Cyrl-UZ"/>
        </w:rPr>
        <w:t>onprecious metals and products of them</w:t>
      </w:r>
      <w:r w:rsidR="00D97086" w:rsidRPr="00147844">
        <w:rPr>
          <w:sz w:val="26"/>
          <w:szCs w:val="26"/>
          <w:lang w:val="en-US"/>
        </w:rPr>
        <w:t>»</w:t>
      </w:r>
      <w:r w:rsidR="00633CBD" w:rsidRPr="00147844">
        <w:rPr>
          <w:sz w:val="26"/>
          <w:szCs w:val="26"/>
          <w:lang w:val="uz-Cyrl-UZ"/>
        </w:rPr>
        <w:t xml:space="preserve"> –</w:t>
      </w:r>
      <w:r w:rsidR="00633CBD" w:rsidRPr="00147844">
        <w:rPr>
          <w:sz w:val="26"/>
          <w:szCs w:val="26"/>
          <w:lang w:val="en-US"/>
        </w:rPr>
        <w:t xml:space="preserve"> </w:t>
      </w:r>
      <w:r w:rsidR="00633CBD" w:rsidRPr="00147844">
        <w:rPr>
          <w:sz w:val="26"/>
          <w:szCs w:val="26"/>
          <w:lang w:val="uz-Cyrl-UZ"/>
        </w:rPr>
        <w:t xml:space="preserve">USD </w:t>
      </w:r>
      <w:r w:rsidR="00C825EA">
        <w:rPr>
          <w:sz w:val="26"/>
          <w:szCs w:val="26"/>
          <w:lang w:val="en-US"/>
        </w:rPr>
        <w:t>1</w:t>
      </w:r>
      <w:r w:rsidR="00633CBD" w:rsidRPr="00147844">
        <w:rPr>
          <w:sz w:val="26"/>
          <w:szCs w:val="26"/>
          <w:lang w:val="uz-Cyrl-UZ"/>
        </w:rPr>
        <w:t>.</w:t>
      </w:r>
      <w:r w:rsidR="00C825EA">
        <w:rPr>
          <w:sz w:val="26"/>
          <w:szCs w:val="26"/>
          <w:lang w:val="en-US"/>
        </w:rPr>
        <w:t>1</w:t>
      </w:r>
      <w:r w:rsidR="00633CBD" w:rsidRPr="00147844">
        <w:rPr>
          <w:sz w:val="26"/>
          <w:szCs w:val="26"/>
          <w:lang w:val="uz-Cyrl-UZ"/>
        </w:rPr>
        <w:t xml:space="preserve"> </w:t>
      </w:r>
      <w:r w:rsidR="00C825EA">
        <w:rPr>
          <w:sz w:val="26"/>
          <w:szCs w:val="26"/>
          <w:lang w:val="en-US"/>
        </w:rPr>
        <w:t>b</w:t>
      </w:r>
      <w:r w:rsidR="00633CBD" w:rsidRPr="00147844">
        <w:rPr>
          <w:sz w:val="26"/>
          <w:szCs w:val="26"/>
          <w:lang w:val="uz-Cyrl-UZ"/>
        </w:rPr>
        <w:t>illion (</w:t>
      </w:r>
      <w:r w:rsidR="00633CBD" w:rsidRPr="00147844">
        <w:rPr>
          <w:i/>
          <w:sz w:val="26"/>
          <w:szCs w:val="26"/>
          <w:lang w:val="uz-Cyrl-UZ"/>
        </w:rPr>
        <w:t xml:space="preserve">USD </w:t>
      </w:r>
      <w:r w:rsidR="00C825EA">
        <w:rPr>
          <w:i/>
          <w:sz w:val="26"/>
          <w:szCs w:val="26"/>
          <w:lang w:val="en-US"/>
        </w:rPr>
        <w:t>1</w:t>
      </w:r>
      <w:r w:rsidR="00CB0492" w:rsidRPr="00147844">
        <w:rPr>
          <w:i/>
          <w:sz w:val="26"/>
          <w:szCs w:val="26"/>
          <w:lang w:val="uz-Cyrl-UZ"/>
        </w:rPr>
        <w:t>.</w:t>
      </w:r>
      <w:r w:rsidR="00C825EA">
        <w:rPr>
          <w:i/>
          <w:sz w:val="26"/>
          <w:szCs w:val="26"/>
          <w:lang w:val="en-US"/>
        </w:rPr>
        <w:t>1</w:t>
      </w:r>
      <w:r w:rsidR="00CB0492" w:rsidRPr="00147844">
        <w:rPr>
          <w:i/>
          <w:sz w:val="26"/>
          <w:szCs w:val="26"/>
          <w:lang w:val="uz-Cyrl-UZ"/>
        </w:rPr>
        <w:t xml:space="preserve"> </w:t>
      </w:r>
      <w:r w:rsidR="00C825EA">
        <w:rPr>
          <w:sz w:val="26"/>
          <w:szCs w:val="26"/>
          <w:lang w:val="en-US"/>
        </w:rPr>
        <w:t>b</w:t>
      </w:r>
      <w:r w:rsidR="0000491C" w:rsidRPr="00147844">
        <w:rPr>
          <w:sz w:val="26"/>
          <w:szCs w:val="26"/>
          <w:lang w:val="uz-Cyrl-UZ"/>
        </w:rPr>
        <w:t>illion</w:t>
      </w:r>
      <w:r w:rsidR="00CB0492" w:rsidRPr="00147844">
        <w:rPr>
          <w:i/>
          <w:sz w:val="26"/>
          <w:szCs w:val="26"/>
          <w:lang w:val="uz-Cyrl-UZ"/>
        </w:rPr>
        <w:t xml:space="preserve"> </w:t>
      </w:r>
      <w:r w:rsidR="0000491C" w:rsidRPr="00147844">
        <w:rPr>
          <w:i/>
          <w:sz w:val="26"/>
          <w:szCs w:val="26"/>
          <w:lang w:val="en-US"/>
        </w:rPr>
        <w:t xml:space="preserve">for </w:t>
      </w:r>
      <w:r w:rsidR="00633CBD" w:rsidRPr="00147844">
        <w:rPr>
          <w:i/>
          <w:sz w:val="26"/>
          <w:szCs w:val="26"/>
          <w:lang w:val="uz-Cyrl-UZ"/>
        </w:rPr>
        <w:t>2019</w:t>
      </w:r>
      <w:r w:rsidRPr="00147844">
        <w:rPr>
          <w:sz w:val="26"/>
          <w:szCs w:val="26"/>
          <w:lang w:val="uz-Cyrl-UZ"/>
        </w:rPr>
        <w:t xml:space="preserve">). </w:t>
      </w:r>
      <w:r w:rsidRPr="00147844">
        <w:rPr>
          <w:sz w:val="26"/>
          <w:szCs w:val="26"/>
          <w:lang w:val="en-US"/>
        </w:rPr>
        <w:t>T</w:t>
      </w:r>
      <w:r w:rsidR="00633CBD" w:rsidRPr="00147844">
        <w:rPr>
          <w:sz w:val="26"/>
          <w:szCs w:val="26"/>
          <w:lang w:val="uz-Cyrl-UZ"/>
        </w:rPr>
        <w:t xml:space="preserve">hese groups </w:t>
      </w:r>
      <w:r w:rsidRPr="00147844">
        <w:rPr>
          <w:sz w:val="26"/>
          <w:szCs w:val="26"/>
          <w:lang w:val="en-US"/>
        </w:rPr>
        <w:t>recorded</w:t>
      </w:r>
      <w:r w:rsidR="00633CBD" w:rsidRPr="00147844">
        <w:rPr>
          <w:sz w:val="26"/>
          <w:szCs w:val="26"/>
          <w:lang w:val="uz-Cyrl-UZ"/>
        </w:rPr>
        <w:t xml:space="preserve"> </w:t>
      </w:r>
      <w:r w:rsidR="003A6F8E" w:rsidRPr="003A6F8E">
        <w:rPr>
          <w:sz w:val="26"/>
          <w:szCs w:val="26"/>
          <w:lang w:val="en-US"/>
        </w:rPr>
        <w:t>91</w:t>
      </w:r>
      <w:r w:rsidR="00633CBD" w:rsidRPr="00147844">
        <w:rPr>
          <w:sz w:val="26"/>
          <w:szCs w:val="26"/>
          <w:lang w:val="uz-Cyrl-UZ"/>
        </w:rPr>
        <w:t>% of the total exports of goods (</w:t>
      </w:r>
      <w:r w:rsidR="003A6F8E" w:rsidRPr="003A6F8E">
        <w:rPr>
          <w:i/>
          <w:sz w:val="26"/>
          <w:szCs w:val="26"/>
          <w:lang w:val="en-US"/>
        </w:rPr>
        <w:t>91</w:t>
      </w:r>
      <w:r w:rsidR="00633CBD" w:rsidRPr="00147844">
        <w:rPr>
          <w:i/>
          <w:sz w:val="26"/>
          <w:szCs w:val="26"/>
          <w:lang w:val="uz-Cyrl-UZ"/>
        </w:rPr>
        <w:t xml:space="preserve">% </w:t>
      </w:r>
      <w:r w:rsidR="0000491C" w:rsidRPr="00147844">
        <w:rPr>
          <w:i/>
          <w:sz w:val="26"/>
          <w:szCs w:val="26"/>
          <w:lang w:val="en-US"/>
        </w:rPr>
        <w:t xml:space="preserve">for </w:t>
      </w:r>
      <w:r w:rsidR="00633CBD" w:rsidRPr="00147844">
        <w:rPr>
          <w:i/>
          <w:sz w:val="26"/>
          <w:szCs w:val="26"/>
          <w:lang w:val="uz-Cyrl-UZ"/>
        </w:rPr>
        <w:t>2019</w:t>
      </w:r>
      <w:r w:rsidR="00633CBD" w:rsidRPr="00147844">
        <w:rPr>
          <w:sz w:val="26"/>
          <w:szCs w:val="26"/>
          <w:lang w:val="uz-Cyrl-UZ"/>
        </w:rPr>
        <w:t>)</w:t>
      </w:r>
      <w:r w:rsidR="00BC6B9A" w:rsidRPr="00147844">
        <w:rPr>
          <w:sz w:val="26"/>
          <w:szCs w:val="26"/>
          <w:lang w:val="en-US"/>
        </w:rPr>
        <w:t xml:space="preserve"> </w:t>
      </w:r>
      <w:r w:rsidR="00BC6B9A" w:rsidRPr="00147844">
        <w:rPr>
          <w:rFonts w:cs="Calibri"/>
          <w:color w:val="0070C0"/>
          <w:sz w:val="26"/>
          <w:szCs w:val="26"/>
          <w:lang w:val="en-US"/>
        </w:rPr>
        <w:t>(</w:t>
      </w:r>
      <w:r w:rsidR="00B23450" w:rsidRPr="00147844">
        <w:rPr>
          <w:rFonts w:cs="Calibri"/>
          <w:color w:val="0070C0"/>
          <w:sz w:val="26"/>
          <w:szCs w:val="26"/>
          <w:lang w:val="en-US"/>
        </w:rPr>
        <w:t>Figure</w:t>
      </w:r>
      <w:r w:rsidR="00BC6B9A" w:rsidRPr="00147844">
        <w:rPr>
          <w:rFonts w:cs="Calibri"/>
          <w:color w:val="0070C0"/>
          <w:sz w:val="26"/>
          <w:szCs w:val="26"/>
          <w:lang w:val="en-US"/>
        </w:rPr>
        <w:t xml:space="preserve"> </w:t>
      </w:r>
      <w:r w:rsidR="00710903">
        <w:rPr>
          <w:rFonts w:cs="Calibri"/>
          <w:color w:val="0070C0"/>
          <w:sz w:val="26"/>
          <w:szCs w:val="26"/>
          <w:lang w:val="en-US"/>
        </w:rPr>
        <w:t>6</w:t>
      </w:r>
      <w:r w:rsidR="00BC6B9A" w:rsidRPr="00147844">
        <w:rPr>
          <w:rFonts w:cs="Calibri"/>
          <w:color w:val="0070C0"/>
          <w:sz w:val="26"/>
          <w:szCs w:val="26"/>
          <w:lang w:val="en-US"/>
        </w:rPr>
        <w:t>).</w:t>
      </w:r>
    </w:p>
    <w:p w:rsidR="00B12F01" w:rsidRDefault="00D97086" w:rsidP="00985E76">
      <w:pPr>
        <w:tabs>
          <w:tab w:val="left" w:pos="9356"/>
        </w:tabs>
        <w:spacing w:before="120" w:line="288" w:lineRule="auto"/>
        <w:ind w:firstLine="709"/>
        <w:jc w:val="both"/>
        <w:rPr>
          <w:sz w:val="26"/>
          <w:szCs w:val="26"/>
          <w:lang w:val="uz-Cyrl-UZ"/>
        </w:rPr>
      </w:pPr>
      <w:r w:rsidRPr="00147844">
        <w:rPr>
          <w:sz w:val="26"/>
          <w:szCs w:val="26"/>
          <w:lang w:val="uz-Cyrl-UZ"/>
        </w:rPr>
        <w:t xml:space="preserve">The </w:t>
      </w:r>
      <w:r w:rsidR="00F52091" w:rsidRPr="00147844">
        <w:rPr>
          <w:sz w:val="26"/>
          <w:szCs w:val="26"/>
          <w:lang w:val="en-US"/>
        </w:rPr>
        <w:t>predominance</w:t>
      </w:r>
      <w:r w:rsidRPr="00147844">
        <w:rPr>
          <w:sz w:val="26"/>
          <w:szCs w:val="26"/>
          <w:lang w:val="uz-Cyrl-UZ"/>
        </w:rPr>
        <w:t xml:space="preserve"> </w:t>
      </w:r>
      <w:r w:rsidR="003D0AE6" w:rsidRPr="00147844">
        <w:rPr>
          <w:sz w:val="26"/>
          <w:szCs w:val="26"/>
          <w:lang w:val="uz-Cyrl-UZ"/>
        </w:rPr>
        <w:t>of commodities</w:t>
      </w:r>
      <w:r w:rsidR="00084641" w:rsidRPr="00147844">
        <w:rPr>
          <w:sz w:val="26"/>
          <w:szCs w:val="26"/>
          <w:lang w:val="en-US"/>
        </w:rPr>
        <w:t xml:space="preserve"> </w:t>
      </w:r>
      <w:r w:rsidR="00F52091" w:rsidRPr="00147844">
        <w:rPr>
          <w:sz w:val="26"/>
          <w:szCs w:val="26"/>
          <w:lang w:val="uz-Cyrl-UZ"/>
        </w:rPr>
        <w:t>in the</w:t>
      </w:r>
      <w:r w:rsidR="00084641" w:rsidRPr="00147844">
        <w:rPr>
          <w:sz w:val="26"/>
          <w:szCs w:val="26"/>
          <w:lang w:val="en-US"/>
        </w:rPr>
        <w:t xml:space="preserve"> </w:t>
      </w:r>
      <w:r w:rsidRPr="00147844">
        <w:rPr>
          <w:sz w:val="26"/>
          <w:szCs w:val="26"/>
          <w:lang w:val="uz-Cyrl-UZ"/>
        </w:rPr>
        <w:t>volume of exports</w:t>
      </w:r>
      <w:r w:rsidR="00084641" w:rsidRPr="00147844">
        <w:rPr>
          <w:sz w:val="26"/>
          <w:szCs w:val="26"/>
          <w:lang w:val="en-US"/>
        </w:rPr>
        <w:t xml:space="preserve"> </w:t>
      </w:r>
      <w:r w:rsidR="00F52091" w:rsidRPr="00147844">
        <w:rPr>
          <w:sz w:val="26"/>
          <w:szCs w:val="26"/>
          <w:lang w:val="uz-Cyrl-UZ"/>
        </w:rPr>
        <w:t xml:space="preserve">(gold and natural gas) </w:t>
      </w:r>
      <w:r w:rsidR="00D82B39" w:rsidRPr="00147844">
        <w:rPr>
          <w:sz w:val="26"/>
          <w:szCs w:val="26"/>
          <w:lang w:val="en-US"/>
        </w:rPr>
        <w:t>a</w:t>
      </w:r>
      <w:r w:rsidR="00F52091" w:rsidRPr="00147844">
        <w:rPr>
          <w:sz w:val="26"/>
          <w:szCs w:val="26"/>
          <w:lang w:val="en-US"/>
        </w:rPr>
        <w:t>moun</w:t>
      </w:r>
      <w:r w:rsidR="00D82B39" w:rsidRPr="00147844">
        <w:rPr>
          <w:sz w:val="26"/>
          <w:szCs w:val="26"/>
          <w:lang w:val="en-US"/>
        </w:rPr>
        <w:t>ted for</w:t>
      </w:r>
      <w:r w:rsidRPr="00147844">
        <w:rPr>
          <w:sz w:val="26"/>
          <w:szCs w:val="26"/>
          <w:lang w:val="uz-Cyrl-UZ"/>
        </w:rPr>
        <w:t xml:space="preserve"> </w:t>
      </w:r>
      <w:r w:rsidR="003A6F8E" w:rsidRPr="003A6F8E">
        <w:rPr>
          <w:sz w:val="26"/>
          <w:szCs w:val="26"/>
          <w:lang w:val="en-US"/>
        </w:rPr>
        <w:t>49</w:t>
      </w:r>
      <w:r w:rsidRPr="00147844">
        <w:rPr>
          <w:sz w:val="26"/>
          <w:szCs w:val="26"/>
          <w:lang w:val="uz-Cyrl-UZ"/>
        </w:rPr>
        <w:t>%</w:t>
      </w:r>
      <w:r w:rsidR="00F52091" w:rsidRPr="00147844">
        <w:rPr>
          <w:sz w:val="26"/>
          <w:szCs w:val="26"/>
          <w:lang w:val="en-US"/>
        </w:rPr>
        <w:t xml:space="preserve"> of the total volume of exports</w:t>
      </w:r>
      <w:r w:rsidRPr="00147844">
        <w:rPr>
          <w:sz w:val="26"/>
          <w:szCs w:val="26"/>
          <w:lang w:val="uz-Cyrl-UZ"/>
        </w:rPr>
        <w:t xml:space="preserve">, </w:t>
      </w:r>
      <w:r w:rsidR="003A6F8E" w:rsidRPr="003A6F8E">
        <w:rPr>
          <w:sz w:val="26"/>
          <w:szCs w:val="26"/>
          <w:lang w:val="en-US"/>
        </w:rPr>
        <w:t>45</w:t>
      </w:r>
      <w:r w:rsidR="00D82B39" w:rsidRPr="00147844">
        <w:rPr>
          <w:sz w:val="26"/>
          <w:szCs w:val="26"/>
          <w:lang w:val="uz-Cyrl-UZ"/>
        </w:rPr>
        <w:t>%</w:t>
      </w:r>
      <w:r w:rsidR="00D82B39" w:rsidRPr="00147844">
        <w:rPr>
          <w:sz w:val="26"/>
          <w:szCs w:val="26"/>
          <w:lang w:val="en-US"/>
        </w:rPr>
        <w:t xml:space="preserve"> </w:t>
      </w:r>
      <w:r w:rsidR="00F52091" w:rsidRPr="00147844">
        <w:rPr>
          <w:sz w:val="26"/>
          <w:szCs w:val="26"/>
          <w:lang w:val="en-US"/>
        </w:rPr>
        <w:t xml:space="preserve">of which accounted for </w:t>
      </w:r>
      <w:r w:rsidR="00FC2A71" w:rsidRPr="00147844">
        <w:rPr>
          <w:sz w:val="26"/>
          <w:szCs w:val="26"/>
          <w:lang w:val="uz-Cyrl-UZ"/>
        </w:rPr>
        <w:t xml:space="preserve">gold and </w:t>
      </w:r>
      <w:r w:rsidR="00F52091" w:rsidRPr="00147844">
        <w:rPr>
          <w:sz w:val="26"/>
          <w:szCs w:val="26"/>
          <w:lang w:val="uz-Cyrl-UZ"/>
        </w:rPr>
        <w:br/>
      </w:r>
      <w:r w:rsidR="003A6F8E" w:rsidRPr="003A6F8E">
        <w:rPr>
          <w:sz w:val="26"/>
          <w:szCs w:val="26"/>
          <w:lang w:val="en-US"/>
        </w:rPr>
        <w:t>4</w:t>
      </w:r>
      <w:r w:rsidRPr="00147844">
        <w:rPr>
          <w:sz w:val="26"/>
          <w:szCs w:val="26"/>
          <w:lang w:val="uz-Cyrl-UZ"/>
        </w:rPr>
        <w:t xml:space="preserve">% </w:t>
      </w:r>
      <w:r w:rsidR="00F52091" w:rsidRPr="00147844">
        <w:rPr>
          <w:sz w:val="26"/>
          <w:szCs w:val="26"/>
          <w:lang w:val="en-US"/>
        </w:rPr>
        <w:t xml:space="preserve">for </w:t>
      </w:r>
      <w:r w:rsidRPr="00147844">
        <w:rPr>
          <w:sz w:val="26"/>
          <w:szCs w:val="26"/>
          <w:lang w:val="uz-Cyrl-UZ"/>
        </w:rPr>
        <w:t xml:space="preserve">natural gas. </w:t>
      </w:r>
      <w:r w:rsidRPr="00147844">
        <w:rPr>
          <w:sz w:val="26"/>
          <w:szCs w:val="26"/>
          <w:lang w:val="en-US"/>
        </w:rPr>
        <w:t>Moreover</w:t>
      </w:r>
      <w:r w:rsidR="00FC2A71" w:rsidRPr="00147844">
        <w:rPr>
          <w:sz w:val="26"/>
          <w:szCs w:val="26"/>
          <w:lang w:val="uz-Cyrl-UZ"/>
        </w:rPr>
        <w:t xml:space="preserve">, </w:t>
      </w:r>
      <w:r w:rsidR="0000491C" w:rsidRPr="00147844">
        <w:rPr>
          <w:sz w:val="26"/>
          <w:szCs w:val="26"/>
          <w:lang w:val="en-US"/>
        </w:rPr>
        <w:t>94</w:t>
      </w:r>
      <w:r w:rsidRPr="00147844">
        <w:rPr>
          <w:sz w:val="26"/>
          <w:szCs w:val="26"/>
          <w:lang w:val="uz-Cyrl-UZ"/>
        </w:rPr>
        <w:t xml:space="preserve">% of the total volume of natural gas exports accounted for China, </w:t>
      </w:r>
      <w:r w:rsidR="0000491C" w:rsidRPr="00147844">
        <w:rPr>
          <w:sz w:val="26"/>
          <w:szCs w:val="26"/>
          <w:lang w:val="en-US"/>
        </w:rPr>
        <w:t>5</w:t>
      </w:r>
      <w:r w:rsidRPr="00147844">
        <w:rPr>
          <w:sz w:val="26"/>
          <w:szCs w:val="26"/>
          <w:lang w:val="uz-Cyrl-UZ"/>
        </w:rPr>
        <w:t xml:space="preserve">% </w:t>
      </w:r>
      <w:r w:rsidRPr="00147844">
        <w:rPr>
          <w:sz w:val="26"/>
          <w:szCs w:val="26"/>
          <w:lang w:val="en-US"/>
        </w:rPr>
        <w:t>for</w:t>
      </w:r>
      <w:r w:rsidRPr="00147844">
        <w:rPr>
          <w:sz w:val="26"/>
          <w:szCs w:val="26"/>
          <w:lang w:val="uz-Cyrl-UZ"/>
        </w:rPr>
        <w:t xml:space="preserve"> Tajikistan</w:t>
      </w:r>
      <w:r w:rsidR="00FC2A71" w:rsidRPr="00147844">
        <w:rPr>
          <w:sz w:val="26"/>
          <w:szCs w:val="26"/>
          <w:lang w:val="en-US"/>
        </w:rPr>
        <w:t xml:space="preserve"> and 1% to Kyrgyzstan</w:t>
      </w:r>
      <w:r w:rsidRPr="00147844">
        <w:rPr>
          <w:sz w:val="26"/>
          <w:szCs w:val="26"/>
          <w:lang w:val="uz-Cyrl-UZ"/>
        </w:rPr>
        <w:t>.</w:t>
      </w:r>
    </w:p>
    <w:p w:rsidR="007441A5" w:rsidRDefault="007441A5" w:rsidP="00985E76">
      <w:pPr>
        <w:tabs>
          <w:tab w:val="left" w:pos="9356"/>
        </w:tabs>
        <w:spacing w:before="120" w:line="288" w:lineRule="auto"/>
        <w:ind w:firstLine="709"/>
        <w:jc w:val="both"/>
        <w:rPr>
          <w:sz w:val="26"/>
          <w:szCs w:val="26"/>
          <w:lang w:val="uz-Cyrl-UZ"/>
        </w:rPr>
      </w:pPr>
    </w:p>
    <w:p w:rsidR="00A1551F" w:rsidRPr="00942AA3" w:rsidRDefault="00B23450" w:rsidP="00A1551F">
      <w:pPr>
        <w:jc w:val="right"/>
        <w:rPr>
          <w:rFonts w:cs="Calibri"/>
          <w:noProof/>
          <w:lang w:val="en-US"/>
        </w:rPr>
      </w:pPr>
      <w:r>
        <w:rPr>
          <w:rFonts w:cs="Calibri"/>
          <w:noProof/>
          <w:lang w:val="en-US"/>
        </w:rPr>
        <w:lastRenderedPageBreak/>
        <w:t>Figure</w:t>
      </w:r>
      <w:r w:rsidR="00A1551F" w:rsidRPr="00F45A80">
        <w:rPr>
          <w:rFonts w:cs="Calibri"/>
          <w:noProof/>
          <w:lang w:val="en-US"/>
        </w:rPr>
        <w:t xml:space="preserve"> </w:t>
      </w:r>
      <w:r w:rsidR="000E425C">
        <w:rPr>
          <w:rFonts w:cs="Calibri"/>
          <w:noProof/>
          <w:lang w:val="en-US"/>
        </w:rPr>
        <w:t>5</w:t>
      </w:r>
    </w:p>
    <w:p w:rsidR="00A1551F" w:rsidRPr="000E425C" w:rsidRDefault="002F6962" w:rsidP="00A1551F">
      <w:pPr>
        <w:jc w:val="center"/>
        <w:rPr>
          <w:b/>
          <w:noProof/>
          <w:sz w:val="28"/>
          <w:szCs w:val="28"/>
          <w:lang w:val="en-US"/>
        </w:rPr>
      </w:pPr>
      <w:r w:rsidRPr="000E425C">
        <w:rPr>
          <w:b/>
          <w:noProof/>
          <w:sz w:val="28"/>
          <w:szCs w:val="28"/>
          <w:lang w:val="en-US"/>
        </w:rPr>
        <w:t>MAIN EXPORT DESTINATIONS</w:t>
      </w:r>
    </w:p>
    <w:p w:rsidR="00F24DFC" w:rsidRPr="00F24DFC" w:rsidRDefault="00F24DFC" w:rsidP="00A1551F">
      <w:pPr>
        <w:jc w:val="center"/>
        <w:rPr>
          <w:i/>
          <w:noProof/>
          <w:sz w:val="28"/>
          <w:szCs w:val="28"/>
          <w:lang w:val="en-US"/>
        </w:rPr>
      </w:pPr>
      <w:r w:rsidRPr="000E425C">
        <w:rPr>
          <w:i/>
          <w:noProof/>
          <w:szCs w:val="28"/>
          <w:lang w:val="en-US"/>
        </w:rPr>
        <w:t>(without the export of non-monetary gold)</w:t>
      </w:r>
      <w:r w:rsidRPr="00F24DFC">
        <w:rPr>
          <w:i/>
          <w:noProof/>
          <w:szCs w:val="28"/>
          <w:lang w:val="en-US"/>
        </w:rPr>
        <w:t xml:space="preserve"> </w:t>
      </w:r>
    </w:p>
    <w:p w:rsidR="00492C4B" w:rsidRPr="00357263" w:rsidRDefault="005F5FCA" w:rsidP="00911D7A">
      <w:pPr>
        <w:spacing w:before="60" w:line="288" w:lineRule="auto"/>
        <w:jc w:val="right"/>
        <w:rPr>
          <w:sz w:val="26"/>
          <w:szCs w:val="26"/>
          <w:lang w:val="en-US"/>
        </w:rPr>
      </w:pPr>
      <w:r w:rsidRPr="00F45A80">
        <w:rPr>
          <w:i/>
          <w:noProof/>
          <w:sz w:val="20"/>
          <w:szCs w:val="20"/>
          <w:lang w:val="en-US"/>
        </w:rPr>
        <w:t>(mln.USD)</w:t>
      </w:r>
      <w:r w:rsidR="005770D6" w:rsidRPr="009A7620">
        <w:rPr>
          <w:noProof/>
          <w:lang w:val="en-US"/>
        </w:rPr>
        <w:t xml:space="preserve"> </w:t>
      </w:r>
    </w:p>
    <w:p w:rsidR="00A1551F" w:rsidRDefault="000E425C" w:rsidP="0056599C">
      <w:pPr>
        <w:rPr>
          <w:rFonts w:ascii="Times New Roman" w:hAnsi="Times New Roman"/>
          <w:noProof/>
          <w:lang w:val="en-US"/>
        </w:rPr>
      </w:pPr>
      <w:r>
        <w:rPr>
          <w:noProof/>
        </w:rPr>
        <w:drawing>
          <wp:inline distT="0" distB="0" distL="0" distR="0" wp14:anchorId="2778A899" wp14:editId="2D597737">
            <wp:extent cx="6421272" cy="3732530"/>
            <wp:effectExtent l="0" t="0" r="17780" b="127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0773E" w:rsidRPr="0056599C" w:rsidRDefault="00A0773E" w:rsidP="00A0773E">
      <w:pPr>
        <w:rPr>
          <w:rFonts w:ascii="Times New Roman" w:hAnsi="Times New Roman"/>
          <w:noProof/>
          <w:sz w:val="16"/>
          <w:szCs w:val="16"/>
          <w:lang w:val="en-US"/>
        </w:rPr>
      </w:pPr>
    </w:p>
    <w:p w:rsidR="00A1551F" w:rsidRPr="00942AA3" w:rsidRDefault="00B23450" w:rsidP="00821A0E">
      <w:pPr>
        <w:ind w:left="8496"/>
        <w:jc w:val="right"/>
        <w:rPr>
          <w:rFonts w:cs="Calibri"/>
          <w:noProof/>
          <w:lang w:val="en-US"/>
        </w:rPr>
      </w:pPr>
      <w:r>
        <w:rPr>
          <w:rFonts w:cs="Calibri"/>
          <w:noProof/>
          <w:lang w:val="en-US"/>
        </w:rPr>
        <w:t>Figure</w:t>
      </w:r>
      <w:r w:rsidR="00821A0E">
        <w:rPr>
          <w:rFonts w:cs="Calibri"/>
          <w:noProof/>
          <w:lang w:val="en-US"/>
        </w:rPr>
        <w:t xml:space="preserve"> </w:t>
      </w:r>
      <w:r w:rsidR="000E425C">
        <w:rPr>
          <w:rFonts w:cs="Calibri"/>
          <w:noProof/>
          <w:lang w:val="en-US"/>
        </w:rPr>
        <w:t>6</w:t>
      </w:r>
    </w:p>
    <w:p w:rsidR="00A1551F" w:rsidRPr="000E425C" w:rsidRDefault="002F6962" w:rsidP="00A1551F">
      <w:pPr>
        <w:jc w:val="center"/>
        <w:rPr>
          <w:b/>
          <w:noProof/>
          <w:sz w:val="28"/>
          <w:szCs w:val="28"/>
          <w:lang w:val="en-US"/>
        </w:rPr>
      </w:pPr>
      <w:r w:rsidRPr="000E425C">
        <w:rPr>
          <w:b/>
          <w:noProof/>
          <w:sz w:val="28"/>
          <w:szCs w:val="28"/>
          <w:lang w:val="en-US"/>
        </w:rPr>
        <w:t xml:space="preserve">MAJOR GROUPS OF </w:t>
      </w:r>
      <w:r w:rsidR="0056599C" w:rsidRPr="000E425C">
        <w:rPr>
          <w:b/>
          <w:noProof/>
          <w:sz w:val="28"/>
          <w:szCs w:val="28"/>
          <w:lang w:val="en-US"/>
        </w:rPr>
        <w:t>EXPOR</w:t>
      </w:r>
      <w:r w:rsidRPr="000E425C">
        <w:rPr>
          <w:b/>
          <w:noProof/>
          <w:sz w:val="28"/>
          <w:szCs w:val="28"/>
          <w:lang w:val="en-US"/>
        </w:rPr>
        <w:t>TED PRODUCTS</w:t>
      </w:r>
    </w:p>
    <w:p w:rsidR="00E657C2" w:rsidRPr="00345081" w:rsidRDefault="00E657C2" w:rsidP="000221B9">
      <w:pPr>
        <w:spacing w:line="360" w:lineRule="auto"/>
        <w:jc w:val="center"/>
        <w:rPr>
          <w:b/>
          <w:noProof/>
          <w:sz w:val="26"/>
          <w:szCs w:val="26"/>
          <w:lang w:val="en-US"/>
        </w:rPr>
      </w:pPr>
      <w:r w:rsidRPr="000E425C">
        <w:rPr>
          <w:i/>
          <w:noProof/>
          <w:sz w:val="26"/>
          <w:szCs w:val="26"/>
          <w:lang w:val="en-US"/>
        </w:rPr>
        <w:t xml:space="preserve">(normalized to total volume of </w:t>
      </w:r>
      <w:r w:rsidR="0056599C" w:rsidRPr="000E425C">
        <w:rPr>
          <w:i/>
          <w:noProof/>
          <w:sz w:val="26"/>
          <w:szCs w:val="26"/>
          <w:lang w:val="en-US"/>
        </w:rPr>
        <w:t>export</w:t>
      </w:r>
      <w:r w:rsidRPr="000E425C">
        <w:rPr>
          <w:i/>
          <w:noProof/>
          <w:sz w:val="26"/>
          <w:szCs w:val="26"/>
          <w:lang w:val="en-US"/>
        </w:rPr>
        <w:t>)</w:t>
      </w:r>
    </w:p>
    <w:p w:rsidR="00937668" w:rsidRPr="00F45A80" w:rsidRDefault="0030604D" w:rsidP="00D52020">
      <w:pPr>
        <w:spacing w:line="288" w:lineRule="auto"/>
        <w:jc w:val="right"/>
        <w:rPr>
          <w:noProof/>
          <w:lang w:val="en-US"/>
        </w:rPr>
      </w:pPr>
      <w:r>
        <w:rPr>
          <w:noProof/>
        </w:rPr>
        <w:drawing>
          <wp:inline distT="0" distB="0" distL="0" distR="0" wp14:anchorId="000B9EFE" wp14:editId="6115DB54">
            <wp:extent cx="5977255" cy="3794078"/>
            <wp:effectExtent l="0" t="0" r="4445" b="1651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B316E" w:rsidRPr="00147844" w:rsidRDefault="00F64253" w:rsidP="00147844">
      <w:pPr>
        <w:spacing w:before="120" w:line="288" w:lineRule="auto"/>
        <w:ind w:firstLine="708"/>
        <w:jc w:val="both"/>
        <w:rPr>
          <w:sz w:val="26"/>
          <w:szCs w:val="26"/>
          <w:lang w:val="uz-Cyrl-UZ"/>
        </w:rPr>
      </w:pPr>
      <w:r w:rsidRPr="00147844">
        <w:rPr>
          <w:sz w:val="26"/>
          <w:szCs w:val="26"/>
          <w:lang w:val="en-US"/>
        </w:rPr>
        <w:lastRenderedPageBreak/>
        <w:t>Besides</w:t>
      </w:r>
      <w:r w:rsidR="00230C60" w:rsidRPr="00147844">
        <w:rPr>
          <w:sz w:val="26"/>
          <w:szCs w:val="26"/>
          <w:lang w:val="uz-Cyrl-UZ"/>
        </w:rPr>
        <w:t xml:space="preserve">, the group of goods </w:t>
      </w:r>
      <w:r w:rsidR="00230C60" w:rsidRPr="00147844">
        <w:rPr>
          <w:sz w:val="26"/>
          <w:szCs w:val="26"/>
          <w:lang w:val="en-US"/>
        </w:rPr>
        <w:t>«</w:t>
      </w:r>
      <w:r w:rsidR="00FB316E" w:rsidRPr="00147844">
        <w:rPr>
          <w:sz w:val="26"/>
          <w:szCs w:val="26"/>
          <w:lang w:val="uz-Cyrl-UZ"/>
        </w:rPr>
        <w:t>m</w:t>
      </w:r>
      <w:r w:rsidR="00230C60" w:rsidRPr="00147844">
        <w:rPr>
          <w:sz w:val="26"/>
          <w:szCs w:val="26"/>
          <w:lang w:val="uz-Cyrl-UZ"/>
        </w:rPr>
        <w:t>achinery, equipment, mechanisms</w:t>
      </w:r>
      <w:r w:rsidR="00230C60" w:rsidRPr="00147844">
        <w:rPr>
          <w:sz w:val="26"/>
          <w:szCs w:val="26"/>
          <w:lang w:val="en-US"/>
        </w:rPr>
        <w:t>»</w:t>
      </w:r>
      <w:r w:rsidR="00FB316E" w:rsidRPr="00147844">
        <w:rPr>
          <w:sz w:val="26"/>
          <w:szCs w:val="26"/>
          <w:lang w:val="uz-Cyrl-UZ"/>
        </w:rPr>
        <w:t xml:space="preserve"> occupie</w:t>
      </w:r>
      <w:r w:rsidR="00230C60" w:rsidRPr="00147844">
        <w:rPr>
          <w:sz w:val="26"/>
          <w:szCs w:val="26"/>
          <w:lang w:val="en-US"/>
        </w:rPr>
        <w:t>d</w:t>
      </w:r>
      <w:r w:rsidR="00FB316E" w:rsidRPr="00147844">
        <w:rPr>
          <w:sz w:val="26"/>
          <w:szCs w:val="26"/>
          <w:lang w:val="uz-Cyrl-UZ"/>
        </w:rPr>
        <w:t xml:space="preserve"> </w:t>
      </w:r>
      <w:r w:rsidR="00352A51">
        <w:rPr>
          <w:sz w:val="26"/>
          <w:szCs w:val="26"/>
          <w:lang w:val="uz-Cyrl-UZ"/>
        </w:rPr>
        <w:br/>
      </w:r>
      <w:r w:rsidR="00FB316E" w:rsidRPr="00147844">
        <w:rPr>
          <w:sz w:val="26"/>
          <w:szCs w:val="26"/>
          <w:lang w:val="uz-Cyrl-UZ"/>
        </w:rPr>
        <w:t xml:space="preserve">a significant share in the structure of import of goods </w:t>
      </w:r>
      <w:r w:rsidR="00230C60" w:rsidRPr="00147844">
        <w:rPr>
          <w:sz w:val="26"/>
          <w:szCs w:val="26"/>
          <w:lang w:val="uz-Cyrl-UZ"/>
        </w:rPr>
        <w:t>–</w:t>
      </w:r>
      <w:r w:rsidR="00FB316E" w:rsidRPr="00147844">
        <w:rPr>
          <w:sz w:val="26"/>
          <w:szCs w:val="26"/>
          <w:lang w:val="uz-Cyrl-UZ"/>
        </w:rPr>
        <w:t xml:space="preserve"> </w:t>
      </w:r>
      <w:r w:rsidR="00230C60" w:rsidRPr="00147844">
        <w:rPr>
          <w:sz w:val="26"/>
          <w:szCs w:val="26"/>
          <w:lang w:val="uz-Cyrl-UZ"/>
        </w:rPr>
        <w:t>USD</w:t>
      </w:r>
      <w:r w:rsidR="00FC2A71" w:rsidRPr="00147844">
        <w:rPr>
          <w:sz w:val="26"/>
          <w:szCs w:val="26"/>
          <w:lang w:val="uz-Cyrl-UZ"/>
        </w:rPr>
        <w:t xml:space="preserve"> </w:t>
      </w:r>
      <w:r w:rsidR="00A64B4B" w:rsidRPr="00A64B4B">
        <w:rPr>
          <w:sz w:val="26"/>
          <w:szCs w:val="26"/>
          <w:lang w:val="en-US"/>
        </w:rPr>
        <w:t>6</w:t>
      </w:r>
      <w:r w:rsidR="00FB316E" w:rsidRPr="00147844">
        <w:rPr>
          <w:sz w:val="26"/>
          <w:szCs w:val="26"/>
          <w:lang w:val="uz-Cyrl-UZ"/>
        </w:rPr>
        <w:t>.</w:t>
      </w:r>
      <w:r w:rsidR="00A64B4B" w:rsidRPr="00A64B4B">
        <w:rPr>
          <w:sz w:val="26"/>
          <w:szCs w:val="26"/>
          <w:lang w:val="en-US"/>
        </w:rPr>
        <w:t>0</w:t>
      </w:r>
      <w:r w:rsidR="00FB316E" w:rsidRPr="00147844">
        <w:rPr>
          <w:sz w:val="26"/>
          <w:szCs w:val="26"/>
          <w:lang w:val="uz-Cyrl-UZ"/>
        </w:rPr>
        <w:t xml:space="preserve"> billion (</w:t>
      </w:r>
      <w:r w:rsidR="00230C60" w:rsidRPr="00147844">
        <w:rPr>
          <w:i/>
          <w:sz w:val="26"/>
          <w:szCs w:val="26"/>
          <w:lang w:val="uz-Cyrl-UZ"/>
        </w:rPr>
        <w:t>USD</w:t>
      </w:r>
      <w:r w:rsidR="00FB316E" w:rsidRPr="00147844">
        <w:rPr>
          <w:i/>
          <w:sz w:val="26"/>
          <w:szCs w:val="26"/>
          <w:lang w:val="uz-Cyrl-UZ"/>
        </w:rPr>
        <w:t xml:space="preserve"> </w:t>
      </w:r>
      <w:r w:rsidR="00A64B4B" w:rsidRPr="00A64B4B">
        <w:rPr>
          <w:i/>
          <w:sz w:val="26"/>
          <w:szCs w:val="26"/>
          <w:lang w:val="en-US"/>
        </w:rPr>
        <w:t>7</w:t>
      </w:r>
      <w:r w:rsidR="00FB316E" w:rsidRPr="00147844">
        <w:rPr>
          <w:i/>
          <w:sz w:val="26"/>
          <w:szCs w:val="26"/>
          <w:lang w:val="uz-Cyrl-UZ"/>
        </w:rPr>
        <w:t>.</w:t>
      </w:r>
      <w:r w:rsidR="000E425C">
        <w:rPr>
          <w:i/>
          <w:sz w:val="26"/>
          <w:szCs w:val="26"/>
          <w:lang w:val="en-US"/>
        </w:rPr>
        <w:t>1</w:t>
      </w:r>
      <w:r w:rsidR="00FB316E" w:rsidRPr="00147844">
        <w:rPr>
          <w:i/>
          <w:sz w:val="26"/>
          <w:szCs w:val="26"/>
          <w:lang w:val="uz-Cyrl-UZ"/>
        </w:rPr>
        <w:t xml:space="preserve"> billion </w:t>
      </w:r>
      <w:r w:rsidR="001C35C3" w:rsidRPr="00147844">
        <w:rPr>
          <w:i/>
          <w:sz w:val="26"/>
          <w:szCs w:val="26"/>
          <w:lang w:val="en-US"/>
        </w:rPr>
        <w:t>for</w:t>
      </w:r>
      <w:r w:rsidR="00230C60" w:rsidRPr="00147844">
        <w:rPr>
          <w:i/>
          <w:sz w:val="26"/>
          <w:szCs w:val="26"/>
          <w:lang w:val="uz-Cyrl-UZ"/>
        </w:rPr>
        <w:t xml:space="preserve"> 2019</w:t>
      </w:r>
      <w:r w:rsidR="00230C60" w:rsidRPr="00147844">
        <w:rPr>
          <w:sz w:val="26"/>
          <w:szCs w:val="26"/>
          <w:lang w:val="uz-Cyrl-UZ"/>
        </w:rPr>
        <w:t xml:space="preserve">), </w:t>
      </w:r>
      <w:r w:rsidR="00230C60" w:rsidRPr="00147844">
        <w:rPr>
          <w:sz w:val="26"/>
          <w:szCs w:val="26"/>
          <w:lang w:val="en-US"/>
        </w:rPr>
        <w:t>«</w:t>
      </w:r>
      <w:r w:rsidR="001C35C3" w:rsidRPr="00147844">
        <w:rPr>
          <w:sz w:val="26"/>
          <w:szCs w:val="26"/>
          <w:lang w:val="en-US"/>
        </w:rPr>
        <w:t>n</w:t>
      </w:r>
      <w:r w:rsidR="001C35C3" w:rsidRPr="00147844">
        <w:rPr>
          <w:sz w:val="26"/>
          <w:szCs w:val="26"/>
          <w:lang w:val="uz-Cyrl-UZ"/>
        </w:rPr>
        <w:t>onprecious metals and products of them</w:t>
      </w:r>
      <w:r w:rsidR="00230C60" w:rsidRPr="00147844">
        <w:rPr>
          <w:sz w:val="26"/>
          <w:szCs w:val="26"/>
          <w:lang w:val="en-US"/>
        </w:rPr>
        <w:t xml:space="preserve">» </w:t>
      </w:r>
      <w:r w:rsidR="00230C60" w:rsidRPr="00147844">
        <w:rPr>
          <w:sz w:val="26"/>
          <w:szCs w:val="26"/>
          <w:lang w:val="uz-Cyrl-UZ"/>
        </w:rPr>
        <w:t xml:space="preserve">– </w:t>
      </w:r>
      <w:r w:rsidR="00230C60" w:rsidRPr="00147844">
        <w:rPr>
          <w:sz w:val="26"/>
          <w:szCs w:val="26"/>
          <w:lang w:val="en-US"/>
        </w:rPr>
        <w:t xml:space="preserve">USD </w:t>
      </w:r>
      <w:r w:rsidR="00A64B4B" w:rsidRPr="00A64B4B">
        <w:rPr>
          <w:sz w:val="26"/>
          <w:szCs w:val="26"/>
          <w:lang w:val="en-US"/>
        </w:rPr>
        <w:t>2</w:t>
      </w:r>
      <w:r w:rsidR="00FB316E" w:rsidRPr="00147844">
        <w:rPr>
          <w:sz w:val="26"/>
          <w:szCs w:val="26"/>
          <w:lang w:val="uz-Cyrl-UZ"/>
        </w:rPr>
        <w:t>.</w:t>
      </w:r>
      <w:r w:rsidR="00A64B4B" w:rsidRPr="00A64B4B">
        <w:rPr>
          <w:sz w:val="26"/>
          <w:szCs w:val="26"/>
          <w:lang w:val="en-US"/>
        </w:rPr>
        <w:t>4</w:t>
      </w:r>
      <w:r w:rsidR="00FC2A71" w:rsidRPr="00147844">
        <w:rPr>
          <w:sz w:val="26"/>
          <w:szCs w:val="26"/>
          <w:lang w:val="uz-Cyrl-UZ"/>
        </w:rPr>
        <w:t xml:space="preserve"> b</w:t>
      </w:r>
      <w:r w:rsidR="00FB316E" w:rsidRPr="00147844">
        <w:rPr>
          <w:sz w:val="26"/>
          <w:szCs w:val="26"/>
          <w:lang w:val="uz-Cyrl-UZ"/>
        </w:rPr>
        <w:t>illion (</w:t>
      </w:r>
      <w:r w:rsidR="00230C60" w:rsidRPr="00147844">
        <w:rPr>
          <w:i/>
          <w:sz w:val="26"/>
          <w:szCs w:val="26"/>
          <w:lang w:val="en-US"/>
        </w:rPr>
        <w:t xml:space="preserve">USD </w:t>
      </w:r>
      <w:r w:rsidR="001C35C3" w:rsidRPr="00147844">
        <w:rPr>
          <w:i/>
          <w:sz w:val="26"/>
          <w:szCs w:val="26"/>
          <w:lang w:val="en-US"/>
        </w:rPr>
        <w:t>2</w:t>
      </w:r>
      <w:r w:rsidR="00FC2A71" w:rsidRPr="00147844">
        <w:rPr>
          <w:i/>
          <w:sz w:val="26"/>
          <w:szCs w:val="26"/>
          <w:lang w:val="en-US"/>
        </w:rPr>
        <w:t>.</w:t>
      </w:r>
      <w:r w:rsidR="00B17BC4">
        <w:rPr>
          <w:i/>
          <w:sz w:val="26"/>
          <w:szCs w:val="26"/>
          <w:lang w:val="en-US"/>
        </w:rPr>
        <w:t>9</w:t>
      </w:r>
      <w:r w:rsidR="00FC2A71" w:rsidRPr="00147844">
        <w:rPr>
          <w:i/>
          <w:sz w:val="26"/>
          <w:szCs w:val="26"/>
          <w:lang w:val="uz-Cyrl-UZ"/>
        </w:rPr>
        <w:t xml:space="preserve"> b</w:t>
      </w:r>
      <w:r w:rsidR="00FB316E" w:rsidRPr="00147844">
        <w:rPr>
          <w:i/>
          <w:sz w:val="26"/>
          <w:szCs w:val="26"/>
          <w:lang w:val="uz-Cyrl-UZ"/>
        </w:rPr>
        <w:t xml:space="preserve">illion </w:t>
      </w:r>
      <w:r w:rsidR="001C35C3" w:rsidRPr="00147844">
        <w:rPr>
          <w:i/>
          <w:sz w:val="26"/>
          <w:szCs w:val="26"/>
          <w:lang w:val="en-US"/>
        </w:rPr>
        <w:t>for</w:t>
      </w:r>
      <w:r w:rsidR="00230C60" w:rsidRPr="00147844">
        <w:rPr>
          <w:i/>
          <w:sz w:val="26"/>
          <w:szCs w:val="26"/>
          <w:lang w:val="uz-Cyrl-UZ"/>
        </w:rPr>
        <w:t xml:space="preserve"> 2019</w:t>
      </w:r>
      <w:r w:rsidR="00230C60" w:rsidRPr="00147844">
        <w:rPr>
          <w:sz w:val="26"/>
          <w:szCs w:val="26"/>
          <w:lang w:val="uz-Cyrl-UZ"/>
        </w:rPr>
        <w:t xml:space="preserve">), </w:t>
      </w:r>
      <w:r w:rsidR="00230C60" w:rsidRPr="00147844">
        <w:rPr>
          <w:sz w:val="26"/>
          <w:szCs w:val="26"/>
          <w:lang w:val="en-US"/>
        </w:rPr>
        <w:t>«</w:t>
      </w:r>
      <w:r w:rsidR="00FB316E" w:rsidRPr="00147844">
        <w:rPr>
          <w:sz w:val="26"/>
          <w:szCs w:val="26"/>
          <w:lang w:val="uz-Cyrl-UZ"/>
        </w:rPr>
        <w:t>pr</w:t>
      </w:r>
      <w:r w:rsidR="00230C60" w:rsidRPr="00147844">
        <w:rPr>
          <w:sz w:val="26"/>
          <w:szCs w:val="26"/>
          <w:lang w:val="uz-Cyrl-UZ"/>
        </w:rPr>
        <w:t>oducts of the chemical industry</w:t>
      </w:r>
      <w:r w:rsidR="00F52091" w:rsidRPr="00147844">
        <w:rPr>
          <w:sz w:val="26"/>
          <w:szCs w:val="26"/>
          <w:lang w:val="en-US"/>
        </w:rPr>
        <w:t>» –</w:t>
      </w:r>
      <w:r w:rsidR="00230C60" w:rsidRPr="00147844">
        <w:rPr>
          <w:sz w:val="26"/>
          <w:szCs w:val="26"/>
          <w:lang w:val="en-US"/>
        </w:rPr>
        <w:t xml:space="preserve"> USD</w:t>
      </w:r>
      <w:r w:rsidR="00230C60" w:rsidRPr="00147844">
        <w:rPr>
          <w:sz w:val="26"/>
          <w:szCs w:val="26"/>
          <w:lang w:val="uz-Cyrl-UZ"/>
        </w:rPr>
        <w:t xml:space="preserve"> </w:t>
      </w:r>
      <w:r w:rsidR="00A64B4B">
        <w:rPr>
          <w:sz w:val="26"/>
          <w:szCs w:val="26"/>
          <w:lang w:val="uz-Cyrl-UZ"/>
        </w:rPr>
        <w:t>2</w:t>
      </w:r>
      <w:r w:rsidR="00FC2A71" w:rsidRPr="00147844">
        <w:rPr>
          <w:sz w:val="26"/>
          <w:szCs w:val="26"/>
          <w:lang w:val="en-US"/>
        </w:rPr>
        <w:t>.</w:t>
      </w:r>
      <w:r w:rsidR="00A64B4B" w:rsidRPr="00A64B4B">
        <w:rPr>
          <w:sz w:val="26"/>
          <w:szCs w:val="26"/>
          <w:lang w:val="en-US"/>
        </w:rPr>
        <w:t>4</w:t>
      </w:r>
      <w:r w:rsidR="00FB316E" w:rsidRPr="00147844">
        <w:rPr>
          <w:sz w:val="26"/>
          <w:szCs w:val="26"/>
          <w:lang w:val="uz-Cyrl-UZ"/>
        </w:rPr>
        <w:t xml:space="preserve"> </w:t>
      </w:r>
      <w:r w:rsidR="00FC2A71" w:rsidRPr="00147844">
        <w:rPr>
          <w:sz w:val="26"/>
          <w:szCs w:val="26"/>
          <w:lang w:val="en-US"/>
        </w:rPr>
        <w:t>b</w:t>
      </w:r>
      <w:r w:rsidR="00FB316E" w:rsidRPr="00147844">
        <w:rPr>
          <w:sz w:val="26"/>
          <w:szCs w:val="26"/>
          <w:lang w:val="uz-Cyrl-UZ"/>
        </w:rPr>
        <w:t>illion (</w:t>
      </w:r>
      <w:r w:rsidR="00230C60" w:rsidRPr="00147844">
        <w:rPr>
          <w:i/>
          <w:sz w:val="26"/>
          <w:szCs w:val="26"/>
          <w:lang w:val="en-US"/>
        </w:rPr>
        <w:t xml:space="preserve">USD </w:t>
      </w:r>
      <w:r w:rsidR="00A64B4B">
        <w:rPr>
          <w:i/>
          <w:sz w:val="26"/>
          <w:szCs w:val="26"/>
          <w:lang w:val="uz-Cyrl-UZ"/>
        </w:rPr>
        <w:t>2</w:t>
      </w:r>
      <w:r w:rsidR="00FC2A71" w:rsidRPr="00147844">
        <w:rPr>
          <w:i/>
          <w:sz w:val="26"/>
          <w:szCs w:val="26"/>
          <w:lang w:val="en-US"/>
        </w:rPr>
        <w:t>.</w:t>
      </w:r>
      <w:r w:rsidR="000E425C">
        <w:rPr>
          <w:i/>
          <w:sz w:val="26"/>
          <w:szCs w:val="26"/>
          <w:lang w:val="en-US"/>
        </w:rPr>
        <w:t>1</w:t>
      </w:r>
      <w:r w:rsidR="00FB316E" w:rsidRPr="00147844">
        <w:rPr>
          <w:i/>
          <w:sz w:val="26"/>
          <w:szCs w:val="26"/>
          <w:lang w:val="uz-Cyrl-UZ"/>
        </w:rPr>
        <w:t xml:space="preserve"> </w:t>
      </w:r>
      <w:r w:rsidR="00FC2A71" w:rsidRPr="00147844">
        <w:rPr>
          <w:i/>
          <w:sz w:val="26"/>
          <w:szCs w:val="26"/>
          <w:lang w:val="en-US"/>
        </w:rPr>
        <w:t>b</w:t>
      </w:r>
      <w:r w:rsidR="00FB316E" w:rsidRPr="00147844">
        <w:rPr>
          <w:i/>
          <w:sz w:val="26"/>
          <w:szCs w:val="26"/>
          <w:lang w:val="uz-Cyrl-UZ"/>
        </w:rPr>
        <w:t xml:space="preserve">illion </w:t>
      </w:r>
      <w:r w:rsidR="001C35C3" w:rsidRPr="00147844">
        <w:rPr>
          <w:i/>
          <w:sz w:val="26"/>
          <w:szCs w:val="26"/>
          <w:lang w:val="en-US"/>
        </w:rPr>
        <w:t>for</w:t>
      </w:r>
      <w:r w:rsidR="00FB316E" w:rsidRPr="00147844">
        <w:rPr>
          <w:i/>
          <w:sz w:val="26"/>
          <w:szCs w:val="26"/>
          <w:lang w:val="uz-Cyrl-UZ"/>
        </w:rPr>
        <w:t xml:space="preserve"> </w:t>
      </w:r>
      <w:r w:rsidR="00F52091" w:rsidRPr="00147844">
        <w:rPr>
          <w:i/>
          <w:sz w:val="26"/>
          <w:szCs w:val="26"/>
          <w:lang w:val="uz-Cyrl-UZ"/>
        </w:rPr>
        <w:t>2019</w:t>
      </w:r>
      <w:r w:rsidR="00F52091" w:rsidRPr="00147844">
        <w:rPr>
          <w:sz w:val="26"/>
          <w:szCs w:val="26"/>
          <w:lang w:val="uz-Cyrl-UZ"/>
        </w:rPr>
        <w:t>)</w:t>
      </w:r>
      <w:r w:rsidR="00B9453E">
        <w:rPr>
          <w:sz w:val="26"/>
          <w:szCs w:val="26"/>
          <w:lang w:val="en-US"/>
        </w:rPr>
        <w:t>,</w:t>
      </w:r>
      <w:r w:rsidR="00FB316E" w:rsidRPr="00147844">
        <w:rPr>
          <w:sz w:val="26"/>
          <w:szCs w:val="26"/>
          <w:lang w:val="uz-Cyrl-UZ"/>
        </w:rPr>
        <w:t xml:space="preserve"> </w:t>
      </w:r>
      <w:r w:rsidR="00B9453E" w:rsidRPr="00147844">
        <w:rPr>
          <w:sz w:val="26"/>
          <w:szCs w:val="26"/>
          <w:lang w:val="en-US"/>
        </w:rPr>
        <w:t>«</w:t>
      </w:r>
      <w:r w:rsidR="007A713F">
        <w:rPr>
          <w:sz w:val="26"/>
          <w:szCs w:val="26"/>
          <w:lang w:val="en-US"/>
        </w:rPr>
        <w:t>air and water transports</w:t>
      </w:r>
      <w:r w:rsidR="00B9453E" w:rsidRPr="00147844">
        <w:rPr>
          <w:sz w:val="26"/>
          <w:szCs w:val="26"/>
          <w:lang w:val="en-US"/>
        </w:rPr>
        <w:t>» – USD</w:t>
      </w:r>
      <w:r w:rsidR="00B9453E" w:rsidRPr="00147844">
        <w:rPr>
          <w:sz w:val="26"/>
          <w:szCs w:val="26"/>
          <w:lang w:val="uz-Cyrl-UZ"/>
        </w:rPr>
        <w:t xml:space="preserve"> </w:t>
      </w:r>
      <w:r w:rsidR="00B9453E">
        <w:rPr>
          <w:sz w:val="26"/>
          <w:szCs w:val="26"/>
          <w:lang w:val="uz-Cyrl-UZ"/>
        </w:rPr>
        <w:t>2</w:t>
      </w:r>
      <w:r w:rsidR="00B9453E" w:rsidRPr="00147844">
        <w:rPr>
          <w:sz w:val="26"/>
          <w:szCs w:val="26"/>
          <w:lang w:val="en-US"/>
        </w:rPr>
        <w:t>.</w:t>
      </w:r>
      <w:r w:rsidR="000E425C">
        <w:rPr>
          <w:sz w:val="26"/>
          <w:szCs w:val="26"/>
          <w:lang w:val="en-US"/>
        </w:rPr>
        <w:t>2</w:t>
      </w:r>
      <w:r w:rsidR="00B9453E" w:rsidRPr="00147844">
        <w:rPr>
          <w:sz w:val="26"/>
          <w:szCs w:val="26"/>
          <w:lang w:val="uz-Cyrl-UZ"/>
        </w:rPr>
        <w:t xml:space="preserve"> </w:t>
      </w:r>
      <w:r w:rsidR="00B9453E" w:rsidRPr="00147844">
        <w:rPr>
          <w:sz w:val="26"/>
          <w:szCs w:val="26"/>
          <w:lang w:val="en-US"/>
        </w:rPr>
        <w:t>b</w:t>
      </w:r>
      <w:r w:rsidR="00B9453E" w:rsidRPr="00147844">
        <w:rPr>
          <w:sz w:val="26"/>
          <w:szCs w:val="26"/>
          <w:lang w:val="uz-Cyrl-UZ"/>
        </w:rPr>
        <w:t>illion (</w:t>
      </w:r>
      <w:r w:rsidR="00B9453E" w:rsidRPr="00147844">
        <w:rPr>
          <w:i/>
          <w:sz w:val="26"/>
          <w:szCs w:val="26"/>
          <w:lang w:val="en-US"/>
        </w:rPr>
        <w:t xml:space="preserve">USD </w:t>
      </w:r>
      <w:r w:rsidR="00B9453E">
        <w:rPr>
          <w:i/>
          <w:sz w:val="26"/>
          <w:szCs w:val="26"/>
          <w:lang w:val="uz-Cyrl-UZ"/>
        </w:rPr>
        <w:t>2</w:t>
      </w:r>
      <w:r w:rsidR="00B9453E" w:rsidRPr="00147844">
        <w:rPr>
          <w:i/>
          <w:sz w:val="26"/>
          <w:szCs w:val="26"/>
          <w:lang w:val="en-US"/>
        </w:rPr>
        <w:t>.</w:t>
      </w:r>
      <w:r w:rsidR="00B9453E">
        <w:rPr>
          <w:i/>
          <w:sz w:val="26"/>
          <w:szCs w:val="26"/>
          <w:lang w:val="en-US"/>
        </w:rPr>
        <w:t>8</w:t>
      </w:r>
      <w:r w:rsidR="00B9453E" w:rsidRPr="00147844">
        <w:rPr>
          <w:i/>
          <w:sz w:val="26"/>
          <w:szCs w:val="26"/>
          <w:lang w:val="uz-Cyrl-UZ"/>
        </w:rPr>
        <w:t xml:space="preserve"> </w:t>
      </w:r>
      <w:r w:rsidR="00B9453E" w:rsidRPr="00147844">
        <w:rPr>
          <w:i/>
          <w:sz w:val="26"/>
          <w:szCs w:val="26"/>
          <w:lang w:val="en-US"/>
        </w:rPr>
        <w:t>b</w:t>
      </w:r>
      <w:r w:rsidR="00B9453E" w:rsidRPr="00147844">
        <w:rPr>
          <w:i/>
          <w:sz w:val="26"/>
          <w:szCs w:val="26"/>
          <w:lang w:val="uz-Cyrl-UZ"/>
        </w:rPr>
        <w:t xml:space="preserve">illion </w:t>
      </w:r>
      <w:r w:rsidR="00B9453E" w:rsidRPr="00147844">
        <w:rPr>
          <w:i/>
          <w:sz w:val="26"/>
          <w:szCs w:val="26"/>
          <w:lang w:val="en-US"/>
        </w:rPr>
        <w:t>for</w:t>
      </w:r>
      <w:r w:rsidR="00B9453E" w:rsidRPr="00147844">
        <w:rPr>
          <w:i/>
          <w:sz w:val="26"/>
          <w:szCs w:val="26"/>
          <w:lang w:val="uz-Cyrl-UZ"/>
        </w:rPr>
        <w:t xml:space="preserve"> 2019</w:t>
      </w:r>
      <w:r w:rsidR="00B9453E" w:rsidRPr="00147844">
        <w:rPr>
          <w:sz w:val="26"/>
          <w:szCs w:val="26"/>
          <w:lang w:val="uz-Cyrl-UZ"/>
        </w:rPr>
        <w:t>)</w:t>
      </w:r>
      <w:r w:rsidR="00B9453E">
        <w:rPr>
          <w:sz w:val="26"/>
          <w:szCs w:val="26"/>
          <w:lang w:val="en-US"/>
        </w:rPr>
        <w:t xml:space="preserve">. </w:t>
      </w:r>
      <w:r w:rsidR="00F52091" w:rsidRPr="00147844">
        <w:rPr>
          <w:sz w:val="26"/>
          <w:szCs w:val="26"/>
          <w:lang w:val="en-US"/>
        </w:rPr>
        <w:t>T</w:t>
      </w:r>
      <w:r w:rsidR="00FB316E" w:rsidRPr="00147844">
        <w:rPr>
          <w:sz w:val="26"/>
          <w:szCs w:val="26"/>
          <w:lang w:val="uz-Cyrl-UZ"/>
        </w:rPr>
        <w:t xml:space="preserve">hese groups of goods </w:t>
      </w:r>
      <w:r w:rsidR="00F52091" w:rsidRPr="00147844">
        <w:rPr>
          <w:sz w:val="26"/>
          <w:szCs w:val="26"/>
          <w:lang w:val="en-US"/>
        </w:rPr>
        <w:t>recorded</w:t>
      </w:r>
      <w:r w:rsidR="00FB316E" w:rsidRPr="00147844">
        <w:rPr>
          <w:sz w:val="26"/>
          <w:szCs w:val="26"/>
          <w:lang w:val="uz-Cyrl-UZ"/>
        </w:rPr>
        <w:t xml:space="preserve"> </w:t>
      </w:r>
      <w:r w:rsidR="00DD1D9C">
        <w:rPr>
          <w:sz w:val="26"/>
          <w:szCs w:val="26"/>
          <w:lang w:val="uz-Cyrl-UZ"/>
        </w:rPr>
        <w:t>7</w:t>
      </w:r>
      <w:r w:rsidR="000E425C">
        <w:rPr>
          <w:sz w:val="26"/>
          <w:szCs w:val="26"/>
          <w:lang w:val="en-US"/>
        </w:rPr>
        <w:t>0</w:t>
      </w:r>
      <w:r w:rsidR="00FB316E" w:rsidRPr="00147844">
        <w:rPr>
          <w:sz w:val="26"/>
          <w:szCs w:val="26"/>
          <w:lang w:val="uz-Cyrl-UZ"/>
        </w:rPr>
        <w:t xml:space="preserve">% of the total volume of imports of goods </w:t>
      </w:r>
      <w:r w:rsidR="00FB316E" w:rsidRPr="00147844">
        <w:rPr>
          <w:i/>
          <w:sz w:val="26"/>
          <w:szCs w:val="26"/>
          <w:lang w:val="uz-Cyrl-UZ"/>
        </w:rPr>
        <w:t>(</w:t>
      </w:r>
      <w:r w:rsidR="00DD1D9C">
        <w:rPr>
          <w:i/>
          <w:sz w:val="26"/>
          <w:szCs w:val="26"/>
          <w:lang w:val="uz-Cyrl-UZ"/>
        </w:rPr>
        <w:t>7</w:t>
      </w:r>
      <w:r w:rsidR="000E425C">
        <w:rPr>
          <w:i/>
          <w:sz w:val="26"/>
          <w:szCs w:val="26"/>
          <w:lang w:val="en-US"/>
        </w:rPr>
        <w:t>3</w:t>
      </w:r>
      <w:r w:rsidR="00FB316E" w:rsidRPr="00147844">
        <w:rPr>
          <w:i/>
          <w:sz w:val="26"/>
          <w:szCs w:val="26"/>
          <w:lang w:val="uz-Cyrl-UZ"/>
        </w:rPr>
        <w:t xml:space="preserve">% </w:t>
      </w:r>
      <w:r w:rsidR="001C35C3" w:rsidRPr="00147844">
        <w:rPr>
          <w:i/>
          <w:sz w:val="26"/>
          <w:szCs w:val="26"/>
          <w:lang w:val="en-US"/>
        </w:rPr>
        <w:t>for</w:t>
      </w:r>
      <w:r w:rsidR="00FB316E" w:rsidRPr="00147844">
        <w:rPr>
          <w:i/>
          <w:sz w:val="26"/>
          <w:szCs w:val="26"/>
          <w:lang w:val="uz-Cyrl-UZ"/>
        </w:rPr>
        <w:t xml:space="preserve"> 2019)</w:t>
      </w:r>
      <w:r w:rsidR="00FB316E" w:rsidRPr="00147844">
        <w:rPr>
          <w:sz w:val="26"/>
          <w:szCs w:val="26"/>
          <w:lang w:val="uz-Cyrl-UZ"/>
        </w:rPr>
        <w:t xml:space="preserve"> </w:t>
      </w:r>
      <w:r w:rsidR="00FB316E" w:rsidRPr="00147844">
        <w:rPr>
          <w:rFonts w:cs="Calibri"/>
          <w:color w:val="0070C0"/>
          <w:sz w:val="26"/>
          <w:szCs w:val="26"/>
          <w:lang w:val="en-US"/>
        </w:rPr>
        <w:t>(</w:t>
      </w:r>
      <w:r w:rsidR="00B23450" w:rsidRPr="00147844">
        <w:rPr>
          <w:rFonts w:cs="Calibri"/>
          <w:color w:val="0070C0"/>
          <w:sz w:val="26"/>
          <w:szCs w:val="26"/>
          <w:lang w:val="en-US"/>
        </w:rPr>
        <w:t>Figure</w:t>
      </w:r>
      <w:r w:rsidR="00FB316E" w:rsidRPr="00147844">
        <w:rPr>
          <w:rFonts w:cs="Calibri"/>
          <w:color w:val="0070C0"/>
          <w:sz w:val="26"/>
          <w:szCs w:val="26"/>
          <w:lang w:val="en-US"/>
        </w:rPr>
        <w:t xml:space="preserve"> </w:t>
      </w:r>
      <w:r w:rsidR="00352A51">
        <w:rPr>
          <w:rFonts w:cs="Calibri"/>
          <w:color w:val="0070C0"/>
          <w:sz w:val="26"/>
          <w:szCs w:val="26"/>
          <w:lang w:val="en-US"/>
        </w:rPr>
        <w:t>7</w:t>
      </w:r>
      <w:r w:rsidR="00FB316E" w:rsidRPr="00147844">
        <w:rPr>
          <w:rFonts w:cs="Calibri"/>
          <w:color w:val="0070C0"/>
          <w:sz w:val="26"/>
          <w:szCs w:val="26"/>
          <w:lang w:val="en-US"/>
        </w:rPr>
        <w:t>).</w:t>
      </w:r>
    </w:p>
    <w:p w:rsidR="0056599C" w:rsidRPr="00147844" w:rsidRDefault="00B23450" w:rsidP="008337E4">
      <w:pPr>
        <w:ind w:left="8494"/>
        <w:jc w:val="right"/>
        <w:rPr>
          <w:rFonts w:cs="Calibri"/>
          <w:noProof/>
          <w:lang w:val="en-US"/>
        </w:rPr>
      </w:pPr>
      <w:r w:rsidRPr="00147844">
        <w:rPr>
          <w:rFonts w:cs="Calibri"/>
          <w:noProof/>
          <w:lang w:val="en-US"/>
        </w:rPr>
        <w:t>Figure</w:t>
      </w:r>
      <w:r w:rsidR="0056599C" w:rsidRPr="00147844">
        <w:rPr>
          <w:rFonts w:cs="Calibri"/>
          <w:noProof/>
          <w:lang w:val="en-US"/>
        </w:rPr>
        <w:t xml:space="preserve"> </w:t>
      </w:r>
      <w:r w:rsidR="000E425C">
        <w:rPr>
          <w:rFonts w:cs="Calibri"/>
          <w:noProof/>
          <w:lang w:val="en-US"/>
        </w:rPr>
        <w:t>7</w:t>
      </w:r>
    </w:p>
    <w:p w:rsidR="0056599C" w:rsidRPr="00147844" w:rsidRDefault="0056599C" w:rsidP="0056599C">
      <w:pPr>
        <w:jc w:val="center"/>
        <w:rPr>
          <w:b/>
          <w:noProof/>
          <w:sz w:val="28"/>
          <w:szCs w:val="28"/>
          <w:lang w:val="en-US"/>
        </w:rPr>
      </w:pPr>
      <w:r w:rsidRPr="00352A51">
        <w:rPr>
          <w:b/>
          <w:noProof/>
          <w:sz w:val="28"/>
          <w:szCs w:val="28"/>
          <w:lang w:val="en-US"/>
        </w:rPr>
        <w:t>MAJOR GROUPS OF IMPORTED PRODUCTS</w:t>
      </w:r>
    </w:p>
    <w:p w:rsidR="0056599C" w:rsidRPr="00345081" w:rsidRDefault="0056599C" w:rsidP="000221B9">
      <w:pPr>
        <w:spacing w:line="360" w:lineRule="auto"/>
        <w:jc w:val="center"/>
        <w:rPr>
          <w:b/>
          <w:noProof/>
          <w:sz w:val="26"/>
          <w:szCs w:val="26"/>
          <w:lang w:val="en-US"/>
        </w:rPr>
      </w:pPr>
      <w:r w:rsidRPr="00147844">
        <w:rPr>
          <w:i/>
          <w:noProof/>
          <w:sz w:val="26"/>
          <w:szCs w:val="26"/>
          <w:lang w:val="en-US"/>
        </w:rPr>
        <w:t>(normalized to total volume of import)</w:t>
      </w:r>
    </w:p>
    <w:p w:rsidR="0056599C" w:rsidRPr="00181DE3" w:rsidRDefault="000E425C" w:rsidP="005A20F1">
      <w:pPr>
        <w:spacing w:line="288" w:lineRule="auto"/>
        <w:jc w:val="right"/>
        <w:rPr>
          <w:i/>
          <w:noProof/>
          <w:sz w:val="20"/>
          <w:szCs w:val="20"/>
          <w:lang w:val="en-US"/>
        </w:rPr>
      </w:pPr>
      <w:r>
        <w:rPr>
          <w:noProof/>
        </w:rPr>
        <w:drawing>
          <wp:inline distT="0" distB="0" distL="0" distR="0" wp14:anchorId="774BEBA4" wp14:editId="18FFA5EC">
            <wp:extent cx="6254750" cy="4156363"/>
            <wp:effectExtent l="0" t="0" r="12700" b="15875"/>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B316E" w:rsidRPr="00147844" w:rsidRDefault="006F69F0" w:rsidP="00147844">
      <w:pPr>
        <w:spacing w:before="60" w:line="288" w:lineRule="auto"/>
        <w:ind w:firstLine="709"/>
        <w:jc w:val="both"/>
        <w:rPr>
          <w:sz w:val="26"/>
          <w:szCs w:val="26"/>
          <w:lang w:val="uz-Cyrl-UZ"/>
        </w:rPr>
      </w:pPr>
      <w:r>
        <w:rPr>
          <w:sz w:val="26"/>
          <w:szCs w:val="26"/>
          <w:lang w:val="en-US"/>
        </w:rPr>
        <w:t>I</w:t>
      </w:r>
      <w:r w:rsidR="00FB316E" w:rsidRPr="00147844">
        <w:rPr>
          <w:sz w:val="26"/>
          <w:szCs w:val="26"/>
          <w:lang w:val="uz-Cyrl-UZ"/>
        </w:rPr>
        <w:t xml:space="preserve">mport of goods </w:t>
      </w:r>
      <w:r w:rsidR="00230C60" w:rsidRPr="00147844">
        <w:rPr>
          <w:sz w:val="26"/>
          <w:szCs w:val="26"/>
          <w:lang w:val="en-US"/>
        </w:rPr>
        <w:t>from</w:t>
      </w:r>
      <w:r w:rsidR="00FB316E" w:rsidRPr="00147844">
        <w:rPr>
          <w:sz w:val="26"/>
          <w:szCs w:val="26"/>
          <w:lang w:val="uz-Cyrl-UZ"/>
        </w:rPr>
        <w:t xml:space="preserve"> all major trading partners</w:t>
      </w:r>
      <w:r w:rsidR="00230C60" w:rsidRPr="00147844">
        <w:rPr>
          <w:sz w:val="26"/>
          <w:szCs w:val="26"/>
          <w:lang w:val="uz-Cyrl-UZ"/>
        </w:rPr>
        <w:t xml:space="preserve"> decreased</w:t>
      </w:r>
      <w:r>
        <w:rPr>
          <w:sz w:val="26"/>
          <w:szCs w:val="26"/>
          <w:lang w:val="en-US"/>
        </w:rPr>
        <w:t xml:space="preserve"> compare to 2019</w:t>
      </w:r>
      <w:r w:rsidR="00FB316E" w:rsidRPr="00147844">
        <w:rPr>
          <w:sz w:val="26"/>
          <w:szCs w:val="26"/>
          <w:lang w:val="uz-Cyrl-UZ"/>
        </w:rPr>
        <w:t xml:space="preserve">, with the exception of Russia </w:t>
      </w:r>
      <w:r w:rsidR="005A20F1">
        <w:rPr>
          <w:sz w:val="26"/>
          <w:szCs w:val="26"/>
          <w:lang w:val="en-US"/>
        </w:rPr>
        <w:t xml:space="preserve">and </w:t>
      </w:r>
      <w:r w:rsidR="005A20F1" w:rsidRPr="00147844">
        <w:rPr>
          <w:sz w:val="26"/>
          <w:szCs w:val="26"/>
          <w:lang w:val="uz-Cyrl-UZ"/>
        </w:rPr>
        <w:t xml:space="preserve">Kazakhstan </w:t>
      </w:r>
      <w:r w:rsidR="00FB316E" w:rsidRPr="00147844">
        <w:rPr>
          <w:sz w:val="26"/>
          <w:szCs w:val="26"/>
          <w:lang w:val="uz-Cyrl-UZ"/>
        </w:rPr>
        <w:t>(</w:t>
      </w:r>
      <w:r w:rsidR="00FB316E" w:rsidRPr="00147844">
        <w:rPr>
          <w:i/>
          <w:sz w:val="26"/>
          <w:szCs w:val="26"/>
          <w:lang w:val="uz-Cyrl-UZ"/>
        </w:rPr>
        <w:t xml:space="preserve">an increase of </w:t>
      </w:r>
      <w:r w:rsidR="005A20F1">
        <w:rPr>
          <w:i/>
          <w:sz w:val="26"/>
          <w:szCs w:val="26"/>
          <w:lang w:val="en-US"/>
        </w:rPr>
        <w:t>4</w:t>
      </w:r>
      <w:r w:rsidR="00FB316E" w:rsidRPr="00147844">
        <w:rPr>
          <w:i/>
          <w:sz w:val="26"/>
          <w:szCs w:val="26"/>
          <w:lang w:val="uz-Cyrl-UZ"/>
        </w:rPr>
        <w:t>%</w:t>
      </w:r>
      <w:r w:rsidR="005A20F1">
        <w:rPr>
          <w:i/>
          <w:sz w:val="26"/>
          <w:szCs w:val="26"/>
          <w:lang w:val="en-US"/>
        </w:rPr>
        <w:t xml:space="preserve"> and 1% respectively)</w:t>
      </w:r>
      <w:r w:rsidR="00FB316E" w:rsidRPr="00147844">
        <w:rPr>
          <w:sz w:val="26"/>
          <w:szCs w:val="26"/>
          <w:lang w:val="uz-Cyrl-UZ"/>
        </w:rPr>
        <w:t xml:space="preserve">. The reason for this reduction was the slowdown in economic activity </w:t>
      </w:r>
      <w:r w:rsidR="00230C60" w:rsidRPr="00147844">
        <w:rPr>
          <w:sz w:val="26"/>
          <w:szCs w:val="26"/>
          <w:lang w:val="en-US"/>
        </w:rPr>
        <w:t>during</w:t>
      </w:r>
      <w:r w:rsidR="00FB316E" w:rsidRPr="00147844">
        <w:rPr>
          <w:sz w:val="26"/>
          <w:szCs w:val="26"/>
          <w:lang w:val="uz-Cyrl-UZ"/>
        </w:rPr>
        <w:t xml:space="preserve"> the reporting period.</w:t>
      </w:r>
    </w:p>
    <w:p w:rsidR="00A82C55" w:rsidRDefault="00230C60" w:rsidP="00147844">
      <w:pPr>
        <w:spacing w:before="120" w:line="288" w:lineRule="auto"/>
        <w:ind w:firstLine="708"/>
        <w:jc w:val="both"/>
        <w:rPr>
          <w:sz w:val="26"/>
          <w:szCs w:val="26"/>
          <w:lang w:val="uz-Cyrl-UZ"/>
        </w:rPr>
      </w:pPr>
      <w:r w:rsidRPr="00147844">
        <w:rPr>
          <w:sz w:val="26"/>
          <w:szCs w:val="26"/>
          <w:lang w:val="en-US"/>
        </w:rPr>
        <w:t xml:space="preserve">Herewith, the volume of </w:t>
      </w:r>
      <w:r w:rsidRPr="00147844">
        <w:rPr>
          <w:sz w:val="26"/>
          <w:szCs w:val="26"/>
          <w:lang w:val="uz-Cyrl-UZ"/>
        </w:rPr>
        <w:t xml:space="preserve">imported goods </w:t>
      </w:r>
      <w:r w:rsidRPr="00147844">
        <w:rPr>
          <w:sz w:val="26"/>
          <w:szCs w:val="26"/>
          <w:lang w:val="en-US"/>
        </w:rPr>
        <w:t>from</w:t>
      </w:r>
      <w:r w:rsidRPr="00147844">
        <w:rPr>
          <w:sz w:val="26"/>
          <w:szCs w:val="26"/>
          <w:lang w:val="uz-Cyrl-UZ"/>
        </w:rPr>
        <w:t xml:space="preserve"> </w:t>
      </w:r>
      <w:r w:rsidR="00FB316E" w:rsidRPr="00147844">
        <w:rPr>
          <w:sz w:val="26"/>
          <w:szCs w:val="26"/>
          <w:lang w:val="uz-Cyrl-UZ"/>
        </w:rPr>
        <w:t>China</w:t>
      </w:r>
      <w:r w:rsidRPr="00147844">
        <w:rPr>
          <w:sz w:val="26"/>
          <w:szCs w:val="26"/>
          <w:lang w:val="en-US"/>
        </w:rPr>
        <w:t xml:space="preserve"> reduced by</w:t>
      </w:r>
      <w:r w:rsidR="00665A7F" w:rsidRPr="00147844">
        <w:rPr>
          <w:sz w:val="26"/>
          <w:szCs w:val="26"/>
          <w:lang w:val="uz-Cyrl-UZ"/>
        </w:rPr>
        <w:t xml:space="preserve"> 13</w:t>
      </w:r>
      <w:r w:rsidR="00FB316E" w:rsidRPr="00147844">
        <w:rPr>
          <w:sz w:val="26"/>
          <w:szCs w:val="26"/>
          <w:lang w:val="uz-Cyrl-UZ"/>
        </w:rPr>
        <w:t xml:space="preserve">%, </w:t>
      </w:r>
      <w:r w:rsidRPr="00147844">
        <w:rPr>
          <w:sz w:val="26"/>
          <w:szCs w:val="26"/>
          <w:lang w:val="en-US"/>
        </w:rPr>
        <w:t>from</w:t>
      </w:r>
      <w:r w:rsidR="00FB316E" w:rsidRPr="00147844">
        <w:rPr>
          <w:sz w:val="26"/>
          <w:szCs w:val="26"/>
          <w:lang w:val="uz-Cyrl-UZ"/>
        </w:rPr>
        <w:t xml:space="preserve"> the Republic </w:t>
      </w:r>
      <w:r w:rsidRPr="00147844">
        <w:rPr>
          <w:sz w:val="26"/>
          <w:szCs w:val="26"/>
          <w:lang w:val="uz-Cyrl-UZ"/>
        </w:rPr>
        <w:t xml:space="preserve">of Korea – </w:t>
      </w:r>
      <w:r w:rsidR="005A20F1">
        <w:rPr>
          <w:sz w:val="26"/>
          <w:szCs w:val="26"/>
          <w:lang w:val="en-US"/>
        </w:rPr>
        <w:t>32</w:t>
      </w:r>
      <w:r w:rsidR="00FB316E" w:rsidRPr="00147844">
        <w:rPr>
          <w:sz w:val="26"/>
          <w:szCs w:val="26"/>
          <w:lang w:val="uz-Cyrl-UZ"/>
        </w:rPr>
        <w:t xml:space="preserve">%, </w:t>
      </w:r>
      <w:r w:rsidRPr="00147844">
        <w:rPr>
          <w:sz w:val="26"/>
          <w:szCs w:val="26"/>
          <w:lang w:val="en-US"/>
        </w:rPr>
        <w:t>from</w:t>
      </w:r>
      <w:r w:rsidR="00FB316E" w:rsidRPr="00147844">
        <w:rPr>
          <w:sz w:val="26"/>
          <w:szCs w:val="26"/>
          <w:lang w:val="uz-Cyrl-UZ"/>
        </w:rPr>
        <w:t xml:space="preserve"> </w:t>
      </w:r>
      <w:r w:rsidRPr="00147844">
        <w:rPr>
          <w:sz w:val="26"/>
          <w:szCs w:val="26"/>
          <w:lang w:val="uz-Cyrl-UZ"/>
        </w:rPr>
        <w:t xml:space="preserve">Turkey – </w:t>
      </w:r>
      <w:r w:rsidR="00665A7F" w:rsidRPr="00147844">
        <w:rPr>
          <w:sz w:val="26"/>
          <w:szCs w:val="26"/>
          <w:lang w:val="uz-Cyrl-UZ"/>
        </w:rPr>
        <w:t xml:space="preserve"> </w:t>
      </w:r>
      <w:r w:rsidR="00901062" w:rsidRPr="00147844">
        <w:rPr>
          <w:sz w:val="26"/>
          <w:szCs w:val="26"/>
          <w:lang w:val="en-US"/>
        </w:rPr>
        <w:t>1</w:t>
      </w:r>
      <w:r w:rsidR="005A20F1">
        <w:rPr>
          <w:sz w:val="26"/>
          <w:szCs w:val="26"/>
          <w:lang w:val="en-US"/>
        </w:rPr>
        <w:t>3</w:t>
      </w:r>
      <w:r w:rsidR="00FB316E" w:rsidRPr="00147844">
        <w:rPr>
          <w:sz w:val="26"/>
          <w:szCs w:val="26"/>
          <w:lang w:val="uz-Cyrl-UZ"/>
        </w:rPr>
        <w:t xml:space="preserve">% </w:t>
      </w:r>
      <w:r w:rsidR="00FB316E" w:rsidRPr="00147844">
        <w:rPr>
          <w:color w:val="0070C0"/>
          <w:sz w:val="26"/>
          <w:szCs w:val="26"/>
          <w:lang w:val="en-US"/>
        </w:rPr>
        <w:t>(</w:t>
      </w:r>
      <w:r w:rsidR="00B23450" w:rsidRPr="00147844">
        <w:rPr>
          <w:color w:val="0070C0"/>
          <w:sz w:val="26"/>
          <w:szCs w:val="26"/>
          <w:lang w:val="en-US"/>
        </w:rPr>
        <w:t>Figure</w:t>
      </w:r>
      <w:r w:rsidR="00FB316E" w:rsidRPr="00147844">
        <w:rPr>
          <w:color w:val="0070C0"/>
          <w:sz w:val="26"/>
          <w:szCs w:val="26"/>
          <w:lang w:val="en-US"/>
        </w:rPr>
        <w:t xml:space="preserve"> </w:t>
      </w:r>
      <w:r w:rsidR="00483CD3">
        <w:rPr>
          <w:color w:val="0070C0"/>
          <w:sz w:val="26"/>
          <w:szCs w:val="26"/>
          <w:lang w:val="en-US"/>
        </w:rPr>
        <w:t>8</w:t>
      </w:r>
      <w:r w:rsidR="00FB316E" w:rsidRPr="00147844">
        <w:rPr>
          <w:color w:val="0070C0"/>
          <w:sz w:val="26"/>
          <w:szCs w:val="26"/>
          <w:lang w:val="en-US"/>
        </w:rPr>
        <w:t>)</w:t>
      </w:r>
      <w:r w:rsidR="00FB316E" w:rsidRPr="00147844">
        <w:rPr>
          <w:sz w:val="26"/>
          <w:szCs w:val="26"/>
          <w:lang w:val="uz-Cyrl-UZ"/>
        </w:rPr>
        <w:t xml:space="preserve">. The total share of these countries in imports </w:t>
      </w:r>
      <w:r w:rsidR="00901062" w:rsidRPr="00147844">
        <w:rPr>
          <w:sz w:val="26"/>
          <w:szCs w:val="26"/>
          <w:lang w:val="en-US"/>
        </w:rPr>
        <w:t>for</w:t>
      </w:r>
      <w:r w:rsidR="00FB316E" w:rsidRPr="00147844">
        <w:rPr>
          <w:sz w:val="26"/>
          <w:szCs w:val="26"/>
          <w:lang w:val="uz-Cyrl-UZ"/>
        </w:rPr>
        <w:t xml:space="preserve"> 20</w:t>
      </w:r>
      <w:r w:rsidR="00665A7F" w:rsidRPr="00147844">
        <w:rPr>
          <w:sz w:val="26"/>
          <w:szCs w:val="26"/>
          <w:lang w:val="uz-Cyrl-UZ"/>
        </w:rPr>
        <w:t xml:space="preserve">20 amounted to </w:t>
      </w:r>
      <w:r w:rsidR="005A20F1">
        <w:rPr>
          <w:sz w:val="26"/>
          <w:szCs w:val="26"/>
          <w:lang w:val="en-US"/>
        </w:rPr>
        <w:t>6</w:t>
      </w:r>
      <w:r w:rsidR="00483CD3">
        <w:rPr>
          <w:sz w:val="26"/>
          <w:szCs w:val="26"/>
          <w:lang w:val="en-US"/>
        </w:rPr>
        <w:t>7</w:t>
      </w:r>
      <w:r w:rsidR="00FB316E" w:rsidRPr="00147844">
        <w:rPr>
          <w:sz w:val="26"/>
          <w:szCs w:val="26"/>
          <w:lang w:val="uz-Cyrl-UZ"/>
        </w:rPr>
        <w:t xml:space="preserve">%, </w:t>
      </w:r>
      <w:r w:rsidR="00F64253" w:rsidRPr="00147844">
        <w:rPr>
          <w:sz w:val="26"/>
          <w:szCs w:val="26"/>
          <w:lang w:val="uz-Cyrl-UZ"/>
        </w:rPr>
        <w:t>2</w:t>
      </w:r>
      <w:r w:rsidR="005A20F1">
        <w:rPr>
          <w:sz w:val="26"/>
          <w:szCs w:val="26"/>
          <w:lang w:val="en-US"/>
        </w:rPr>
        <w:t>1</w:t>
      </w:r>
      <w:r w:rsidR="00F64253" w:rsidRPr="00147844">
        <w:rPr>
          <w:sz w:val="26"/>
          <w:szCs w:val="26"/>
          <w:lang w:val="uz-Cyrl-UZ"/>
        </w:rPr>
        <w:t>%</w:t>
      </w:r>
      <w:r w:rsidR="00F64253" w:rsidRPr="00147844">
        <w:rPr>
          <w:sz w:val="26"/>
          <w:szCs w:val="26"/>
          <w:lang w:val="en-US"/>
        </w:rPr>
        <w:t xml:space="preserve"> </w:t>
      </w:r>
      <w:r w:rsidR="00F64253" w:rsidRPr="00147844">
        <w:rPr>
          <w:sz w:val="26"/>
          <w:szCs w:val="26"/>
          <w:lang w:val="uz-Cyrl-UZ"/>
        </w:rPr>
        <w:t xml:space="preserve">of which </w:t>
      </w:r>
      <w:r w:rsidR="008E503F" w:rsidRPr="00147844">
        <w:rPr>
          <w:sz w:val="26"/>
          <w:szCs w:val="26"/>
          <w:lang w:val="en-US"/>
        </w:rPr>
        <w:t>accounted for</w:t>
      </w:r>
      <w:r w:rsidR="00FB316E" w:rsidRPr="00147844">
        <w:rPr>
          <w:sz w:val="26"/>
          <w:szCs w:val="26"/>
          <w:lang w:val="uz-Cyrl-UZ"/>
        </w:rPr>
        <w:t xml:space="preserve"> Russia, 2</w:t>
      </w:r>
      <w:r w:rsidR="005A20F1">
        <w:rPr>
          <w:sz w:val="26"/>
          <w:szCs w:val="26"/>
          <w:lang w:val="en-US"/>
        </w:rPr>
        <w:t>1</w:t>
      </w:r>
      <w:r w:rsidR="00FB316E" w:rsidRPr="00147844">
        <w:rPr>
          <w:sz w:val="26"/>
          <w:szCs w:val="26"/>
          <w:lang w:val="uz-Cyrl-UZ"/>
        </w:rPr>
        <w:t xml:space="preserve">% </w:t>
      </w:r>
      <w:r w:rsidR="008E503F" w:rsidRPr="00147844">
        <w:rPr>
          <w:sz w:val="26"/>
          <w:szCs w:val="26"/>
          <w:lang w:val="en-US"/>
        </w:rPr>
        <w:t>for</w:t>
      </w:r>
      <w:r w:rsidR="00FB316E" w:rsidRPr="00147844">
        <w:rPr>
          <w:sz w:val="26"/>
          <w:szCs w:val="26"/>
          <w:lang w:val="uz-Cyrl-UZ"/>
        </w:rPr>
        <w:t xml:space="preserve"> China, </w:t>
      </w:r>
      <w:r w:rsidR="005A20F1">
        <w:rPr>
          <w:sz w:val="26"/>
          <w:szCs w:val="26"/>
          <w:lang w:val="en-US"/>
        </w:rPr>
        <w:t>9</w:t>
      </w:r>
      <w:r w:rsidR="00FB316E" w:rsidRPr="00147844">
        <w:rPr>
          <w:sz w:val="26"/>
          <w:szCs w:val="26"/>
          <w:lang w:val="uz-Cyrl-UZ"/>
        </w:rPr>
        <w:t xml:space="preserve">% </w:t>
      </w:r>
      <w:r w:rsidR="008E503F" w:rsidRPr="00147844">
        <w:rPr>
          <w:sz w:val="26"/>
          <w:szCs w:val="26"/>
          <w:lang w:val="en-US"/>
        </w:rPr>
        <w:t>for</w:t>
      </w:r>
      <w:r w:rsidR="00FB316E" w:rsidRPr="00147844">
        <w:rPr>
          <w:sz w:val="26"/>
          <w:szCs w:val="26"/>
          <w:lang w:val="uz-Cyrl-UZ"/>
        </w:rPr>
        <w:t xml:space="preserve"> the Republic of Korea, </w:t>
      </w:r>
      <w:r w:rsidR="00901062" w:rsidRPr="00147844">
        <w:rPr>
          <w:sz w:val="26"/>
          <w:szCs w:val="26"/>
          <w:lang w:val="en-US"/>
        </w:rPr>
        <w:t>10</w:t>
      </w:r>
      <w:r w:rsidR="00FB316E" w:rsidRPr="00147844">
        <w:rPr>
          <w:sz w:val="26"/>
          <w:szCs w:val="26"/>
          <w:lang w:val="uz-Cyrl-UZ"/>
        </w:rPr>
        <w:t xml:space="preserve">% </w:t>
      </w:r>
      <w:r w:rsidR="008E503F" w:rsidRPr="00147844">
        <w:rPr>
          <w:sz w:val="26"/>
          <w:szCs w:val="26"/>
          <w:lang w:val="en-US"/>
        </w:rPr>
        <w:t>for</w:t>
      </w:r>
      <w:r w:rsidR="00FB316E" w:rsidRPr="00147844">
        <w:rPr>
          <w:sz w:val="26"/>
          <w:szCs w:val="26"/>
          <w:lang w:val="uz-Cyrl-UZ"/>
        </w:rPr>
        <w:t xml:space="preserve"> Kazakhstan, </w:t>
      </w:r>
      <w:r w:rsidR="00901062" w:rsidRPr="00147844">
        <w:rPr>
          <w:sz w:val="26"/>
          <w:szCs w:val="26"/>
          <w:lang w:val="en-US"/>
        </w:rPr>
        <w:t>6</w:t>
      </w:r>
      <w:r w:rsidR="00FB316E" w:rsidRPr="00147844">
        <w:rPr>
          <w:sz w:val="26"/>
          <w:szCs w:val="26"/>
          <w:lang w:val="uz-Cyrl-UZ"/>
        </w:rPr>
        <w:t xml:space="preserve">% </w:t>
      </w:r>
      <w:r w:rsidR="008E503F" w:rsidRPr="00147844">
        <w:rPr>
          <w:sz w:val="26"/>
          <w:szCs w:val="26"/>
          <w:lang w:val="en-US"/>
        </w:rPr>
        <w:t>for</w:t>
      </w:r>
      <w:r w:rsidR="00FB316E" w:rsidRPr="00147844">
        <w:rPr>
          <w:sz w:val="26"/>
          <w:szCs w:val="26"/>
          <w:lang w:val="uz-Cyrl-UZ"/>
        </w:rPr>
        <w:t xml:space="preserve"> Turkey. (</w:t>
      </w:r>
      <w:r w:rsidR="00901062" w:rsidRPr="00147844">
        <w:rPr>
          <w:i/>
          <w:sz w:val="26"/>
          <w:szCs w:val="26"/>
          <w:lang w:val="en-US"/>
        </w:rPr>
        <w:t xml:space="preserve">For </w:t>
      </w:r>
      <w:r w:rsidR="00FB316E" w:rsidRPr="00147844">
        <w:rPr>
          <w:i/>
          <w:sz w:val="26"/>
          <w:szCs w:val="26"/>
          <w:lang w:val="uz-Cyrl-UZ"/>
        </w:rPr>
        <w:t xml:space="preserve">2019, the </w:t>
      </w:r>
      <w:r w:rsidR="008E503F" w:rsidRPr="00147844">
        <w:rPr>
          <w:i/>
          <w:sz w:val="26"/>
          <w:szCs w:val="26"/>
          <w:lang w:val="en-US"/>
        </w:rPr>
        <w:t>total</w:t>
      </w:r>
      <w:r w:rsidR="00FB316E" w:rsidRPr="00147844">
        <w:rPr>
          <w:i/>
          <w:sz w:val="26"/>
          <w:szCs w:val="26"/>
          <w:lang w:val="uz-Cyrl-UZ"/>
        </w:rPr>
        <w:t xml:space="preserve"> share</w:t>
      </w:r>
      <w:r w:rsidR="008E503F" w:rsidRPr="00147844">
        <w:rPr>
          <w:i/>
          <w:sz w:val="26"/>
          <w:szCs w:val="26"/>
          <w:lang w:val="en-US"/>
        </w:rPr>
        <w:t>s</w:t>
      </w:r>
      <w:r w:rsidR="00FB316E" w:rsidRPr="00147844">
        <w:rPr>
          <w:i/>
          <w:sz w:val="26"/>
          <w:szCs w:val="26"/>
          <w:lang w:val="uz-Cyrl-UZ"/>
        </w:rPr>
        <w:t xml:space="preserve"> of these countries in the volume of imports was </w:t>
      </w:r>
      <w:r w:rsidR="005A20F1">
        <w:rPr>
          <w:i/>
          <w:sz w:val="26"/>
          <w:szCs w:val="26"/>
          <w:lang w:val="en-US"/>
        </w:rPr>
        <w:t>6</w:t>
      </w:r>
      <w:r w:rsidR="00A57311">
        <w:rPr>
          <w:i/>
          <w:sz w:val="26"/>
          <w:szCs w:val="26"/>
          <w:lang w:val="en-US"/>
        </w:rPr>
        <w:t>8</w:t>
      </w:r>
      <w:r w:rsidR="00FB316E" w:rsidRPr="00147844">
        <w:rPr>
          <w:i/>
          <w:sz w:val="26"/>
          <w:szCs w:val="26"/>
          <w:lang w:val="uz-Cyrl-UZ"/>
        </w:rPr>
        <w:t>%, of whic</w:t>
      </w:r>
      <w:r w:rsidR="008E503F" w:rsidRPr="00147844">
        <w:rPr>
          <w:i/>
          <w:sz w:val="26"/>
          <w:szCs w:val="26"/>
          <w:lang w:val="uz-Cyrl-UZ"/>
        </w:rPr>
        <w:t xml:space="preserve">h </w:t>
      </w:r>
      <w:r w:rsidR="00483CD3">
        <w:rPr>
          <w:i/>
          <w:sz w:val="26"/>
          <w:szCs w:val="26"/>
          <w:lang w:val="en-US"/>
        </w:rPr>
        <w:t>18</w:t>
      </w:r>
      <w:r w:rsidR="008E503F" w:rsidRPr="00147844">
        <w:rPr>
          <w:i/>
          <w:sz w:val="26"/>
          <w:szCs w:val="26"/>
          <w:lang w:val="uz-Cyrl-UZ"/>
        </w:rPr>
        <w:t xml:space="preserve">%, </w:t>
      </w:r>
      <w:r w:rsidR="00483CD3">
        <w:rPr>
          <w:i/>
          <w:sz w:val="26"/>
          <w:szCs w:val="26"/>
          <w:lang w:val="en-US"/>
        </w:rPr>
        <w:t>22</w:t>
      </w:r>
      <w:r w:rsidR="008E503F" w:rsidRPr="00147844">
        <w:rPr>
          <w:i/>
          <w:sz w:val="26"/>
          <w:szCs w:val="26"/>
          <w:lang w:val="uz-Cyrl-UZ"/>
        </w:rPr>
        <w:t xml:space="preserve">%, </w:t>
      </w:r>
      <w:r w:rsidR="005A20F1">
        <w:rPr>
          <w:i/>
          <w:sz w:val="26"/>
          <w:szCs w:val="26"/>
          <w:lang w:val="en-US"/>
        </w:rPr>
        <w:t>12</w:t>
      </w:r>
      <w:r w:rsidR="008E503F" w:rsidRPr="00147844">
        <w:rPr>
          <w:i/>
          <w:sz w:val="26"/>
          <w:szCs w:val="26"/>
          <w:lang w:val="uz-Cyrl-UZ"/>
        </w:rPr>
        <w:t xml:space="preserve">%, </w:t>
      </w:r>
      <w:r w:rsidR="005A20F1">
        <w:rPr>
          <w:i/>
          <w:sz w:val="26"/>
          <w:szCs w:val="26"/>
          <w:lang w:val="en-US"/>
        </w:rPr>
        <w:t>9</w:t>
      </w:r>
      <w:r w:rsidR="008E503F" w:rsidRPr="00147844">
        <w:rPr>
          <w:i/>
          <w:sz w:val="26"/>
          <w:szCs w:val="26"/>
          <w:lang w:val="uz-Cyrl-UZ"/>
        </w:rPr>
        <w:t>%, 6%</w:t>
      </w:r>
      <w:r w:rsidR="00FB316E" w:rsidRPr="00147844">
        <w:rPr>
          <w:sz w:val="26"/>
          <w:szCs w:val="26"/>
          <w:lang w:val="uz-Cyrl-UZ"/>
        </w:rPr>
        <w:t>. At the same time, the share of European coun</w:t>
      </w:r>
      <w:r w:rsidR="008E503F" w:rsidRPr="00147844">
        <w:rPr>
          <w:sz w:val="26"/>
          <w:szCs w:val="26"/>
          <w:lang w:val="uz-Cyrl-UZ"/>
        </w:rPr>
        <w:t xml:space="preserve">tries </w:t>
      </w:r>
      <w:r w:rsidR="00665A7F" w:rsidRPr="00147844">
        <w:rPr>
          <w:sz w:val="26"/>
          <w:szCs w:val="26"/>
          <w:lang w:val="en-US"/>
        </w:rPr>
        <w:t>increased</w:t>
      </w:r>
      <w:r w:rsidR="008E503F" w:rsidRPr="00147844">
        <w:rPr>
          <w:sz w:val="26"/>
          <w:szCs w:val="26"/>
          <w:lang w:val="uz-Cyrl-UZ"/>
        </w:rPr>
        <w:t xml:space="preserve"> from 23% to 2</w:t>
      </w:r>
      <w:r w:rsidR="00483CD3">
        <w:rPr>
          <w:sz w:val="26"/>
          <w:szCs w:val="26"/>
          <w:lang w:val="en-US"/>
        </w:rPr>
        <w:t>4</w:t>
      </w:r>
      <w:r w:rsidR="008E503F" w:rsidRPr="00147844">
        <w:rPr>
          <w:sz w:val="26"/>
          <w:szCs w:val="26"/>
          <w:lang w:val="uz-Cyrl-UZ"/>
        </w:rPr>
        <w:t>%, which was related to</w:t>
      </w:r>
      <w:r w:rsidR="00FB316E" w:rsidRPr="00147844">
        <w:rPr>
          <w:sz w:val="26"/>
          <w:szCs w:val="26"/>
          <w:lang w:val="uz-Cyrl-UZ"/>
        </w:rPr>
        <w:t xml:space="preserve"> an </w:t>
      </w:r>
      <w:r w:rsidR="00665A7F" w:rsidRPr="00147844">
        <w:rPr>
          <w:sz w:val="26"/>
          <w:szCs w:val="26"/>
          <w:lang w:val="en-US"/>
        </w:rPr>
        <w:t>decrease</w:t>
      </w:r>
      <w:r w:rsidR="00FB316E" w:rsidRPr="00147844">
        <w:rPr>
          <w:sz w:val="26"/>
          <w:szCs w:val="26"/>
          <w:lang w:val="uz-Cyrl-UZ"/>
        </w:rPr>
        <w:t xml:space="preserve"> in the share</w:t>
      </w:r>
      <w:r w:rsidR="008E503F" w:rsidRPr="00147844">
        <w:rPr>
          <w:sz w:val="26"/>
          <w:szCs w:val="26"/>
          <w:lang w:val="en-US"/>
        </w:rPr>
        <w:t>s</w:t>
      </w:r>
      <w:r w:rsidR="00FB316E" w:rsidRPr="00147844">
        <w:rPr>
          <w:sz w:val="26"/>
          <w:szCs w:val="26"/>
          <w:lang w:val="uz-Cyrl-UZ"/>
        </w:rPr>
        <w:t xml:space="preserve"> of main trading partners in the volume of imports.</w:t>
      </w:r>
    </w:p>
    <w:p w:rsidR="005A20F1" w:rsidRDefault="005A20F1" w:rsidP="0056599C">
      <w:pPr>
        <w:jc w:val="right"/>
        <w:rPr>
          <w:rFonts w:cs="Calibri"/>
          <w:noProof/>
          <w:lang w:val="en-US"/>
        </w:rPr>
      </w:pPr>
    </w:p>
    <w:p w:rsidR="0056599C" w:rsidRPr="00942AA3" w:rsidRDefault="00B23450" w:rsidP="0056599C">
      <w:pPr>
        <w:jc w:val="right"/>
        <w:rPr>
          <w:rFonts w:cs="Calibri"/>
          <w:noProof/>
          <w:lang w:val="en-US"/>
        </w:rPr>
      </w:pPr>
      <w:r>
        <w:rPr>
          <w:rFonts w:cs="Calibri"/>
          <w:noProof/>
          <w:lang w:val="en-US"/>
        </w:rPr>
        <w:lastRenderedPageBreak/>
        <w:t>Figure</w:t>
      </w:r>
      <w:r w:rsidR="0056599C" w:rsidRPr="00F45A80">
        <w:rPr>
          <w:rFonts w:cs="Calibri"/>
          <w:noProof/>
          <w:lang w:val="en-US"/>
        </w:rPr>
        <w:t xml:space="preserve"> </w:t>
      </w:r>
      <w:r w:rsidR="00483CD3">
        <w:rPr>
          <w:rFonts w:cs="Calibri"/>
          <w:noProof/>
          <w:lang w:val="en-US"/>
        </w:rPr>
        <w:t>8</w:t>
      </w:r>
    </w:p>
    <w:p w:rsidR="0056599C" w:rsidRPr="00F45A80" w:rsidRDefault="0056599C" w:rsidP="0056599C">
      <w:pPr>
        <w:jc w:val="center"/>
        <w:rPr>
          <w:b/>
          <w:noProof/>
          <w:sz w:val="28"/>
          <w:szCs w:val="28"/>
          <w:lang w:val="en-US"/>
        </w:rPr>
      </w:pPr>
      <w:r w:rsidRPr="00483CD3">
        <w:rPr>
          <w:b/>
          <w:noProof/>
          <w:sz w:val="28"/>
          <w:szCs w:val="28"/>
          <w:lang w:val="en-US"/>
        </w:rPr>
        <w:t xml:space="preserve">MAIN </w:t>
      </w:r>
      <w:r w:rsidR="00996D84" w:rsidRPr="00483CD3">
        <w:rPr>
          <w:b/>
          <w:noProof/>
          <w:sz w:val="28"/>
          <w:szCs w:val="28"/>
          <w:lang w:val="en-US"/>
        </w:rPr>
        <w:t>IMPORT</w:t>
      </w:r>
      <w:r w:rsidRPr="00483CD3">
        <w:rPr>
          <w:b/>
          <w:noProof/>
          <w:sz w:val="28"/>
          <w:szCs w:val="28"/>
          <w:lang w:val="en-US"/>
        </w:rPr>
        <w:t xml:space="preserve"> DESTINATIONS</w:t>
      </w:r>
    </w:p>
    <w:p w:rsidR="0056599C" w:rsidRPr="00357263" w:rsidRDefault="0056599C" w:rsidP="000070A3">
      <w:pPr>
        <w:spacing w:before="120"/>
        <w:jc w:val="right"/>
        <w:rPr>
          <w:sz w:val="26"/>
          <w:szCs w:val="26"/>
          <w:lang w:val="en-US"/>
        </w:rPr>
      </w:pPr>
      <w:r w:rsidRPr="00F45A80">
        <w:rPr>
          <w:i/>
          <w:noProof/>
          <w:sz w:val="20"/>
          <w:szCs w:val="20"/>
          <w:lang w:val="en-US"/>
        </w:rPr>
        <w:t>(mln.USD)</w:t>
      </w:r>
      <w:r w:rsidRPr="009A7620">
        <w:rPr>
          <w:noProof/>
          <w:lang w:val="en-US"/>
        </w:rPr>
        <w:t xml:space="preserve"> </w:t>
      </w:r>
    </w:p>
    <w:p w:rsidR="0056599C" w:rsidRPr="0056599C" w:rsidRDefault="005A20F1" w:rsidP="000070A3">
      <w:pPr>
        <w:spacing w:before="120"/>
        <w:jc w:val="both"/>
        <w:rPr>
          <w:sz w:val="26"/>
          <w:szCs w:val="26"/>
          <w:lang w:val="en-US"/>
        </w:rPr>
      </w:pPr>
      <w:r>
        <w:rPr>
          <w:noProof/>
        </w:rPr>
        <w:drawing>
          <wp:inline distT="0" distB="0" distL="0" distR="0" wp14:anchorId="5684650C" wp14:editId="25411DAC">
            <wp:extent cx="6438900" cy="3956685"/>
            <wp:effectExtent l="0" t="0" r="0" b="571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82C55" w:rsidRPr="00850C10" w:rsidRDefault="00A82C55">
      <w:pPr>
        <w:rPr>
          <w:sz w:val="26"/>
          <w:szCs w:val="26"/>
          <w:lang w:val="en-US"/>
        </w:rPr>
      </w:pPr>
      <w:r>
        <w:rPr>
          <w:sz w:val="26"/>
          <w:szCs w:val="26"/>
          <w:lang w:val="uz-Cyrl-UZ"/>
        </w:rPr>
        <w:br w:type="page"/>
      </w:r>
    </w:p>
    <w:p w:rsidR="00534944" w:rsidRPr="00F45A80" w:rsidRDefault="00534944" w:rsidP="00F44C0F">
      <w:pPr>
        <w:spacing w:before="120" w:line="288" w:lineRule="auto"/>
        <w:ind w:firstLine="284"/>
        <w:jc w:val="both"/>
        <w:rPr>
          <w:sz w:val="2"/>
          <w:szCs w:val="2"/>
          <w:lang w:val="en-US"/>
        </w:rPr>
      </w:pPr>
    </w:p>
    <w:p w:rsidR="0036624D" w:rsidRPr="00F45A80" w:rsidRDefault="00492C4B" w:rsidP="00916B82">
      <w:pPr>
        <w:pStyle w:val="21"/>
        <w:spacing w:after="240"/>
        <w:rPr>
          <w:rFonts w:ascii="Calibri" w:hAnsi="Calibri"/>
          <w:lang w:val="en-US"/>
        </w:rPr>
      </w:pPr>
      <w:bookmarkStart w:id="4" w:name="_Toc67050788"/>
      <w:r w:rsidRPr="004575D8">
        <w:rPr>
          <w:rFonts w:ascii="Calibri" w:hAnsi="Calibri"/>
          <w:lang w:val="en-US"/>
        </w:rPr>
        <w:t>SERVICES</w:t>
      </w:r>
      <w:bookmarkEnd w:id="4"/>
    </w:p>
    <w:p w:rsidR="00F44C0F" w:rsidRPr="00147844" w:rsidRDefault="00F44C0F" w:rsidP="00A63858">
      <w:pPr>
        <w:spacing w:after="120" w:line="288" w:lineRule="auto"/>
        <w:ind w:firstLine="709"/>
        <w:jc w:val="both"/>
        <w:rPr>
          <w:color w:val="2E74B5"/>
          <w:sz w:val="26"/>
          <w:szCs w:val="26"/>
          <w:lang w:val="en-US"/>
        </w:rPr>
      </w:pPr>
      <w:r w:rsidRPr="00147844">
        <w:rPr>
          <w:sz w:val="26"/>
          <w:szCs w:val="26"/>
          <w:lang w:val="en-US"/>
        </w:rPr>
        <w:t xml:space="preserve">The deficit in international trade with services recorded a decrease by </w:t>
      </w:r>
      <w:r w:rsidR="004231FE">
        <w:rPr>
          <w:sz w:val="26"/>
          <w:szCs w:val="26"/>
          <w:lang w:val="en-US"/>
        </w:rPr>
        <w:t>20</w:t>
      </w:r>
      <w:r w:rsidRPr="00147844">
        <w:rPr>
          <w:sz w:val="26"/>
          <w:szCs w:val="26"/>
          <w:lang w:val="en-US"/>
        </w:rPr>
        <w:t xml:space="preserve">% compared to </w:t>
      </w:r>
      <w:r w:rsidR="00A82C55" w:rsidRPr="00147844">
        <w:rPr>
          <w:sz w:val="26"/>
          <w:szCs w:val="26"/>
          <w:lang w:val="en-US"/>
        </w:rPr>
        <w:t>2019</w:t>
      </w:r>
      <w:r w:rsidRPr="00147844">
        <w:rPr>
          <w:sz w:val="26"/>
          <w:szCs w:val="26"/>
          <w:lang w:val="en-US"/>
        </w:rPr>
        <w:t xml:space="preserve"> and amounted USD </w:t>
      </w:r>
      <w:r w:rsidR="00901062" w:rsidRPr="00147844">
        <w:rPr>
          <w:sz w:val="26"/>
          <w:szCs w:val="26"/>
          <w:lang w:val="en-US"/>
        </w:rPr>
        <w:t>1</w:t>
      </w:r>
      <w:r w:rsidR="00665A7F" w:rsidRPr="00147844">
        <w:rPr>
          <w:sz w:val="26"/>
          <w:szCs w:val="26"/>
          <w:lang w:val="en-US"/>
        </w:rPr>
        <w:t>.</w:t>
      </w:r>
      <w:r w:rsidR="004231FE">
        <w:rPr>
          <w:sz w:val="26"/>
          <w:szCs w:val="26"/>
          <w:lang w:val="en-US"/>
        </w:rPr>
        <w:t>8</w:t>
      </w:r>
      <w:r w:rsidRPr="00147844">
        <w:rPr>
          <w:sz w:val="26"/>
          <w:szCs w:val="26"/>
          <w:lang w:val="en-US"/>
        </w:rPr>
        <w:t xml:space="preserve"> </w:t>
      </w:r>
      <w:r w:rsidR="00901062" w:rsidRPr="00147844">
        <w:rPr>
          <w:sz w:val="26"/>
          <w:szCs w:val="26"/>
          <w:lang w:val="en-US"/>
        </w:rPr>
        <w:t>billion</w:t>
      </w:r>
      <w:r w:rsidR="00665A7F" w:rsidRPr="00147844">
        <w:rPr>
          <w:sz w:val="26"/>
          <w:szCs w:val="26"/>
          <w:lang w:val="en-US"/>
        </w:rPr>
        <w:t xml:space="preserve">, mainly due to a decrease in the total volume of foreign trade turnover in international </w:t>
      </w:r>
      <w:r w:rsidR="00665A7F" w:rsidRPr="004575D8">
        <w:rPr>
          <w:sz w:val="26"/>
          <w:szCs w:val="26"/>
          <w:lang w:val="en-US"/>
        </w:rPr>
        <w:t>services.</w:t>
      </w:r>
      <w:r w:rsidRPr="004575D8">
        <w:rPr>
          <w:sz w:val="26"/>
          <w:szCs w:val="26"/>
          <w:lang w:val="en-US"/>
        </w:rPr>
        <w:t xml:space="preserve"> Transport and travel-related services</w:t>
      </w:r>
      <w:r w:rsidRPr="00147844">
        <w:rPr>
          <w:sz w:val="26"/>
          <w:szCs w:val="26"/>
          <w:lang w:val="en-US"/>
        </w:rPr>
        <w:t xml:space="preserve"> remain historical</w:t>
      </w:r>
      <w:r w:rsidR="0051285F">
        <w:rPr>
          <w:sz w:val="26"/>
          <w:szCs w:val="26"/>
          <w:lang w:val="en-US"/>
        </w:rPr>
        <w:t>ly</w:t>
      </w:r>
      <w:r w:rsidRPr="00147844">
        <w:rPr>
          <w:sz w:val="26"/>
          <w:szCs w:val="26"/>
          <w:lang w:val="en-US"/>
        </w:rPr>
        <w:t xml:space="preserve"> dominant in the structure of exports and imports of services</w:t>
      </w:r>
      <w:r w:rsidRPr="00147844">
        <w:rPr>
          <w:rFonts w:cs="Calibri"/>
          <w:color w:val="0070C0"/>
          <w:sz w:val="26"/>
          <w:szCs w:val="26"/>
          <w:lang w:val="en-US"/>
        </w:rPr>
        <w:t>. (</w:t>
      </w:r>
      <w:r w:rsidR="00B23450" w:rsidRPr="00147844">
        <w:rPr>
          <w:rFonts w:cs="Calibri"/>
          <w:color w:val="0070C0"/>
          <w:sz w:val="26"/>
          <w:szCs w:val="26"/>
          <w:lang w:val="en-US"/>
        </w:rPr>
        <w:t>Figure</w:t>
      </w:r>
      <w:r w:rsidRPr="00147844">
        <w:rPr>
          <w:rFonts w:cs="Calibri"/>
          <w:color w:val="0070C0"/>
          <w:sz w:val="26"/>
          <w:szCs w:val="26"/>
          <w:lang w:val="en-US"/>
        </w:rPr>
        <w:t xml:space="preserve">s </w:t>
      </w:r>
      <w:r w:rsidR="004575D8">
        <w:rPr>
          <w:rFonts w:cs="Calibri"/>
          <w:color w:val="0070C0"/>
          <w:sz w:val="26"/>
          <w:szCs w:val="26"/>
          <w:lang w:val="en-US"/>
        </w:rPr>
        <w:t>9</w:t>
      </w:r>
      <w:r w:rsidRPr="00147844">
        <w:rPr>
          <w:rFonts w:cs="Calibri"/>
          <w:color w:val="0070C0"/>
          <w:sz w:val="26"/>
          <w:szCs w:val="26"/>
          <w:lang w:val="en-US"/>
        </w:rPr>
        <w:t>,</w:t>
      </w:r>
      <w:r w:rsidR="00090C60" w:rsidRPr="00147844">
        <w:rPr>
          <w:rFonts w:cs="Calibri"/>
          <w:color w:val="0070C0"/>
          <w:sz w:val="26"/>
          <w:szCs w:val="26"/>
          <w:lang w:val="en-US"/>
        </w:rPr>
        <w:t xml:space="preserve"> </w:t>
      </w:r>
      <w:r w:rsidR="004575D8">
        <w:rPr>
          <w:rFonts w:cs="Calibri"/>
          <w:color w:val="0070C0"/>
          <w:sz w:val="26"/>
          <w:szCs w:val="26"/>
          <w:lang w:val="en-US"/>
        </w:rPr>
        <w:t>10</w:t>
      </w:r>
      <w:r w:rsidRPr="00147844">
        <w:rPr>
          <w:rFonts w:cs="Calibri"/>
          <w:color w:val="0070C0"/>
          <w:sz w:val="26"/>
          <w:szCs w:val="26"/>
          <w:lang w:val="en-US"/>
        </w:rPr>
        <w:t>).</w:t>
      </w:r>
    </w:p>
    <w:p w:rsidR="005F5FCA" w:rsidRPr="004575D8" w:rsidRDefault="00B23450" w:rsidP="00821A0E">
      <w:pPr>
        <w:ind w:left="8496"/>
        <w:jc w:val="right"/>
        <w:rPr>
          <w:rFonts w:cs="Calibri"/>
          <w:noProof/>
          <w:lang w:val="en-US"/>
        </w:rPr>
      </w:pPr>
      <w:r w:rsidRPr="004575D8">
        <w:rPr>
          <w:rFonts w:cs="Calibri"/>
          <w:noProof/>
          <w:lang w:val="en-US"/>
        </w:rPr>
        <w:t>Figure</w:t>
      </w:r>
      <w:r w:rsidR="00CC154F" w:rsidRPr="004575D8">
        <w:rPr>
          <w:rFonts w:cs="Calibri"/>
          <w:noProof/>
          <w:lang w:val="en-US"/>
        </w:rPr>
        <w:t xml:space="preserve"> </w:t>
      </w:r>
      <w:r w:rsidR="004575D8" w:rsidRPr="004575D8">
        <w:rPr>
          <w:rFonts w:cs="Calibri"/>
          <w:noProof/>
          <w:lang w:val="en-US"/>
        </w:rPr>
        <w:t>9</w:t>
      </w:r>
    </w:p>
    <w:p w:rsidR="005F5FCA" w:rsidRPr="00F45A80" w:rsidRDefault="004619C5" w:rsidP="005F5FCA">
      <w:pPr>
        <w:jc w:val="center"/>
        <w:rPr>
          <w:rFonts w:cs="Calibri"/>
          <w:b/>
          <w:noProof/>
          <w:sz w:val="28"/>
          <w:szCs w:val="28"/>
          <w:lang w:val="en-US"/>
        </w:rPr>
      </w:pPr>
      <w:r w:rsidRPr="004575D8">
        <w:rPr>
          <w:rFonts w:cs="Calibri"/>
          <w:b/>
          <w:noProof/>
          <w:sz w:val="28"/>
          <w:szCs w:val="28"/>
          <w:lang w:val="en-US"/>
        </w:rPr>
        <w:t>MAIN TYPES OF EXPORTED SERVICES</w:t>
      </w:r>
    </w:p>
    <w:p w:rsidR="005F5FCA" w:rsidRPr="00F45A80" w:rsidRDefault="005F5FCA" w:rsidP="005F5FCA">
      <w:pPr>
        <w:spacing w:line="288" w:lineRule="auto"/>
        <w:jc w:val="right"/>
        <w:rPr>
          <w:noProof/>
          <w:lang w:val="en-US"/>
        </w:rPr>
      </w:pPr>
      <w:r w:rsidRPr="00F45A80">
        <w:rPr>
          <w:i/>
          <w:noProof/>
          <w:sz w:val="20"/>
          <w:szCs w:val="20"/>
          <w:lang w:val="en-US"/>
        </w:rPr>
        <w:t>(mln.USD)</w:t>
      </w:r>
    </w:p>
    <w:p w:rsidR="005F5FCA" w:rsidRPr="00F45A80" w:rsidRDefault="00A83818" w:rsidP="005F5FCA">
      <w:pPr>
        <w:spacing w:line="288" w:lineRule="auto"/>
        <w:jc w:val="right"/>
        <w:rPr>
          <w:rFonts w:cs="Calibri"/>
          <w:sz w:val="26"/>
          <w:szCs w:val="26"/>
          <w:lang w:val="en-US"/>
        </w:rPr>
      </w:pPr>
      <w:r>
        <w:rPr>
          <w:noProof/>
        </w:rPr>
        <w:drawing>
          <wp:inline distT="0" distB="0" distL="0" distR="0" wp14:anchorId="4B015DE0" wp14:editId="7357D34D">
            <wp:extent cx="6400800" cy="3978275"/>
            <wp:effectExtent l="0" t="0" r="0" b="317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44C0F" w:rsidRPr="00147844" w:rsidRDefault="0075417E" w:rsidP="00F44C0F">
      <w:pPr>
        <w:spacing w:before="120" w:line="288" w:lineRule="auto"/>
        <w:ind w:firstLine="709"/>
        <w:jc w:val="both"/>
        <w:rPr>
          <w:sz w:val="26"/>
          <w:szCs w:val="26"/>
          <w:lang w:val="en-US"/>
        </w:rPr>
      </w:pPr>
      <w:r w:rsidRPr="00147844">
        <w:rPr>
          <w:sz w:val="26"/>
          <w:szCs w:val="26"/>
          <w:lang w:val="en-US"/>
        </w:rPr>
        <w:t>During the reporting period, v</w:t>
      </w:r>
      <w:r w:rsidR="00F44C0F" w:rsidRPr="00147844">
        <w:rPr>
          <w:sz w:val="26"/>
          <w:szCs w:val="26"/>
          <w:lang w:val="en-US"/>
        </w:rPr>
        <w:t>olume of expor</w:t>
      </w:r>
      <w:r w:rsidR="00A82C55" w:rsidRPr="00147844">
        <w:rPr>
          <w:sz w:val="26"/>
          <w:szCs w:val="26"/>
          <w:lang w:val="en-US"/>
        </w:rPr>
        <w:t>ted services amounted to USD </w:t>
      </w:r>
      <w:r w:rsidR="00901062" w:rsidRPr="00147844">
        <w:rPr>
          <w:sz w:val="26"/>
          <w:szCs w:val="26"/>
          <w:lang w:val="en-US"/>
        </w:rPr>
        <w:t>1</w:t>
      </w:r>
      <w:r w:rsidR="00665A7F" w:rsidRPr="00147844">
        <w:rPr>
          <w:sz w:val="26"/>
          <w:szCs w:val="26"/>
          <w:lang w:val="en-US"/>
        </w:rPr>
        <w:t>.</w:t>
      </w:r>
      <w:r w:rsidR="00A83818">
        <w:rPr>
          <w:sz w:val="26"/>
          <w:szCs w:val="26"/>
          <w:lang w:val="en-US"/>
        </w:rPr>
        <w:t>7</w:t>
      </w:r>
      <w:r w:rsidR="00F44C0F" w:rsidRPr="00147844">
        <w:rPr>
          <w:sz w:val="26"/>
          <w:szCs w:val="26"/>
          <w:lang w:val="en-US"/>
        </w:rPr>
        <w:t xml:space="preserve"> </w:t>
      </w:r>
      <w:r w:rsidR="00901062" w:rsidRPr="00147844">
        <w:rPr>
          <w:sz w:val="26"/>
          <w:szCs w:val="26"/>
          <w:lang w:val="en-US"/>
        </w:rPr>
        <w:t>billio</w:t>
      </w:r>
      <w:r w:rsidR="000E7BA5" w:rsidRPr="00147844">
        <w:rPr>
          <w:sz w:val="26"/>
          <w:szCs w:val="26"/>
          <w:lang w:val="en-US"/>
        </w:rPr>
        <w:t>n</w:t>
      </w:r>
      <w:r w:rsidR="00F44C0F" w:rsidRPr="00147844">
        <w:rPr>
          <w:sz w:val="26"/>
          <w:szCs w:val="26"/>
          <w:lang w:val="en-US"/>
        </w:rPr>
        <w:t xml:space="preserve"> </w:t>
      </w:r>
      <w:r w:rsidR="00A82C55" w:rsidRPr="00147844">
        <w:rPr>
          <w:i/>
          <w:sz w:val="26"/>
          <w:szCs w:val="26"/>
          <w:lang w:val="en-US"/>
        </w:rPr>
        <w:t>(USD </w:t>
      </w:r>
      <w:r w:rsidR="00A83818">
        <w:rPr>
          <w:i/>
          <w:sz w:val="26"/>
          <w:szCs w:val="26"/>
          <w:lang w:val="en-US"/>
        </w:rPr>
        <w:t>3</w:t>
      </w:r>
      <w:r w:rsidR="00665A7F" w:rsidRPr="00147844">
        <w:rPr>
          <w:i/>
          <w:sz w:val="26"/>
          <w:szCs w:val="26"/>
          <w:lang w:val="en-US"/>
        </w:rPr>
        <w:t>.</w:t>
      </w:r>
      <w:r w:rsidR="00A83818">
        <w:rPr>
          <w:i/>
          <w:sz w:val="26"/>
          <w:szCs w:val="26"/>
          <w:lang w:val="en-US"/>
        </w:rPr>
        <w:t>1</w:t>
      </w:r>
      <w:r w:rsidR="00F44C0F" w:rsidRPr="00147844">
        <w:rPr>
          <w:i/>
          <w:sz w:val="26"/>
          <w:szCs w:val="26"/>
          <w:lang w:val="en-US"/>
        </w:rPr>
        <w:t xml:space="preserve"> </w:t>
      </w:r>
      <w:r w:rsidR="00665A7F" w:rsidRPr="00147844">
        <w:rPr>
          <w:i/>
          <w:sz w:val="26"/>
          <w:szCs w:val="26"/>
          <w:lang w:val="en-US"/>
        </w:rPr>
        <w:t>b</w:t>
      </w:r>
      <w:r w:rsidR="00A82C55" w:rsidRPr="00147844">
        <w:rPr>
          <w:i/>
          <w:sz w:val="26"/>
          <w:szCs w:val="26"/>
          <w:lang w:val="en-US"/>
        </w:rPr>
        <w:t>illion</w:t>
      </w:r>
      <w:r w:rsidR="00F44C0F" w:rsidRPr="00147844">
        <w:rPr>
          <w:i/>
          <w:sz w:val="26"/>
          <w:szCs w:val="26"/>
          <w:lang w:val="en-US"/>
        </w:rPr>
        <w:t xml:space="preserve"> </w:t>
      </w:r>
      <w:r w:rsidR="000E7BA5" w:rsidRPr="00147844">
        <w:rPr>
          <w:i/>
          <w:sz w:val="26"/>
          <w:szCs w:val="26"/>
          <w:lang w:val="en-US"/>
        </w:rPr>
        <w:t xml:space="preserve">for </w:t>
      </w:r>
      <w:r w:rsidR="00A82C55" w:rsidRPr="00147844">
        <w:rPr>
          <w:i/>
          <w:sz w:val="26"/>
          <w:szCs w:val="26"/>
          <w:lang w:val="en-US"/>
        </w:rPr>
        <w:t>2019</w:t>
      </w:r>
      <w:r w:rsidR="00F44C0F" w:rsidRPr="00147844">
        <w:rPr>
          <w:i/>
          <w:sz w:val="26"/>
          <w:szCs w:val="26"/>
          <w:lang w:val="en-US"/>
        </w:rPr>
        <w:t>)</w:t>
      </w:r>
      <w:r w:rsidR="00F44C0F" w:rsidRPr="00147844">
        <w:rPr>
          <w:sz w:val="26"/>
          <w:szCs w:val="26"/>
          <w:lang w:val="en-US"/>
        </w:rPr>
        <w:t>, while</w:t>
      </w:r>
      <w:r w:rsidR="00A82C55" w:rsidRPr="00147844">
        <w:rPr>
          <w:sz w:val="26"/>
          <w:szCs w:val="26"/>
          <w:lang w:val="en-US"/>
        </w:rPr>
        <w:t xml:space="preserve"> their imports amounted to USD </w:t>
      </w:r>
      <w:r w:rsidR="00A83818">
        <w:rPr>
          <w:sz w:val="26"/>
          <w:szCs w:val="26"/>
          <w:lang w:val="en-US"/>
        </w:rPr>
        <w:t>3</w:t>
      </w:r>
      <w:r w:rsidR="00A82C55" w:rsidRPr="00147844">
        <w:rPr>
          <w:sz w:val="26"/>
          <w:szCs w:val="26"/>
          <w:lang w:val="en-US"/>
        </w:rPr>
        <w:t>.</w:t>
      </w:r>
      <w:r w:rsidR="000E7BA5" w:rsidRPr="00147844">
        <w:rPr>
          <w:sz w:val="26"/>
          <w:szCs w:val="26"/>
          <w:lang w:val="en-US"/>
        </w:rPr>
        <w:t>5</w:t>
      </w:r>
      <w:r w:rsidR="00F44C0F" w:rsidRPr="00147844">
        <w:rPr>
          <w:sz w:val="26"/>
          <w:szCs w:val="26"/>
          <w:lang w:val="en-US"/>
        </w:rPr>
        <w:t xml:space="preserve"> billion </w:t>
      </w:r>
      <w:r w:rsidR="00F44C0F" w:rsidRPr="00147844">
        <w:rPr>
          <w:i/>
          <w:sz w:val="26"/>
          <w:szCs w:val="26"/>
          <w:lang w:val="en-US"/>
        </w:rPr>
        <w:t>(USD </w:t>
      </w:r>
      <w:r w:rsidR="00A83818">
        <w:rPr>
          <w:i/>
          <w:sz w:val="26"/>
          <w:szCs w:val="26"/>
          <w:lang w:val="en-US"/>
        </w:rPr>
        <w:t>5.</w:t>
      </w:r>
      <w:r w:rsidR="000E7BA5" w:rsidRPr="00147844">
        <w:rPr>
          <w:i/>
          <w:sz w:val="26"/>
          <w:szCs w:val="26"/>
          <w:lang w:val="en-US"/>
        </w:rPr>
        <w:t>4</w:t>
      </w:r>
      <w:r w:rsidR="00F44C0F" w:rsidRPr="00147844">
        <w:rPr>
          <w:i/>
          <w:sz w:val="26"/>
          <w:szCs w:val="26"/>
          <w:lang w:val="en-US"/>
        </w:rPr>
        <w:t xml:space="preserve"> billion </w:t>
      </w:r>
      <w:r w:rsidR="000E7BA5" w:rsidRPr="00147844">
        <w:rPr>
          <w:i/>
          <w:sz w:val="26"/>
          <w:szCs w:val="26"/>
          <w:lang w:val="en-US"/>
        </w:rPr>
        <w:t>for</w:t>
      </w:r>
      <w:r w:rsidR="00A82C55" w:rsidRPr="00147844">
        <w:rPr>
          <w:i/>
          <w:sz w:val="26"/>
          <w:szCs w:val="26"/>
          <w:lang w:val="en-US"/>
        </w:rPr>
        <w:t xml:space="preserve"> 2019</w:t>
      </w:r>
      <w:r w:rsidR="00F44C0F" w:rsidRPr="00147844">
        <w:rPr>
          <w:i/>
          <w:sz w:val="26"/>
          <w:szCs w:val="26"/>
          <w:lang w:val="en-US"/>
        </w:rPr>
        <w:t>)</w:t>
      </w:r>
      <w:r w:rsidRPr="00147844">
        <w:rPr>
          <w:sz w:val="26"/>
          <w:szCs w:val="26"/>
          <w:lang w:val="en-US"/>
        </w:rPr>
        <w:t xml:space="preserve">. Transport </w:t>
      </w:r>
      <w:r w:rsidR="00F44C0F" w:rsidRPr="00147844">
        <w:rPr>
          <w:sz w:val="26"/>
          <w:szCs w:val="26"/>
          <w:lang w:val="en-US"/>
        </w:rPr>
        <w:t>services and services related to tourism</w:t>
      </w:r>
      <w:r w:rsidR="00A82C55" w:rsidRPr="00147844">
        <w:rPr>
          <w:sz w:val="26"/>
          <w:szCs w:val="26"/>
          <w:lang w:val="en-US"/>
        </w:rPr>
        <w:t xml:space="preserve"> (travel) accounted for about </w:t>
      </w:r>
      <w:r w:rsidR="00A83818">
        <w:rPr>
          <w:sz w:val="26"/>
          <w:szCs w:val="26"/>
          <w:lang w:val="en-US"/>
        </w:rPr>
        <w:t>78</w:t>
      </w:r>
      <w:r w:rsidR="00F44C0F" w:rsidRPr="00147844">
        <w:rPr>
          <w:sz w:val="26"/>
          <w:szCs w:val="26"/>
          <w:lang w:val="en-US"/>
        </w:rPr>
        <w:t xml:space="preserve">% of the total export and import of services. </w:t>
      </w:r>
    </w:p>
    <w:p w:rsidR="0056599C" w:rsidRDefault="009F68E2" w:rsidP="00F44C0F">
      <w:pPr>
        <w:spacing w:before="120" w:line="288" w:lineRule="auto"/>
        <w:ind w:firstLine="709"/>
        <w:jc w:val="both"/>
        <w:rPr>
          <w:sz w:val="26"/>
          <w:szCs w:val="26"/>
          <w:lang w:val="en-US"/>
        </w:rPr>
      </w:pPr>
      <w:r w:rsidRPr="00147844">
        <w:rPr>
          <w:sz w:val="26"/>
          <w:szCs w:val="26"/>
          <w:lang w:val="en-US"/>
        </w:rPr>
        <w:t xml:space="preserve">At the same time, as a result of the worsening global epidemiological situation and the suspension of passenger air and rail services, the international services related to tourism (travel) decreased both in exports (by </w:t>
      </w:r>
      <w:r w:rsidR="000E7BA5" w:rsidRPr="00147844">
        <w:rPr>
          <w:sz w:val="26"/>
          <w:szCs w:val="26"/>
          <w:lang w:val="en-US"/>
        </w:rPr>
        <w:t>7</w:t>
      </w:r>
      <w:r w:rsidR="00684BC6">
        <w:rPr>
          <w:sz w:val="26"/>
          <w:szCs w:val="26"/>
          <w:lang w:val="en-US"/>
        </w:rPr>
        <w:t>7</w:t>
      </w:r>
      <w:r w:rsidRPr="00147844">
        <w:rPr>
          <w:sz w:val="26"/>
          <w:szCs w:val="26"/>
          <w:lang w:val="en-US"/>
        </w:rPr>
        <w:t xml:space="preserve">%) and in imports (by </w:t>
      </w:r>
      <w:r w:rsidR="00684BC6">
        <w:rPr>
          <w:sz w:val="26"/>
          <w:szCs w:val="26"/>
          <w:lang w:val="en-US"/>
        </w:rPr>
        <w:t>62</w:t>
      </w:r>
      <w:r w:rsidRPr="00147844">
        <w:rPr>
          <w:sz w:val="26"/>
          <w:szCs w:val="26"/>
          <w:lang w:val="en-US"/>
        </w:rPr>
        <w:t>%). Thus, the travel services sector remains the most vulnerable and continues to suffer significant losses during the coronavirus pandemic.</w:t>
      </w:r>
    </w:p>
    <w:p w:rsidR="0056599C" w:rsidRDefault="0056599C" w:rsidP="00F44C0F">
      <w:pPr>
        <w:spacing w:before="120" w:line="288" w:lineRule="auto"/>
        <w:ind w:firstLine="709"/>
        <w:jc w:val="both"/>
        <w:rPr>
          <w:sz w:val="26"/>
          <w:szCs w:val="26"/>
          <w:lang w:val="en-US"/>
        </w:rPr>
      </w:pPr>
    </w:p>
    <w:p w:rsidR="0056599C" w:rsidRDefault="0056599C" w:rsidP="00F44C0F">
      <w:pPr>
        <w:spacing w:before="120" w:line="288" w:lineRule="auto"/>
        <w:ind w:firstLine="709"/>
        <w:jc w:val="both"/>
        <w:rPr>
          <w:sz w:val="26"/>
          <w:szCs w:val="26"/>
          <w:lang w:val="en-US"/>
        </w:rPr>
      </w:pPr>
    </w:p>
    <w:p w:rsidR="005F5FCA" w:rsidRPr="00942AA3" w:rsidRDefault="00B23450" w:rsidP="00821A0E">
      <w:pPr>
        <w:ind w:left="8496"/>
        <w:jc w:val="right"/>
        <w:rPr>
          <w:rFonts w:cs="Calibri"/>
          <w:noProof/>
          <w:lang w:val="en-US"/>
        </w:rPr>
      </w:pPr>
      <w:r>
        <w:rPr>
          <w:rFonts w:cs="Calibri"/>
          <w:noProof/>
          <w:lang w:val="en-US"/>
        </w:rPr>
        <w:lastRenderedPageBreak/>
        <w:t>Figure</w:t>
      </w:r>
      <w:r w:rsidR="00CC154F">
        <w:rPr>
          <w:rFonts w:cs="Calibri"/>
          <w:noProof/>
          <w:lang w:val="en-US"/>
        </w:rPr>
        <w:t xml:space="preserve"> </w:t>
      </w:r>
      <w:r w:rsidR="00421C96">
        <w:rPr>
          <w:rFonts w:cs="Calibri"/>
          <w:noProof/>
          <w:lang w:val="en-US"/>
        </w:rPr>
        <w:t>10</w:t>
      </w:r>
    </w:p>
    <w:p w:rsidR="005F5FCA" w:rsidRPr="00F45A80" w:rsidRDefault="00922256" w:rsidP="005F5FCA">
      <w:pPr>
        <w:jc w:val="center"/>
        <w:rPr>
          <w:b/>
          <w:noProof/>
          <w:sz w:val="28"/>
          <w:szCs w:val="28"/>
          <w:lang w:val="en-US"/>
        </w:rPr>
      </w:pPr>
      <w:r w:rsidRPr="00421C96">
        <w:rPr>
          <w:b/>
          <w:noProof/>
          <w:sz w:val="28"/>
          <w:szCs w:val="28"/>
          <w:lang w:val="en-US"/>
        </w:rPr>
        <w:t>MAIN TYPES OF IMPORTED SERVICES</w:t>
      </w:r>
    </w:p>
    <w:p w:rsidR="005F5FCA" w:rsidRPr="00922256" w:rsidRDefault="005F5FCA" w:rsidP="000B16C5">
      <w:pPr>
        <w:jc w:val="right"/>
        <w:rPr>
          <w:noProof/>
          <w:lang w:val="en-US"/>
        </w:rPr>
      </w:pPr>
      <w:r w:rsidRPr="00F45A80">
        <w:rPr>
          <w:i/>
          <w:noProof/>
          <w:sz w:val="20"/>
          <w:szCs w:val="20"/>
          <w:lang w:val="en-US"/>
        </w:rPr>
        <w:t xml:space="preserve"> (mln.USD)</w:t>
      </w:r>
    </w:p>
    <w:p w:rsidR="005F5FCA" w:rsidRPr="00F45A80" w:rsidRDefault="00684BC6" w:rsidP="000B16C5">
      <w:pPr>
        <w:spacing w:before="120"/>
        <w:jc w:val="both"/>
        <w:rPr>
          <w:sz w:val="26"/>
          <w:szCs w:val="26"/>
          <w:lang w:val="en-US"/>
        </w:rPr>
      </w:pPr>
      <w:r>
        <w:rPr>
          <w:noProof/>
        </w:rPr>
        <w:drawing>
          <wp:inline distT="0" distB="0" distL="0" distR="0" wp14:anchorId="6AECF9B4" wp14:editId="4E07990C">
            <wp:extent cx="6299835" cy="3686810"/>
            <wp:effectExtent l="38100" t="38100" r="43815" b="4699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C6048" w:rsidRPr="00F45A80" w:rsidRDefault="005C6048" w:rsidP="005C6048">
      <w:pPr>
        <w:spacing w:before="120" w:line="288" w:lineRule="auto"/>
        <w:ind w:firstLine="709"/>
        <w:jc w:val="both"/>
        <w:rPr>
          <w:sz w:val="26"/>
          <w:szCs w:val="26"/>
          <w:lang w:val="en-US"/>
        </w:rPr>
      </w:pPr>
      <w:r w:rsidRPr="00147844">
        <w:rPr>
          <w:sz w:val="26"/>
          <w:szCs w:val="26"/>
          <w:lang w:val="en-US"/>
        </w:rPr>
        <w:t>The imports of transportation services were</w:t>
      </w:r>
      <w:r w:rsidR="0075417E" w:rsidRPr="00147844">
        <w:rPr>
          <w:sz w:val="26"/>
          <w:szCs w:val="26"/>
          <w:lang w:val="en-US"/>
        </w:rPr>
        <w:t xml:space="preserve"> </w:t>
      </w:r>
      <w:r w:rsidRPr="00147844">
        <w:rPr>
          <w:sz w:val="26"/>
          <w:szCs w:val="26"/>
          <w:lang w:val="en-US"/>
        </w:rPr>
        <w:t>dominat</w:t>
      </w:r>
      <w:r w:rsidR="00453157" w:rsidRPr="00147844">
        <w:rPr>
          <w:sz w:val="26"/>
          <w:szCs w:val="26"/>
          <w:lang w:val="en-US"/>
        </w:rPr>
        <w:t>ed by services provided by rail and</w:t>
      </w:r>
      <w:r w:rsidRPr="00147844">
        <w:rPr>
          <w:sz w:val="26"/>
          <w:szCs w:val="26"/>
          <w:lang w:val="en-US"/>
        </w:rPr>
        <w:t xml:space="preserve"> </w:t>
      </w:r>
      <w:r w:rsidR="00B95525" w:rsidRPr="00147844">
        <w:rPr>
          <w:sz w:val="26"/>
          <w:szCs w:val="26"/>
          <w:lang w:val="en-US"/>
        </w:rPr>
        <w:t>road transport</w:t>
      </w:r>
      <w:r w:rsidRPr="00147844">
        <w:rPr>
          <w:sz w:val="26"/>
          <w:szCs w:val="26"/>
          <w:lang w:val="en-US"/>
        </w:rPr>
        <w:t>. The vol</w:t>
      </w:r>
      <w:r w:rsidR="0075417E" w:rsidRPr="00147844">
        <w:rPr>
          <w:sz w:val="26"/>
          <w:szCs w:val="26"/>
          <w:lang w:val="en-US"/>
        </w:rPr>
        <w:t>ume of imports of transport</w:t>
      </w:r>
      <w:r w:rsidRPr="00147844">
        <w:rPr>
          <w:sz w:val="26"/>
          <w:szCs w:val="26"/>
          <w:lang w:val="en-US"/>
        </w:rPr>
        <w:t xml:space="preserve"> services by rail amounted to USD </w:t>
      </w:r>
      <w:r w:rsidR="00684BC6">
        <w:rPr>
          <w:sz w:val="26"/>
          <w:szCs w:val="26"/>
          <w:lang w:val="en-US"/>
        </w:rPr>
        <w:t>1</w:t>
      </w:r>
      <w:r w:rsidR="009F68E2" w:rsidRPr="00147844">
        <w:rPr>
          <w:sz w:val="26"/>
          <w:szCs w:val="26"/>
          <w:lang w:val="en-US"/>
        </w:rPr>
        <w:t>.</w:t>
      </w:r>
      <w:r w:rsidR="00684BC6">
        <w:rPr>
          <w:sz w:val="26"/>
          <w:szCs w:val="26"/>
          <w:lang w:val="en-US"/>
        </w:rPr>
        <w:t>2</w:t>
      </w:r>
      <w:r w:rsidR="00453157" w:rsidRPr="00147844">
        <w:rPr>
          <w:sz w:val="26"/>
          <w:szCs w:val="26"/>
          <w:lang w:val="en-US"/>
        </w:rPr>
        <w:t xml:space="preserve"> </w:t>
      </w:r>
      <w:r w:rsidR="004C3ED6">
        <w:rPr>
          <w:sz w:val="26"/>
          <w:szCs w:val="26"/>
          <w:lang w:val="en-US"/>
        </w:rPr>
        <w:t>b</w:t>
      </w:r>
      <w:r w:rsidRPr="00147844">
        <w:rPr>
          <w:sz w:val="26"/>
          <w:szCs w:val="26"/>
          <w:lang w:val="en-US"/>
        </w:rPr>
        <w:t xml:space="preserve">illion </w:t>
      </w:r>
      <w:r w:rsidR="009F68E2" w:rsidRPr="00147844">
        <w:rPr>
          <w:i/>
          <w:sz w:val="26"/>
          <w:szCs w:val="26"/>
          <w:lang w:val="en-US"/>
        </w:rPr>
        <w:t xml:space="preserve">(USD </w:t>
      </w:r>
      <w:r w:rsidR="00B95525" w:rsidRPr="00147844">
        <w:rPr>
          <w:i/>
          <w:sz w:val="26"/>
          <w:szCs w:val="26"/>
          <w:lang w:val="en-US"/>
        </w:rPr>
        <w:t>1</w:t>
      </w:r>
      <w:r w:rsidR="009F68E2" w:rsidRPr="00147844">
        <w:rPr>
          <w:i/>
          <w:sz w:val="26"/>
          <w:szCs w:val="26"/>
          <w:lang w:val="en-US"/>
        </w:rPr>
        <w:t>.</w:t>
      </w:r>
      <w:r w:rsidR="00B95525" w:rsidRPr="00147844">
        <w:rPr>
          <w:i/>
          <w:sz w:val="26"/>
          <w:szCs w:val="26"/>
          <w:lang w:val="en-US"/>
        </w:rPr>
        <w:t>3</w:t>
      </w:r>
      <w:r w:rsidRPr="00147844">
        <w:rPr>
          <w:i/>
          <w:sz w:val="26"/>
          <w:szCs w:val="26"/>
          <w:lang w:val="en-US"/>
        </w:rPr>
        <w:t xml:space="preserve"> </w:t>
      </w:r>
      <w:r w:rsidR="004C3ED6">
        <w:rPr>
          <w:i/>
          <w:sz w:val="26"/>
          <w:szCs w:val="26"/>
          <w:lang w:val="en-US"/>
        </w:rPr>
        <w:t>b</w:t>
      </w:r>
      <w:r w:rsidR="00453157" w:rsidRPr="00147844">
        <w:rPr>
          <w:i/>
          <w:sz w:val="26"/>
          <w:szCs w:val="26"/>
          <w:lang w:val="en-US"/>
        </w:rPr>
        <w:t>illion</w:t>
      </w:r>
      <w:r w:rsidRPr="00147844">
        <w:rPr>
          <w:i/>
          <w:sz w:val="26"/>
          <w:szCs w:val="26"/>
          <w:lang w:val="en-US"/>
        </w:rPr>
        <w:t xml:space="preserve"> </w:t>
      </w:r>
      <w:r w:rsidR="00B95525" w:rsidRPr="00147844">
        <w:rPr>
          <w:i/>
          <w:sz w:val="26"/>
          <w:szCs w:val="26"/>
          <w:lang w:val="en-US"/>
        </w:rPr>
        <w:t>for</w:t>
      </w:r>
      <w:r w:rsidR="00453157" w:rsidRPr="00147844">
        <w:rPr>
          <w:i/>
          <w:sz w:val="26"/>
          <w:szCs w:val="26"/>
          <w:lang w:val="en-US"/>
        </w:rPr>
        <w:t xml:space="preserve"> 2019</w:t>
      </w:r>
      <w:r w:rsidRPr="00147844">
        <w:rPr>
          <w:i/>
          <w:sz w:val="26"/>
          <w:szCs w:val="26"/>
          <w:lang w:val="en-US"/>
        </w:rPr>
        <w:t>)</w:t>
      </w:r>
      <w:r w:rsidRPr="00147844">
        <w:rPr>
          <w:sz w:val="26"/>
          <w:szCs w:val="26"/>
          <w:lang w:val="en-US"/>
        </w:rPr>
        <w:t>,</w:t>
      </w:r>
      <w:r w:rsidR="00B95525" w:rsidRPr="00147844">
        <w:rPr>
          <w:sz w:val="26"/>
          <w:szCs w:val="26"/>
          <w:lang w:val="en-US"/>
        </w:rPr>
        <w:t xml:space="preserve"> by road transport – USD </w:t>
      </w:r>
      <w:r w:rsidR="00684BC6">
        <w:rPr>
          <w:sz w:val="26"/>
          <w:szCs w:val="26"/>
          <w:lang w:val="en-US"/>
        </w:rPr>
        <w:t>257</w:t>
      </w:r>
      <w:r w:rsidR="00B95525" w:rsidRPr="00147844">
        <w:rPr>
          <w:sz w:val="26"/>
          <w:szCs w:val="26"/>
          <w:lang w:val="en-US"/>
        </w:rPr>
        <w:t>.</w:t>
      </w:r>
      <w:r w:rsidR="00684BC6">
        <w:rPr>
          <w:sz w:val="26"/>
          <w:szCs w:val="26"/>
          <w:lang w:val="en-US"/>
        </w:rPr>
        <w:t>2</w:t>
      </w:r>
      <w:r w:rsidR="00B95525" w:rsidRPr="00147844">
        <w:rPr>
          <w:sz w:val="26"/>
          <w:szCs w:val="26"/>
          <w:lang w:val="en-US"/>
        </w:rPr>
        <w:t xml:space="preserve"> million </w:t>
      </w:r>
      <w:r w:rsidR="00B95525" w:rsidRPr="00147844">
        <w:rPr>
          <w:i/>
          <w:sz w:val="26"/>
          <w:szCs w:val="26"/>
          <w:lang w:val="en-US"/>
        </w:rPr>
        <w:t xml:space="preserve">(USD </w:t>
      </w:r>
      <w:r w:rsidR="00684BC6">
        <w:rPr>
          <w:i/>
          <w:sz w:val="26"/>
          <w:szCs w:val="26"/>
          <w:lang w:val="en-US"/>
        </w:rPr>
        <w:t>478</w:t>
      </w:r>
      <w:r w:rsidR="00B95525" w:rsidRPr="00147844">
        <w:rPr>
          <w:i/>
          <w:sz w:val="26"/>
          <w:szCs w:val="26"/>
          <w:lang w:val="en-US"/>
        </w:rPr>
        <w:t>.</w:t>
      </w:r>
      <w:r w:rsidR="00684BC6">
        <w:rPr>
          <w:i/>
          <w:sz w:val="26"/>
          <w:szCs w:val="26"/>
          <w:lang w:val="en-US"/>
        </w:rPr>
        <w:t>5</w:t>
      </w:r>
      <w:r w:rsidR="00B95525" w:rsidRPr="00147844">
        <w:rPr>
          <w:i/>
          <w:sz w:val="26"/>
          <w:szCs w:val="26"/>
          <w:lang w:val="en-US"/>
        </w:rPr>
        <w:t xml:space="preserve"> million for 2019),</w:t>
      </w:r>
      <w:r w:rsidRPr="00147844">
        <w:rPr>
          <w:sz w:val="26"/>
          <w:szCs w:val="26"/>
          <w:lang w:val="en-US"/>
        </w:rPr>
        <w:t xml:space="preserve"> by </w:t>
      </w:r>
      <w:r w:rsidR="00453157" w:rsidRPr="00147844">
        <w:rPr>
          <w:sz w:val="26"/>
          <w:szCs w:val="26"/>
          <w:lang w:val="en-US"/>
        </w:rPr>
        <w:t xml:space="preserve">air </w:t>
      </w:r>
      <w:r w:rsidRPr="00147844">
        <w:rPr>
          <w:sz w:val="26"/>
          <w:szCs w:val="26"/>
          <w:lang w:val="en-US"/>
        </w:rPr>
        <w:t xml:space="preserve">transport </w:t>
      </w:r>
      <w:r w:rsidR="0075417E" w:rsidRPr="00147844">
        <w:rPr>
          <w:sz w:val="26"/>
          <w:szCs w:val="26"/>
          <w:lang w:val="en-US"/>
        </w:rPr>
        <w:t>–</w:t>
      </w:r>
      <w:r w:rsidRPr="00147844">
        <w:rPr>
          <w:sz w:val="26"/>
          <w:szCs w:val="26"/>
          <w:lang w:val="en-US"/>
        </w:rPr>
        <w:t xml:space="preserve"> USD </w:t>
      </w:r>
      <w:r w:rsidR="00684BC6">
        <w:rPr>
          <w:sz w:val="26"/>
          <w:szCs w:val="26"/>
          <w:lang w:val="en-US"/>
        </w:rPr>
        <w:t>231</w:t>
      </w:r>
      <w:r w:rsidR="009F68E2" w:rsidRPr="00147844">
        <w:rPr>
          <w:sz w:val="26"/>
          <w:szCs w:val="26"/>
          <w:lang w:val="en-US"/>
        </w:rPr>
        <w:t>.</w:t>
      </w:r>
      <w:r w:rsidR="008922F9">
        <w:rPr>
          <w:sz w:val="26"/>
          <w:szCs w:val="26"/>
          <w:lang w:val="en-US"/>
        </w:rPr>
        <w:t>5</w:t>
      </w:r>
      <w:r w:rsidRPr="00147844">
        <w:rPr>
          <w:sz w:val="26"/>
          <w:szCs w:val="26"/>
          <w:lang w:val="en-US"/>
        </w:rPr>
        <w:t xml:space="preserve"> million </w:t>
      </w:r>
      <w:r w:rsidR="00453157" w:rsidRPr="00147844">
        <w:rPr>
          <w:i/>
          <w:sz w:val="26"/>
          <w:szCs w:val="26"/>
          <w:lang w:val="en-US"/>
        </w:rPr>
        <w:t xml:space="preserve">(USD </w:t>
      </w:r>
      <w:r w:rsidR="00684BC6">
        <w:rPr>
          <w:i/>
          <w:sz w:val="26"/>
          <w:szCs w:val="26"/>
          <w:lang w:val="en-US"/>
        </w:rPr>
        <w:t>480</w:t>
      </w:r>
      <w:r w:rsidR="009F68E2" w:rsidRPr="00147844">
        <w:rPr>
          <w:i/>
          <w:sz w:val="26"/>
          <w:szCs w:val="26"/>
          <w:lang w:val="en-US"/>
        </w:rPr>
        <w:t>.</w:t>
      </w:r>
      <w:r w:rsidR="00684BC6">
        <w:rPr>
          <w:i/>
          <w:sz w:val="26"/>
          <w:szCs w:val="26"/>
          <w:lang w:val="en-US"/>
        </w:rPr>
        <w:t>3</w:t>
      </w:r>
      <w:r w:rsidRPr="00147844">
        <w:rPr>
          <w:i/>
          <w:sz w:val="26"/>
          <w:szCs w:val="26"/>
          <w:lang w:val="en-US"/>
        </w:rPr>
        <w:t xml:space="preserve"> million </w:t>
      </w:r>
      <w:r w:rsidR="00B95525" w:rsidRPr="00147844">
        <w:rPr>
          <w:i/>
          <w:sz w:val="26"/>
          <w:szCs w:val="26"/>
          <w:lang w:val="en-US"/>
        </w:rPr>
        <w:t>for</w:t>
      </w:r>
      <w:r w:rsidR="00453157" w:rsidRPr="00147844">
        <w:rPr>
          <w:i/>
          <w:sz w:val="26"/>
          <w:szCs w:val="26"/>
          <w:lang w:val="en-US"/>
        </w:rPr>
        <w:t xml:space="preserve"> 2019</w:t>
      </w:r>
      <w:r w:rsidRPr="00147844">
        <w:rPr>
          <w:i/>
          <w:sz w:val="26"/>
          <w:szCs w:val="26"/>
          <w:lang w:val="en-US"/>
        </w:rPr>
        <w:t xml:space="preserve">), </w:t>
      </w:r>
      <w:r w:rsidRPr="00147844">
        <w:rPr>
          <w:sz w:val="26"/>
          <w:szCs w:val="26"/>
          <w:lang w:val="en-US"/>
        </w:rPr>
        <w:t xml:space="preserve">while volume of other types of transport services accounted for USD </w:t>
      </w:r>
      <w:r w:rsidR="00684BC6">
        <w:rPr>
          <w:sz w:val="26"/>
          <w:szCs w:val="26"/>
          <w:lang w:val="en-US"/>
        </w:rPr>
        <w:t>122</w:t>
      </w:r>
      <w:r w:rsidR="002D02A6" w:rsidRPr="00147844">
        <w:rPr>
          <w:sz w:val="26"/>
          <w:szCs w:val="26"/>
          <w:lang w:val="en-US"/>
        </w:rPr>
        <w:t>.</w:t>
      </w:r>
      <w:r w:rsidR="00B95525" w:rsidRPr="00147844">
        <w:rPr>
          <w:sz w:val="26"/>
          <w:szCs w:val="26"/>
          <w:lang w:val="en-US"/>
        </w:rPr>
        <w:t>4</w:t>
      </w:r>
      <w:r w:rsidRPr="00147844">
        <w:rPr>
          <w:sz w:val="26"/>
          <w:szCs w:val="26"/>
          <w:lang w:val="en-US"/>
        </w:rPr>
        <w:t xml:space="preserve"> million</w:t>
      </w:r>
      <w:r w:rsidRPr="00147844">
        <w:rPr>
          <w:i/>
          <w:sz w:val="26"/>
          <w:szCs w:val="26"/>
          <w:lang w:val="en-US"/>
        </w:rPr>
        <w:t xml:space="preserve"> (USD </w:t>
      </w:r>
      <w:r w:rsidR="00684BC6">
        <w:rPr>
          <w:i/>
          <w:sz w:val="26"/>
          <w:szCs w:val="26"/>
          <w:lang w:val="en-US"/>
        </w:rPr>
        <w:t>302</w:t>
      </w:r>
      <w:r w:rsidR="009F68E2" w:rsidRPr="00147844">
        <w:rPr>
          <w:i/>
          <w:sz w:val="26"/>
          <w:szCs w:val="26"/>
          <w:lang w:val="en-US"/>
        </w:rPr>
        <w:t>.</w:t>
      </w:r>
      <w:r w:rsidR="00684BC6">
        <w:rPr>
          <w:i/>
          <w:sz w:val="26"/>
          <w:szCs w:val="26"/>
          <w:lang w:val="en-US"/>
        </w:rPr>
        <w:t>6</w:t>
      </w:r>
      <w:r w:rsidRPr="00147844">
        <w:rPr>
          <w:i/>
          <w:sz w:val="26"/>
          <w:szCs w:val="26"/>
          <w:lang w:val="en-US"/>
        </w:rPr>
        <w:t xml:space="preserve"> million </w:t>
      </w:r>
      <w:r w:rsidR="00B95525" w:rsidRPr="00147844">
        <w:rPr>
          <w:i/>
          <w:sz w:val="26"/>
          <w:szCs w:val="26"/>
          <w:lang w:val="en-US"/>
        </w:rPr>
        <w:t>for</w:t>
      </w:r>
      <w:r w:rsidR="00453157" w:rsidRPr="00147844">
        <w:rPr>
          <w:i/>
          <w:sz w:val="26"/>
          <w:szCs w:val="26"/>
          <w:lang w:val="en-US"/>
        </w:rPr>
        <w:t xml:space="preserve"> 2019</w:t>
      </w:r>
      <w:r w:rsidRPr="00147844">
        <w:rPr>
          <w:i/>
          <w:sz w:val="26"/>
          <w:szCs w:val="26"/>
          <w:lang w:val="en-US"/>
        </w:rPr>
        <w:t>).</w:t>
      </w:r>
      <w:r w:rsidRPr="005C6048">
        <w:rPr>
          <w:i/>
          <w:sz w:val="26"/>
          <w:szCs w:val="26"/>
          <w:lang w:val="en-US"/>
        </w:rPr>
        <w:t xml:space="preserve"> </w:t>
      </w:r>
    </w:p>
    <w:p w:rsidR="005C6048" w:rsidRDefault="00EB6B4E" w:rsidP="00B12F01">
      <w:pPr>
        <w:spacing w:before="120" w:line="276" w:lineRule="auto"/>
        <w:ind w:firstLine="708"/>
        <w:jc w:val="both"/>
        <w:rPr>
          <w:rFonts w:cs="Calibri"/>
          <w:sz w:val="26"/>
          <w:szCs w:val="26"/>
          <w:lang w:val="en-US"/>
        </w:rPr>
      </w:pPr>
      <w:r>
        <w:rPr>
          <w:rFonts w:cs="Calibri"/>
          <w:sz w:val="26"/>
          <w:szCs w:val="26"/>
          <w:lang w:val="en-US"/>
        </w:rPr>
        <w:t xml:space="preserve"> </w:t>
      </w:r>
    </w:p>
    <w:p w:rsidR="005C6048" w:rsidRDefault="005C6048">
      <w:pPr>
        <w:rPr>
          <w:rFonts w:cs="Calibri"/>
          <w:sz w:val="26"/>
          <w:szCs w:val="26"/>
          <w:lang w:val="en-US"/>
        </w:rPr>
      </w:pPr>
      <w:r>
        <w:rPr>
          <w:rFonts w:cs="Calibri"/>
          <w:sz w:val="26"/>
          <w:szCs w:val="26"/>
          <w:lang w:val="en-US"/>
        </w:rPr>
        <w:br w:type="page"/>
      </w:r>
    </w:p>
    <w:p w:rsidR="00747344" w:rsidRPr="00147844" w:rsidRDefault="00546120" w:rsidP="00960D4C">
      <w:pPr>
        <w:pStyle w:val="21"/>
        <w:spacing w:before="120" w:after="240"/>
        <w:ind w:left="0" w:firstLine="709"/>
        <w:rPr>
          <w:rFonts w:ascii="Calibri" w:hAnsi="Calibri"/>
          <w:lang w:val="en-US"/>
        </w:rPr>
      </w:pPr>
      <w:bookmarkStart w:id="5" w:name="_Toc67050789"/>
      <w:r w:rsidRPr="00147844">
        <w:rPr>
          <w:rFonts w:ascii="Calibri" w:hAnsi="Calibri"/>
          <w:lang w:val="en-US"/>
        </w:rPr>
        <w:lastRenderedPageBreak/>
        <w:t>PRIMARY INCOME</w:t>
      </w:r>
      <w:bookmarkEnd w:id="5"/>
    </w:p>
    <w:p w:rsidR="00A61459" w:rsidRPr="00147844" w:rsidRDefault="00C9376C" w:rsidP="00A61459">
      <w:pPr>
        <w:spacing w:before="120" w:line="288" w:lineRule="auto"/>
        <w:ind w:firstLine="709"/>
        <w:jc w:val="both"/>
        <w:rPr>
          <w:sz w:val="26"/>
          <w:szCs w:val="26"/>
          <w:lang w:val="en-US"/>
        </w:rPr>
      </w:pPr>
      <w:r w:rsidRPr="00147844">
        <w:rPr>
          <w:sz w:val="26"/>
          <w:szCs w:val="26"/>
          <w:lang w:val="en-US"/>
        </w:rPr>
        <w:t xml:space="preserve">Deficit </w:t>
      </w:r>
      <w:r w:rsidR="00A61459" w:rsidRPr="00147844">
        <w:rPr>
          <w:sz w:val="26"/>
          <w:szCs w:val="26"/>
          <w:lang w:val="en-US"/>
        </w:rPr>
        <w:t xml:space="preserve">balance of primary income </w:t>
      </w:r>
      <w:r w:rsidR="00E44506" w:rsidRPr="00147844">
        <w:rPr>
          <w:sz w:val="26"/>
          <w:szCs w:val="26"/>
          <w:lang w:val="en-US"/>
        </w:rPr>
        <w:t xml:space="preserve">for </w:t>
      </w:r>
      <w:r w:rsidR="00453157" w:rsidRPr="00147844">
        <w:rPr>
          <w:sz w:val="26"/>
          <w:szCs w:val="26"/>
          <w:lang w:val="en-US"/>
        </w:rPr>
        <w:t>2020</w:t>
      </w:r>
      <w:r w:rsidR="00453157" w:rsidRPr="00147844">
        <w:rPr>
          <w:i/>
          <w:sz w:val="26"/>
          <w:szCs w:val="26"/>
          <w:lang w:val="en-US"/>
        </w:rPr>
        <w:t xml:space="preserve"> </w:t>
      </w:r>
      <w:r w:rsidR="00A61459" w:rsidRPr="00147844">
        <w:rPr>
          <w:sz w:val="26"/>
          <w:szCs w:val="26"/>
          <w:lang w:val="en-US"/>
        </w:rPr>
        <w:t>was equal to</w:t>
      </w:r>
      <w:r w:rsidR="008922F9">
        <w:rPr>
          <w:sz w:val="26"/>
          <w:szCs w:val="26"/>
          <w:lang w:val="en-US"/>
        </w:rPr>
        <w:t xml:space="preserve"> </w:t>
      </w:r>
      <w:r w:rsidR="00A61459" w:rsidRPr="00147844">
        <w:rPr>
          <w:sz w:val="26"/>
          <w:szCs w:val="26"/>
          <w:lang w:val="en-US"/>
        </w:rPr>
        <w:t xml:space="preserve">USD </w:t>
      </w:r>
      <w:r w:rsidR="007452FA">
        <w:rPr>
          <w:sz w:val="26"/>
          <w:szCs w:val="26"/>
          <w:lang w:val="en-US"/>
        </w:rPr>
        <w:t>241</w:t>
      </w:r>
      <w:r w:rsidR="005F4443" w:rsidRPr="00147844">
        <w:rPr>
          <w:sz w:val="26"/>
          <w:szCs w:val="26"/>
          <w:lang w:val="en-US"/>
        </w:rPr>
        <w:t>.</w:t>
      </w:r>
      <w:r w:rsidR="007452FA">
        <w:rPr>
          <w:sz w:val="26"/>
          <w:szCs w:val="26"/>
          <w:lang w:val="en-US"/>
        </w:rPr>
        <w:t>0</w:t>
      </w:r>
      <w:r w:rsidR="00453157" w:rsidRPr="00147844">
        <w:rPr>
          <w:sz w:val="26"/>
          <w:szCs w:val="26"/>
          <w:lang w:val="en-US"/>
        </w:rPr>
        <w:t xml:space="preserve"> million </w:t>
      </w:r>
      <w:r w:rsidR="00453157" w:rsidRPr="00147844">
        <w:rPr>
          <w:i/>
          <w:sz w:val="26"/>
          <w:szCs w:val="26"/>
          <w:lang w:val="en-US"/>
        </w:rPr>
        <w:t>(</w:t>
      </w:r>
      <w:r w:rsidR="00E44506" w:rsidRPr="00147844">
        <w:rPr>
          <w:i/>
          <w:sz w:val="26"/>
          <w:szCs w:val="26"/>
          <w:lang w:val="en-US"/>
        </w:rPr>
        <w:t xml:space="preserve">positively </w:t>
      </w:r>
      <w:r w:rsidR="00453157" w:rsidRPr="00147844">
        <w:rPr>
          <w:i/>
          <w:sz w:val="26"/>
          <w:szCs w:val="26"/>
          <w:lang w:val="en-US"/>
        </w:rPr>
        <w:t xml:space="preserve">USD </w:t>
      </w:r>
      <w:r w:rsidR="007452FA">
        <w:rPr>
          <w:i/>
          <w:sz w:val="26"/>
          <w:szCs w:val="26"/>
          <w:lang w:val="en-US"/>
        </w:rPr>
        <w:t>737.2</w:t>
      </w:r>
      <w:r w:rsidR="00A61459" w:rsidRPr="00147844">
        <w:rPr>
          <w:i/>
          <w:sz w:val="26"/>
          <w:szCs w:val="26"/>
          <w:lang w:val="en-US"/>
        </w:rPr>
        <w:t xml:space="preserve"> </w:t>
      </w:r>
      <w:r w:rsidR="00453157" w:rsidRPr="00147844">
        <w:rPr>
          <w:i/>
          <w:sz w:val="26"/>
          <w:szCs w:val="26"/>
          <w:lang w:val="en-US"/>
        </w:rPr>
        <w:t>million</w:t>
      </w:r>
      <w:r w:rsidR="00A61459" w:rsidRPr="00147844">
        <w:rPr>
          <w:i/>
          <w:sz w:val="26"/>
          <w:szCs w:val="26"/>
          <w:lang w:val="en-US"/>
        </w:rPr>
        <w:t xml:space="preserve"> </w:t>
      </w:r>
      <w:r w:rsidR="00E44506" w:rsidRPr="00147844">
        <w:rPr>
          <w:i/>
          <w:sz w:val="26"/>
          <w:szCs w:val="26"/>
          <w:lang w:val="en-US"/>
        </w:rPr>
        <w:t>for</w:t>
      </w:r>
      <w:r w:rsidR="00453157" w:rsidRPr="00147844">
        <w:rPr>
          <w:i/>
          <w:sz w:val="26"/>
          <w:szCs w:val="26"/>
          <w:lang w:val="en-US"/>
        </w:rPr>
        <w:t xml:space="preserve"> 2019</w:t>
      </w:r>
      <w:r w:rsidR="00A61459" w:rsidRPr="00147844">
        <w:rPr>
          <w:i/>
          <w:sz w:val="26"/>
          <w:szCs w:val="26"/>
          <w:lang w:val="en-US"/>
        </w:rPr>
        <w:t>)</w:t>
      </w:r>
      <w:r w:rsidR="00A61459" w:rsidRPr="00147844">
        <w:rPr>
          <w:sz w:val="26"/>
          <w:szCs w:val="26"/>
          <w:lang w:val="en-US"/>
        </w:rPr>
        <w:t xml:space="preserve"> </w:t>
      </w:r>
      <w:r w:rsidR="00A61459" w:rsidRPr="00147844">
        <w:rPr>
          <w:color w:val="0070C0"/>
          <w:sz w:val="26"/>
          <w:szCs w:val="26"/>
          <w:lang w:val="en-US"/>
        </w:rPr>
        <w:t>(</w:t>
      </w:r>
      <w:r w:rsidR="00B23450" w:rsidRPr="00147844">
        <w:rPr>
          <w:color w:val="0070C0"/>
          <w:sz w:val="26"/>
          <w:szCs w:val="26"/>
          <w:lang w:val="en-US"/>
        </w:rPr>
        <w:t>Figure</w:t>
      </w:r>
      <w:r w:rsidR="00A61459" w:rsidRPr="00147844">
        <w:rPr>
          <w:color w:val="0070C0"/>
          <w:sz w:val="26"/>
          <w:szCs w:val="26"/>
          <w:lang w:val="en-US"/>
        </w:rPr>
        <w:t xml:space="preserve"> </w:t>
      </w:r>
      <w:r w:rsidR="00453157" w:rsidRPr="00147844">
        <w:rPr>
          <w:color w:val="0070C0"/>
          <w:sz w:val="26"/>
          <w:szCs w:val="26"/>
          <w:lang w:val="en-US"/>
        </w:rPr>
        <w:t>1</w:t>
      </w:r>
      <w:r w:rsidR="007452FA">
        <w:rPr>
          <w:color w:val="0070C0"/>
          <w:sz w:val="26"/>
          <w:szCs w:val="26"/>
          <w:lang w:val="en-US"/>
        </w:rPr>
        <w:t>1</w:t>
      </w:r>
      <w:r w:rsidR="00A61459" w:rsidRPr="00147844">
        <w:rPr>
          <w:color w:val="0070C0"/>
          <w:sz w:val="26"/>
          <w:szCs w:val="26"/>
          <w:lang w:val="en-US"/>
        </w:rPr>
        <w:t>)</w:t>
      </w:r>
      <w:r w:rsidR="00A61459" w:rsidRPr="00147844">
        <w:rPr>
          <w:sz w:val="26"/>
          <w:szCs w:val="26"/>
          <w:lang w:val="en-US"/>
        </w:rPr>
        <w:t>.</w:t>
      </w:r>
      <w:r w:rsidR="00A61459" w:rsidRPr="00147844">
        <w:rPr>
          <w:lang w:val="en-US"/>
        </w:rPr>
        <w:t xml:space="preserve"> </w:t>
      </w:r>
      <w:r w:rsidR="00A61459" w:rsidRPr="00147844">
        <w:rPr>
          <w:sz w:val="26"/>
          <w:szCs w:val="26"/>
          <w:lang w:val="en-US"/>
        </w:rPr>
        <w:t>The reduction in the balance of primary incomes is associated with a decrease in the amount of short-term workers and an increase in the income of non-residents on external loans and investments.</w:t>
      </w:r>
    </w:p>
    <w:p w:rsidR="00A61459" w:rsidRPr="00147844" w:rsidRDefault="00E44506" w:rsidP="00A61459">
      <w:pPr>
        <w:spacing w:before="120" w:line="288" w:lineRule="auto"/>
        <w:ind w:firstLine="708"/>
        <w:jc w:val="both"/>
        <w:rPr>
          <w:sz w:val="26"/>
          <w:szCs w:val="26"/>
          <w:lang w:val="en-US"/>
        </w:rPr>
      </w:pPr>
      <w:r w:rsidRPr="00147844">
        <w:rPr>
          <w:sz w:val="26"/>
          <w:szCs w:val="26"/>
          <w:lang w:val="en-US"/>
        </w:rPr>
        <w:t xml:space="preserve">For </w:t>
      </w:r>
      <w:r w:rsidR="005F4443" w:rsidRPr="00147844">
        <w:rPr>
          <w:sz w:val="26"/>
          <w:szCs w:val="26"/>
          <w:lang w:val="en-US"/>
        </w:rPr>
        <w:t>2020</w:t>
      </w:r>
      <w:r w:rsidR="00A61459" w:rsidRPr="00147844">
        <w:rPr>
          <w:sz w:val="26"/>
          <w:szCs w:val="26"/>
          <w:lang w:val="en-US"/>
        </w:rPr>
        <w:t xml:space="preserve">, the main source of </w:t>
      </w:r>
      <w:r w:rsidR="00453157" w:rsidRPr="00147844">
        <w:rPr>
          <w:sz w:val="26"/>
          <w:szCs w:val="26"/>
          <w:lang w:val="en-US"/>
        </w:rPr>
        <w:t>the «</w:t>
      </w:r>
      <w:r w:rsidR="00D41895" w:rsidRPr="00147844">
        <w:rPr>
          <w:sz w:val="26"/>
          <w:szCs w:val="26"/>
          <w:lang w:val="en-US"/>
        </w:rPr>
        <w:t>Income</w:t>
      </w:r>
      <w:r w:rsidR="00453157" w:rsidRPr="00147844">
        <w:rPr>
          <w:sz w:val="26"/>
          <w:szCs w:val="26"/>
          <w:lang w:val="en-US"/>
        </w:rPr>
        <w:t xml:space="preserve">» component </w:t>
      </w:r>
      <w:r w:rsidR="00A61459" w:rsidRPr="00147844">
        <w:rPr>
          <w:sz w:val="26"/>
          <w:szCs w:val="26"/>
          <w:lang w:val="en-US"/>
        </w:rPr>
        <w:t>was wages received by short-term workers of Uzbekistan</w:t>
      </w:r>
      <w:r w:rsidR="00453157" w:rsidRPr="00147844">
        <w:rPr>
          <w:sz w:val="26"/>
          <w:szCs w:val="26"/>
          <w:lang w:val="en-US"/>
        </w:rPr>
        <w:t xml:space="preserve"> abroad, which amounted to USD </w:t>
      </w:r>
      <w:r w:rsidRPr="00147844">
        <w:rPr>
          <w:sz w:val="26"/>
          <w:szCs w:val="26"/>
          <w:lang w:val="en-US"/>
        </w:rPr>
        <w:t>1</w:t>
      </w:r>
      <w:r w:rsidR="00453157" w:rsidRPr="00147844">
        <w:rPr>
          <w:sz w:val="26"/>
          <w:szCs w:val="26"/>
          <w:lang w:val="en-US"/>
        </w:rPr>
        <w:t>.</w:t>
      </w:r>
      <w:r w:rsidR="007452FA">
        <w:rPr>
          <w:sz w:val="26"/>
          <w:szCs w:val="26"/>
          <w:lang w:val="en-US"/>
        </w:rPr>
        <w:t>5</w:t>
      </w:r>
      <w:r w:rsidR="00A61459" w:rsidRPr="00147844">
        <w:rPr>
          <w:sz w:val="26"/>
          <w:szCs w:val="26"/>
          <w:lang w:val="en-US"/>
        </w:rPr>
        <w:t xml:space="preserve"> </w:t>
      </w:r>
      <w:r w:rsidR="00DB0A86" w:rsidRPr="00147844">
        <w:rPr>
          <w:sz w:val="26"/>
          <w:szCs w:val="26"/>
          <w:lang w:val="en-US"/>
        </w:rPr>
        <w:t>b</w:t>
      </w:r>
      <w:r w:rsidR="00453157" w:rsidRPr="00147844">
        <w:rPr>
          <w:sz w:val="26"/>
          <w:szCs w:val="26"/>
          <w:lang w:val="en-US"/>
        </w:rPr>
        <w:t>illion</w:t>
      </w:r>
      <w:r w:rsidR="00A61459" w:rsidRPr="00147844">
        <w:rPr>
          <w:sz w:val="26"/>
          <w:szCs w:val="26"/>
          <w:lang w:val="en-US"/>
        </w:rPr>
        <w:t xml:space="preserve"> </w:t>
      </w:r>
      <w:r w:rsidR="00A61459" w:rsidRPr="00147844">
        <w:rPr>
          <w:i/>
          <w:sz w:val="26"/>
          <w:szCs w:val="26"/>
          <w:lang w:val="en-US"/>
        </w:rPr>
        <w:t xml:space="preserve">(USD </w:t>
      </w:r>
      <w:r w:rsidRPr="00147844">
        <w:rPr>
          <w:i/>
          <w:sz w:val="26"/>
          <w:szCs w:val="26"/>
          <w:lang w:val="en-US"/>
        </w:rPr>
        <w:t>2</w:t>
      </w:r>
      <w:r w:rsidR="009F68E2" w:rsidRPr="00147844">
        <w:rPr>
          <w:i/>
          <w:sz w:val="26"/>
          <w:szCs w:val="26"/>
          <w:lang w:val="en-US"/>
        </w:rPr>
        <w:t>.</w:t>
      </w:r>
      <w:r w:rsidR="007452FA">
        <w:rPr>
          <w:i/>
          <w:sz w:val="26"/>
          <w:szCs w:val="26"/>
          <w:lang w:val="en-US"/>
        </w:rPr>
        <w:t>7</w:t>
      </w:r>
      <w:r w:rsidR="00A61459" w:rsidRPr="00147844">
        <w:rPr>
          <w:i/>
          <w:sz w:val="26"/>
          <w:szCs w:val="26"/>
          <w:lang w:val="en-US"/>
        </w:rPr>
        <w:t xml:space="preserve"> </w:t>
      </w:r>
      <w:r w:rsidR="009F68E2" w:rsidRPr="00147844">
        <w:rPr>
          <w:i/>
          <w:sz w:val="26"/>
          <w:szCs w:val="26"/>
          <w:lang w:val="en-US"/>
        </w:rPr>
        <w:t>b</w:t>
      </w:r>
      <w:r w:rsidR="005F4443" w:rsidRPr="00147844">
        <w:rPr>
          <w:i/>
          <w:sz w:val="26"/>
          <w:szCs w:val="26"/>
          <w:lang w:val="en-US"/>
        </w:rPr>
        <w:t>illion</w:t>
      </w:r>
      <w:r w:rsidR="00A61459" w:rsidRPr="00147844">
        <w:rPr>
          <w:i/>
          <w:sz w:val="26"/>
          <w:szCs w:val="26"/>
          <w:lang w:val="en-US"/>
        </w:rPr>
        <w:t xml:space="preserve"> </w:t>
      </w:r>
      <w:r w:rsidRPr="00147844">
        <w:rPr>
          <w:i/>
          <w:sz w:val="26"/>
          <w:szCs w:val="26"/>
          <w:lang w:val="en-US"/>
        </w:rPr>
        <w:t>for</w:t>
      </w:r>
      <w:r w:rsidR="005F4443" w:rsidRPr="00147844">
        <w:rPr>
          <w:i/>
          <w:sz w:val="26"/>
          <w:szCs w:val="26"/>
          <w:lang w:val="en-US"/>
        </w:rPr>
        <w:t xml:space="preserve"> 2019</w:t>
      </w:r>
      <w:r w:rsidR="00A61459" w:rsidRPr="00147844">
        <w:rPr>
          <w:i/>
          <w:sz w:val="26"/>
          <w:szCs w:val="26"/>
          <w:lang w:val="en-US"/>
        </w:rPr>
        <w:t>)</w:t>
      </w:r>
      <w:r w:rsidR="00A61459" w:rsidRPr="00147844">
        <w:rPr>
          <w:sz w:val="26"/>
          <w:szCs w:val="26"/>
          <w:lang w:val="en-US"/>
        </w:rPr>
        <w:t>.</w:t>
      </w:r>
    </w:p>
    <w:p w:rsidR="00A61459" w:rsidRPr="00147844" w:rsidRDefault="00A61459" w:rsidP="00A61459">
      <w:pPr>
        <w:spacing w:before="120" w:line="288" w:lineRule="auto"/>
        <w:ind w:firstLine="709"/>
        <w:jc w:val="both"/>
        <w:rPr>
          <w:sz w:val="26"/>
          <w:szCs w:val="26"/>
          <w:lang w:val="en-US"/>
        </w:rPr>
      </w:pPr>
      <w:r w:rsidRPr="00147844">
        <w:rPr>
          <w:sz w:val="26"/>
          <w:szCs w:val="26"/>
          <w:u w:val="single"/>
          <w:lang w:val="en-US"/>
        </w:rPr>
        <w:t>Investment income of residents</w:t>
      </w:r>
      <w:r w:rsidRPr="00147844">
        <w:rPr>
          <w:sz w:val="26"/>
          <w:szCs w:val="26"/>
          <w:lang w:val="en-US"/>
        </w:rPr>
        <w:t xml:space="preserve"> equaled USD </w:t>
      </w:r>
      <w:r w:rsidR="00E44506" w:rsidRPr="00147844">
        <w:rPr>
          <w:sz w:val="26"/>
          <w:szCs w:val="26"/>
          <w:lang w:val="en-US"/>
        </w:rPr>
        <w:t>1</w:t>
      </w:r>
      <w:r w:rsidR="007452FA">
        <w:rPr>
          <w:sz w:val="26"/>
          <w:szCs w:val="26"/>
          <w:lang w:val="en-US"/>
        </w:rPr>
        <w:t>47</w:t>
      </w:r>
      <w:r w:rsidR="009F68E2" w:rsidRPr="00147844">
        <w:rPr>
          <w:sz w:val="26"/>
          <w:szCs w:val="26"/>
          <w:lang w:val="en-US"/>
        </w:rPr>
        <w:t>.</w:t>
      </w:r>
      <w:r w:rsidR="007452FA">
        <w:rPr>
          <w:sz w:val="26"/>
          <w:szCs w:val="26"/>
          <w:lang w:val="en-US"/>
        </w:rPr>
        <w:t>8</w:t>
      </w:r>
      <w:r w:rsidRPr="00147844">
        <w:rPr>
          <w:sz w:val="26"/>
          <w:szCs w:val="26"/>
          <w:lang w:val="en-US"/>
        </w:rPr>
        <w:t xml:space="preserve"> million </w:t>
      </w:r>
      <w:r w:rsidRPr="00147844">
        <w:rPr>
          <w:i/>
          <w:sz w:val="26"/>
          <w:szCs w:val="26"/>
          <w:lang w:val="en-US"/>
        </w:rPr>
        <w:t xml:space="preserve">(USD </w:t>
      </w:r>
      <w:r w:rsidR="007452FA">
        <w:rPr>
          <w:i/>
          <w:sz w:val="26"/>
          <w:szCs w:val="26"/>
          <w:lang w:val="en-US"/>
        </w:rPr>
        <w:t>296</w:t>
      </w:r>
      <w:r w:rsidR="009F68E2" w:rsidRPr="00147844">
        <w:rPr>
          <w:i/>
          <w:sz w:val="26"/>
          <w:szCs w:val="26"/>
          <w:lang w:val="en-US"/>
        </w:rPr>
        <w:t>.</w:t>
      </w:r>
      <w:r w:rsidR="007452FA">
        <w:rPr>
          <w:i/>
          <w:sz w:val="26"/>
          <w:szCs w:val="26"/>
          <w:lang w:val="en-US"/>
        </w:rPr>
        <w:t>6</w:t>
      </w:r>
      <w:r w:rsidRPr="00147844">
        <w:rPr>
          <w:i/>
          <w:sz w:val="26"/>
          <w:szCs w:val="26"/>
          <w:lang w:val="en-US"/>
        </w:rPr>
        <w:t xml:space="preserve"> million </w:t>
      </w:r>
      <w:r w:rsidR="00E44506" w:rsidRPr="00147844">
        <w:rPr>
          <w:i/>
          <w:sz w:val="26"/>
          <w:szCs w:val="26"/>
          <w:lang w:val="en-US"/>
        </w:rPr>
        <w:t>for</w:t>
      </w:r>
      <w:r w:rsidR="005F4443" w:rsidRPr="00147844">
        <w:rPr>
          <w:i/>
          <w:sz w:val="26"/>
          <w:szCs w:val="26"/>
          <w:lang w:val="en-US"/>
        </w:rPr>
        <w:t xml:space="preserve"> 2019</w:t>
      </w:r>
      <w:r w:rsidRPr="00147844">
        <w:rPr>
          <w:i/>
          <w:sz w:val="26"/>
          <w:szCs w:val="26"/>
          <w:lang w:val="en-US"/>
        </w:rPr>
        <w:t>)</w:t>
      </w:r>
      <w:r w:rsidRPr="00147844">
        <w:rPr>
          <w:sz w:val="26"/>
          <w:szCs w:val="26"/>
          <w:lang w:val="en-US"/>
        </w:rPr>
        <w:t xml:space="preserve">, </w:t>
      </w:r>
      <w:r w:rsidR="005F4443" w:rsidRPr="00147844">
        <w:rPr>
          <w:sz w:val="26"/>
          <w:szCs w:val="26"/>
          <w:lang w:val="en-US"/>
        </w:rPr>
        <w:t xml:space="preserve">USD </w:t>
      </w:r>
      <w:r w:rsidR="00E44506" w:rsidRPr="00147844">
        <w:rPr>
          <w:sz w:val="26"/>
          <w:szCs w:val="26"/>
          <w:lang w:val="en-US"/>
        </w:rPr>
        <w:t>1</w:t>
      </w:r>
      <w:r w:rsidR="007452FA">
        <w:rPr>
          <w:sz w:val="26"/>
          <w:szCs w:val="26"/>
          <w:lang w:val="en-US"/>
        </w:rPr>
        <w:t>37</w:t>
      </w:r>
      <w:r w:rsidR="009F68E2" w:rsidRPr="00147844">
        <w:rPr>
          <w:sz w:val="26"/>
          <w:szCs w:val="26"/>
          <w:lang w:val="en-US"/>
        </w:rPr>
        <w:t>.</w:t>
      </w:r>
      <w:r w:rsidR="007452FA">
        <w:rPr>
          <w:sz w:val="26"/>
          <w:szCs w:val="26"/>
          <w:lang w:val="en-US"/>
        </w:rPr>
        <w:t>2</w:t>
      </w:r>
      <w:r w:rsidR="005F4443" w:rsidRPr="00147844">
        <w:rPr>
          <w:sz w:val="26"/>
          <w:szCs w:val="26"/>
          <w:lang w:val="en-US"/>
        </w:rPr>
        <w:t xml:space="preserve"> million </w:t>
      </w:r>
      <w:r w:rsidRPr="00147844">
        <w:rPr>
          <w:sz w:val="26"/>
          <w:szCs w:val="26"/>
          <w:lang w:val="en-US"/>
        </w:rPr>
        <w:t xml:space="preserve">of which </w:t>
      </w:r>
      <w:r w:rsidRPr="00147844">
        <w:rPr>
          <w:i/>
          <w:sz w:val="26"/>
          <w:szCs w:val="26"/>
          <w:lang w:val="en-US"/>
        </w:rPr>
        <w:t xml:space="preserve">(USD </w:t>
      </w:r>
      <w:r w:rsidR="007452FA">
        <w:rPr>
          <w:i/>
          <w:sz w:val="26"/>
          <w:szCs w:val="26"/>
          <w:lang w:val="en-US"/>
        </w:rPr>
        <w:t>283</w:t>
      </w:r>
      <w:r w:rsidR="009F68E2" w:rsidRPr="00147844">
        <w:rPr>
          <w:i/>
          <w:sz w:val="26"/>
          <w:szCs w:val="26"/>
          <w:lang w:val="en-US"/>
        </w:rPr>
        <w:t>.</w:t>
      </w:r>
      <w:r w:rsidR="007452FA">
        <w:rPr>
          <w:i/>
          <w:sz w:val="26"/>
          <w:szCs w:val="26"/>
          <w:lang w:val="en-US"/>
        </w:rPr>
        <w:t>7</w:t>
      </w:r>
      <w:r w:rsidRPr="00147844">
        <w:rPr>
          <w:i/>
          <w:sz w:val="26"/>
          <w:szCs w:val="26"/>
          <w:lang w:val="en-US"/>
        </w:rPr>
        <w:t xml:space="preserve"> million </w:t>
      </w:r>
      <w:r w:rsidR="00E44506" w:rsidRPr="00147844">
        <w:rPr>
          <w:i/>
          <w:sz w:val="26"/>
          <w:szCs w:val="26"/>
          <w:lang w:val="en-US"/>
        </w:rPr>
        <w:t>for</w:t>
      </w:r>
      <w:r w:rsidR="005F4443" w:rsidRPr="00147844">
        <w:rPr>
          <w:i/>
          <w:sz w:val="26"/>
          <w:szCs w:val="26"/>
          <w:lang w:val="en-US"/>
        </w:rPr>
        <w:t xml:space="preserve"> 2019</w:t>
      </w:r>
      <w:r w:rsidRPr="00147844">
        <w:rPr>
          <w:i/>
          <w:sz w:val="26"/>
          <w:szCs w:val="26"/>
          <w:lang w:val="en-US"/>
        </w:rPr>
        <w:t xml:space="preserve">) </w:t>
      </w:r>
      <w:r w:rsidRPr="00147844">
        <w:rPr>
          <w:sz w:val="26"/>
          <w:szCs w:val="26"/>
          <w:lang w:val="en-US"/>
        </w:rPr>
        <w:t xml:space="preserve">was received from the placement of international reserves. The remaining part of income </w:t>
      </w:r>
      <w:r w:rsidR="005F4443" w:rsidRPr="00147844">
        <w:rPr>
          <w:sz w:val="26"/>
          <w:szCs w:val="26"/>
          <w:lang w:val="en-US"/>
        </w:rPr>
        <w:t>was</w:t>
      </w:r>
      <w:r w:rsidRPr="00147844">
        <w:rPr>
          <w:sz w:val="26"/>
          <w:szCs w:val="26"/>
          <w:lang w:val="en-US"/>
        </w:rPr>
        <w:t xml:space="preserve"> mainly earned from correspondent accounts and deposits of residents in foreign banks.</w:t>
      </w:r>
    </w:p>
    <w:p w:rsidR="00EC60EA" w:rsidRPr="003B78E9" w:rsidRDefault="00B23450" w:rsidP="00EB76B0">
      <w:pPr>
        <w:spacing w:before="120"/>
        <w:jc w:val="right"/>
        <w:rPr>
          <w:lang w:val="en-US"/>
        </w:rPr>
      </w:pPr>
      <w:r w:rsidRPr="00147844">
        <w:rPr>
          <w:lang w:val="en-US"/>
        </w:rPr>
        <w:t>Figure</w:t>
      </w:r>
      <w:r w:rsidR="00CC154F" w:rsidRPr="00147844">
        <w:rPr>
          <w:lang w:val="en-US"/>
        </w:rPr>
        <w:t xml:space="preserve"> </w:t>
      </w:r>
      <w:r w:rsidR="005F4443" w:rsidRPr="00147844">
        <w:rPr>
          <w:lang w:val="en-US"/>
        </w:rPr>
        <w:t>1</w:t>
      </w:r>
      <w:r w:rsidR="007452FA">
        <w:rPr>
          <w:lang w:val="en-US"/>
        </w:rPr>
        <w:t>1</w:t>
      </w:r>
    </w:p>
    <w:p w:rsidR="001B05F8" w:rsidRPr="00B75F3E" w:rsidRDefault="00546120" w:rsidP="001B05F8">
      <w:pPr>
        <w:jc w:val="center"/>
        <w:rPr>
          <w:b/>
          <w:sz w:val="28"/>
          <w:szCs w:val="28"/>
          <w:lang w:val="en-US"/>
        </w:rPr>
      </w:pPr>
      <w:r w:rsidRPr="00147844">
        <w:rPr>
          <w:b/>
          <w:sz w:val="28"/>
          <w:szCs w:val="28"/>
          <w:lang w:val="en-US"/>
        </w:rPr>
        <w:t>CHANGES IN PRIMARY INCOME COMPONENTS</w:t>
      </w:r>
    </w:p>
    <w:p w:rsidR="001B05F8" w:rsidRPr="00F45A80" w:rsidRDefault="001B05F8" w:rsidP="001B05F8">
      <w:pPr>
        <w:jc w:val="right"/>
        <w:rPr>
          <w:i/>
          <w:sz w:val="20"/>
          <w:szCs w:val="20"/>
          <w:lang w:val="en-US"/>
        </w:rPr>
      </w:pPr>
      <w:r w:rsidRPr="00F45A80">
        <w:rPr>
          <w:i/>
          <w:sz w:val="20"/>
          <w:szCs w:val="20"/>
          <w:lang w:val="en-US"/>
        </w:rPr>
        <w:t>(</w:t>
      </w:r>
      <w:r w:rsidR="001A43D7" w:rsidRPr="00F45A80">
        <w:rPr>
          <w:i/>
          <w:sz w:val="20"/>
          <w:szCs w:val="20"/>
          <w:lang w:val="en-US"/>
        </w:rPr>
        <w:t xml:space="preserve">mln. </w:t>
      </w:r>
      <w:r w:rsidRPr="00F45A80">
        <w:rPr>
          <w:i/>
          <w:sz w:val="20"/>
          <w:szCs w:val="20"/>
          <w:lang w:val="en-US"/>
        </w:rPr>
        <w:t>USD)</w:t>
      </w:r>
    </w:p>
    <w:p w:rsidR="00EC60EA" w:rsidRPr="00F45A80" w:rsidRDefault="007452FA" w:rsidP="00E83C54">
      <w:pPr>
        <w:spacing w:line="288" w:lineRule="auto"/>
        <w:jc w:val="both"/>
        <w:rPr>
          <w:noProof/>
          <w:lang w:val="en-US"/>
        </w:rPr>
      </w:pPr>
      <w:r>
        <w:rPr>
          <w:noProof/>
        </w:rPr>
        <w:drawing>
          <wp:inline distT="0" distB="0" distL="0" distR="0" wp14:anchorId="4BF25017" wp14:editId="2CD549C5">
            <wp:extent cx="6299835" cy="4987636"/>
            <wp:effectExtent l="0" t="0" r="5715" b="381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A1A39" w:rsidRPr="00CA1A39" w:rsidRDefault="00CA1A39" w:rsidP="00CA1A39">
      <w:pPr>
        <w:spacing w:before="120" w:line="288" w:lineRule="auto"/>
        <w:ind w:firstLine="709"/>
        <w:jc w:val="both"/>
        <w:rPr>
          <w:i/>
          <w:sz w:val="26"/>
          <w:szCs w:val="26"/>
          <w:lang w:val="en-US"/>
        </w:rPr>
      </w:pPr>
      <w:r w:rsidRPr="00147844">
        <w:rPr>
          <w:sz w:val="26"/>
          <w:szCs w:val="26"/>
          <w:lang w:val="en-US"/>
        </w:rPr>
        <w:lastRenderedPageBreak/>
        <w:t xml:space="preserve">Moreover, </w:t>
      </w:r>
      <w:r w:rsidRPr="00147844">
        <w:rPr>
          <w:sz w:val="26"/>
          <w:szCs w:val="26"/>
          <w:u w:val="single"/>
          <w:lang w:val="en-US"/>
        </w:rPr>
        <w:t>investment income of non-residents in Uzbekistan</w:t>
      </w:r>
      <w:r w:rsidRPr="00147844">
        <w:rPr>
          <w:sz w:val="26"/>
          <w:szCs w:val="26"/>
          <w:lang w:val="en-US"/>
        </w:rPr>
        <w:t xml:space="preserve"> amounted to </w:t>
      </w:r>
      <w:r w:rsidR="00725146">
        <w:rPr>
          <w:sz w:val="26"/>
          <w:szCs w:val="26"/>
          <w:lang w:val="en-US"/>
        </w:rPr>
        <w:br/>
      </w:r>
      <w:r w:rsidRPr="00147844">
        <w:rPr>
          <w:sz w:val="26"/>
          <w:szCs w:val="26"/>
          <w:lang w:val="en-US"/>
        </w:rPr>
        <w:t>USD </w:t>
      </w:r>
      <w:r w:rsidR="00280024" w:rsidRPr="00147844">
        <w:rPr>
          <w:sz w:val="26"/>
          <w:szCs w:val="26"/>
          <w:lang w:val="en-US"/>
        </w:rPr>
        <w:t>1</w:t>
      </w:r>
      <w:r w:rsidR="009F68E2" w:rsidRPr="00147844">
        <w:rPr>
          <w:sz w:val="26"/>
          <w:szCs w:val="26"/>
          <w:lang w:val="en-US"/>
        </w:rPr>
        <w:t>.</w:t>
      </w:r>
      <w:r w:rsidR="005C7028">
        <w:rPr>
          <w:sz w:val="26"/>
          <w:szCs w:val="26"/>
          <w:lang w:val="en-US"/>
        </w:rPr>
        <w:t>8</w:t>
      </w:r>
      <w:r w:rsidR="005F4443" w:rsidRPr="00147844">
        <w:rPr>
          <w:sz w:val="26"/>
          <w:szCs w:val="26"/>
          <w:lang w:val="en-US"/>
        </w:rPr>
        <w:t xml:space="preserve"> </w:t>
      </w:r>
      <w:r w:rsidR="00280024" w:rsidRPr="00147844">
        <w:rPr>
          <w:sz w:val="26"/>
          <w:szCs w:val="26"/>
          <w:lang w:val="en-US"/>
        </w:rPr>
        <w:t>billion</w:t>
      </w:r>
      <w:r w:rsidRPr="00147844">
        <w:rPr>
          <w:sz w:val="26"/>
          <w:szCs w:val="26"/>
          <w:lang w:val="en-US"/>
        </w:rPr>
        <w:t xml:space="preserve"> </w:t>
      </w:r>
      <w:r w:rsidRPr="00147844">
        <w:rPr>
          <w:i/>
          <w:sz w:val="26"/>
          <w:szCs w:val="26"/>
          <w:lang w:val="en-US"/>
        </w:rPr>
        <w:t xml:space="preserve">(USD </w:t>
      </w:r>
      <w:r w:rsidR="00E87664" w:rsidRPr="00E87664">
        <w:rPr>
          <w:i/>
          <w:sz w:val="26"/>
          <w:szCs w:val="26"/>
          <w:lang w:val="en-US"/>
        </w:rPr>
        <w:t>2</w:t>
      </w:r>
      <w:r w:rsidR="009F68E2" w:rsidRPr="00147844">
        <w:rPr>
          <w:i/>
          <w:sz w:val="26"/>
          <w:szCs w:val="26"/>
          <w:lang w:val="en-US"/>
        </w:rPr>
        <w:t>.</w:t>
      </w:r>
      <w:r w:rsidR="00E87664" w:rsidRPr="00E87664">
        <w:rPr>
          <w:i/>
          <w:sz w:val="26"/>
          <w:szCs w:val="26"/>
          <w:lang w:val="en-US"/>
        </w:rPr>
        <w:t>2</w:t>
      </w:r>
      <w:r w:rsidR="005F4443" w:rsidRPr="00147844">
        <w:rPr>
          <w:i/>
          <w:sz w:val="26"/>
          <w:szCs w:val="26"/>
          <w:lang w:val="en-US"/>
        </w:rPr>
        <w:t xml:space="preserve"> </w:t>
      </w:r>
      <w:r w:rsidR="00280024" w:rsidRPr="00147844">
        <w:rPr>
          <w:i/>
          <w:sz w:val="26"/>
          <w:szCs w:val="26"/>
          <w:lang w:val="en-US"/>
        </w:rPr>
        <w:t>billion</w:t>
      </w:r>
      <w:r w:rsidRPr="00147844">
        <w:rPr>
          <w:i/>
          <w:sz w:val="26"/>
          <w:szCs w:val="26"/>
          <w:lang w:val="en-US"/>
        </w:rPr>
        <w:t xml:space="preserve"> </w:t>
      </w:r>
      <w:r w:rsidR="00280024" w:rsidRPr="00147844">
        <w:rPr>
          <w:i/>
          <w:sz w:val="26"/>
          <w:szCs w:val="26"/>
          <w:lang w:val="en-US"/>
        </w:rPr>
        <w:t>for</w:t>
      </w:r>
      <w:r w:rsidR="005F4443" w:rsidRPr="00147844">
        <w:rPr>
          <w:i/>
          <w:sz w:val="26"/>
          <w:szCs w:val="26"/>
          <w:lang w:val="en-US"/>
        </w:rPr>
        <w:t xml:space="preserve"> 2019</w:t>
      </w:r>
      <w:r w:rsidRPr="00147844">
        <w:rPr>
          <w:i/>
          <w:sz w:val="26"/>
          <w:szCs w:val="26"/>
          <w:lang w:val="en-US"/>
        </w:rPr>
        <w:t>)</w:t>
      </w:r>
      <w:r w:rsidRPr="00147844">
        <w:rPr>
          <w:sz w:val="26"/>
          <w:szCs w:val="26"/>
          <w:lang w:val="en-US"/>
        </w:rPr>
        <w:t xml:space="preserve">. </w:t>
      </w:r>
      <w:r w:rsidR="009F68E2" w:rsidRPr="00147844">
        <w:rPr>
          <w:sz w:val="26"/>
          <w:szCs w:val="26"/>
          <w:lang w:val="en-US"/>
        </w:rPr>
        <w:t xml:space="preserve">the growth was observed mainly due to income from loans and borrowings, including from sovereign bonds of Uzbekistan and Eurobonds of commercial banks </w:t>
      </w:r>
      <w:r w:rsidRPr="00147844">
        <w:rPr>
          <w:i/>
          <w:sz w:val="26"/>
          <w:szCs w:val="26"/>
          <w:lang w:val="en-US"/>
        </w:rPr>
        <w:t xml:space="preserve">(USD </w:t>
      </w:r>
      <w:r w:rsidR="00E87664" w:rsidRPr="00E87664">
        <w:rPr>
          <w:i/>
          <w:sz w:val="26"/>
          <w:szCs w:val="26"/>
          <w:lang w:val="en-US"/>
        </w:rPr>
        <w:t>78</w:t>
      </w:r>
      <w:r w:rsidR="009F68E2" w:rsidRPr="00147844">
        <w:rPr>
          <w:i/>
          <w:sz w:val="26"/>
          <w:szCs w:val="26"/>
          <w:lang w:val="en-US"/>
        </w:rPr>
        <w:t>.</w:t>
      </w:r>
      <w:r w:rsidR="00280024" w:rsidRPr="00147844">
        <w:rPr>
          <w:i/>
          <w:sz w:val="26"/>
          <w:szCs w:val="26"/>
          <w:lang w:val="en-US"/>
        </w:rPr>
        <w:t>0</w:t>
      </w:r>
      <w:r w:rsidRPr="00147844">
        <w:rPr>
          <w:i/>
          <w:sz w:val="26"/>
          <w:szCs w:val="26"/>
          <w:lang w:val="en-US"/>
        </w:rPr>
        <w:t xml:space="preserve"> million </w:t>
      </w:r>
      <w:r w:rsidR="00280024" w:rsidRPr="00147844">
        <w:rPr>
          <w:i/>
          <w:sz w:val="26"/>
          <w:szCs w:val="26"/>
          <w:lang w:val="en-US"/>
        </w:rPr>
        <w:t>for</w:t>
      </w:r>
      <w:r w:rsidR="005F4443" w:rsidRPr="00147844">
        <w:rPr>
          <w:i/>
          <w:sz w:val="26"/>
          <w:szCs w:val="26"/>
          <w:lang w:val="en-US"/>
        </w:rPr>
        <w:t xml:space="preserve"> 2020</w:t>
      </w:r>
      <w:r w:rsidRPr="00147844">
        <w:rPr>
          <w:i/>
          <w:sz w:val="26"/>
          <w:szCs w:val="26"/>
          <w:lang w:val="en-US"/>
        </w:rPr>
        <w:t xml:space="preserve">, USD </w:t>
      </w:r>
      <w:r w:rsidR="00E87664" w:rsidRPr="00E87664">
        <w:rPr>
          <w:i/>
          <w:sz w:val="26"/>
          <w:szCs w:val="26"/>
          <w:lang w:val="en-US"/>
        </w:rPr>
        <w:t>45</w:t>
      </w:r>
      <w:r w:rsidR="009F68E2" w:rsidRPr="00147844">
        <w:rPr>
          <w:i/>
          <w:sz w:val="26"/>
          <w:szCs w:val="26"/>
          <w:lang w:val="en-US"/>
        </w:rPr>
        <w:t>.</w:t>
      </w:r>
      <w:r w:rsidR="00E87664" w:rsidRPr="00E87664">
        <w:rPr>
          <w:i/>
          <w:sz w:val="26"/>
          <w:szCs w:val="26"/>
          <w:lang w:val="en-US"/>
        </w:rPr>
        <w:t>0</w:t>
      </w:r>
      <w:r w:rsidRPr="00147844">
        <w:rPr>
          <w:i/>
          <w:sz w:val="26"/>
          <w:szCs w:val="26"/>
          <w:lang w:val="en-US"/>
        </w:rPr>
        <w:t xml:space="preserve"> million for</w:t>
      </w:r>
      <w:r w:rsidR="005F4443" w:rsidRPr="00147844">
        <w:rPr>
          <w:i/>
          <w:sz w:val="26"/>
          <w:szCs w:val="26"/>
          <w:lang w:val="en-US"/>
        </w:rPr>
        <w:t xml:space="preserve"> 2019</w:t>
      </w:r>
      <w:r w:rsidRPr="00147844">
        <w:rPr>
          <w:i/>
          <w:sz w:val="26"/>
          <w:szCs w:val="26"/>
          <w:lang w:val="en-US"/>
        </w:rPr>
        <w:t>)</w:t>
      </w:r>
      <w:r w:rsidRPr="00147844">
        <w:rPr>
          <w:sz w:val="26"/>
          <w:szCs w:val="26"/>
          <w:lang w:val="en-US"/>
        </w:rPr>
        <w:t>. In addition, direct inves</w:t>
      </w:r>
      <w:r w:rsidR="005F4443" w:rsidRPr="00147844">
        <w:rPr>
          <w:sz w:val="26"/>
          <w:szCs w:val="26"/>
          <w:lang w:val="en-US"/>
        </w:rPr>
        <w:t xml:space="preserve">tment income amounted to USD </w:t>
      </w:r>
      <w:r w:rsidR="00E87664" w:rsidRPr="00E87664">
        <w:rPr>
          <w:sz w:val="26"/>
          <w:szCs w:val="26"/>
          <w:lang w:val="en-US"/>
        </w:rPr>
        <w:t>973</w:t>
      </w:r>
      <w:r w:rsidR="009F68E2" w:rsidRPr="00147844">
        <w:rPr>
          <w:sz w:val="26"/>
          <w:szCs w:val="26"/>
          <w:lang w:val="en-US"/>
        </w:rPr>
        <w:t>.</w:t>
      </w:r>
      <w:r w:rsidR="00E87664" w:rsidRPr="00E87664">
        <w:rPr>
          <w:sz w:val="26"/>
          <w:szCs w:val="26"/>
          <w:lang w:val="en-US"/>
        </w:rPr>
        <w:t>5</w:t>
      </w:r>
      <w:r w:rsidRPr="00147844">
        <w:rPr>
          <w:sz w:val="26"/>
          <w:szCs w:val="26"/>
          <w:lang w:val="en-US"/>
        </w:rPr>
        <w:t xml:space="preserve"> </w:t>
      </w:r>
      <w:r w:rsidR="005F4443" w:rsidRPr="00147844">
        <w:rPr>
          <w:sz w:val="26"/>
          <w:szCs w:val="26"/>
          <w:lang w:val="en-US"/>
        </w:rPr>
        <w:t>million</w:t>
      </w:r>
      <w:r w:rsidRPr="00147844">
        <w:rPr>
          <w:sz w:val="26"/>
          <w:szCs w:val="26"/>
          <w:lang w:val="en-US"/>
        </w:rPr>
        <w:t xml:space="preserve"> </w:t>
      </w:r>
      <w:r w:rsidRPr="00147844">
        <w:rPr>
          <w:i/>
          <w:sz w:val="26"/>
          <w:szCs w:val="26"/>
          <w:lang w:val="en-US"/>
        </w:rPr>
        <w:t xml:space="preserve">(USD </w:t>
      </w:r>
      <w:r w:rsidR="00E87664" w:rsidRPr="00E87664">
        <w:rPr>
          <w:i/>
          <w:sz w:val="26"/>
          <w:szCs w:val="26"/>
          <w:lang w:val="en-US"/>
        </w:rPr>
        <w:t>1</w:t>
      </w:r>
      <w:r w:rsidR="009F68E2" w:rsidRPr="00147844">
        <w:rPr>
          <w:i/>
          <w:sz w:val="26"/>
          <w:szCs w:val="26"/>
          <w:lang w:val="en-US"/>
        </w:rPr>
        <w:t>.</w:t>
      </w:r>
      <w:r w:rsidR="00E87664" w:rsidRPr="00E87664">
        <w:rPr>
          <w:i/>
          <w:sz w:val="26"/>
          <w:szCs w:val="26"/>
          <w:lang w:val="en-US"/>
        </w:rPr>
        <w:t>4</w:t>
      </w:r>
      <w:r w:rsidRPr="00147844">
        <w:rPr>
          <w:i/>
          <w:sz w:val="26"/>
          <w:szCs w:val="26"/>
          <w:lang w:val="en-US"/>
        </w:rPr>
        <w:t xml:space="preserve"> </w:t>
      </w:r>
      <w:r w:rsidR="00E87664">
        <w:rPr>
          <w:i/>
          <w:sz w:val="26"/>
          <w:szCs w:val="26"/>
          <w:lang w:val="en-US"/>
        </w:rPr>
        <w:t>b</w:t>
      </w:r>
      <w:r w:rsidR="005F4443" w:rsidRPr="00147844">
        <w:rPr>
          <w:i/>
          <w:sz w:val="26"/>
          <w:szCs w:val="26"/>
          <w:lang w:val="en-US"/>
        </w:rPr>
        <w:t>illion</w:t>
      </w:r>
      <w:r w:rsidRPr="00147844">
        <w:rPr>
          <w:i/>
          <w:sz w:val="26"/>
          <w:szCs w:val="26"/>
          <w:lang w:val="en-US"/>
        </w:rPr>
        <w:t xml:space="preserve"> </w:t>
      </w:r>
      <w:r w:rsidR="00280024" w:rsidRPr="00147844">
        <w:rPr>
          <w:i/>
          <w:sz w:val="26"/>
          <w:szCs w:val="26"/>
          <w:lang w:val="en-US"/>
        </w:rPr>
        <w:t>for</w:t>
      </w:r>
      <w:r w:rsidR="005F4443" w:rsidRPr="00147844">
        <w:rPr>
          <w:i/>
          <w:sz w:val="26"/>
          <w:szCs w:val="26"/>
          <w:lang w:val="en-US"/>
        </w:rPr>
        <w:t xml:space="preserve"> 2019</w:t>
      </w:r>
      <w:r w:rsidRPr="00147844">
        <w:rPr>
          <w:i/>
          <w:sz w:val="26"/>
          <w:szCs w:val="26"/>
          <w:lang w:val="en-US"/>
        </w:rPr>
        <w:t>).</w:t>
      </w:r>
    </w:p>
    <w:p w:rsidR="00F44C0F" w:rsidRPr="00147844" w:rsidRDefault="00F44C0F" w:rsidP="00F44C0F">
      <w:pPr>
        <w:spacing w:before="120" w:line="288" w:lineRule="auto"/>
        <w:ind w:firstLine="709"/>
        <w:jc w:val="both"/>
        <w:rPr>
          <w:sz w:val="26"/>
          <w:szCs w:val="26"/>
          <w:lang w:val="en-US"/>
        </w:rPr>
      </w:pPr>
      <w:r w:rsidRPr="00147844">
        <w:rPr>
          <w:sz w:val="26"/>
          <w:szCs w:val="26"/>
          <w:lang w:val="en-US"/>
        </w:rPr>
        <w:t>Reinvested earnings of foreign investors in</w:t>
      </w:r>
      <w:r w:rsidR="005F4443" w:rsidRPr="00147844">
        <w:rPr>
          <w:sz w:val="26"/>
          <w:szCs w:val="26"/>
          <w:lang w:val="en-US"/>
        </w:rPr>
        <w:t xml:space="preserve"> the</w:t>
      </w:r>
      <w:r w:rsidRPr="00147844">
        <w:rPr>
          <w:sz w:val="26"/>
          <w:szCs w:val="26"/>
          <w:lang w:val="en-US"/>
        </w:rPr>
        <w:t xml:space="preserve"> considered period was equal to </w:t>
      </w:r>
      <w:r w:rsidR="00280024" w:rsidRPr="00147844">
        <w:rPr>
          <w:sz w:val="26"/>
          <w:szCs w:val="26"/>
          <w:lang w:val="en-US"/>
        </w:rPr>
        <w:t>5</w:t>
      </w:r>
      <w:r w:rsidR="00E87664">
        <w:rPr>
          <w:sz w:val="26"/>
          <w:szCs w:val="26"/>
          <w:lang w:val="en-US"/>
        </w:rPr>
        <w:t>5</w:t>
      </w:r>
      <w:r w:rsidRPr="00147844">
        <w:rPr>
          <w:sz w:val="26"/>
          <w:szCs w:val="26"/>
          <w:lang w:val="en-US"/>
        </w:rPr>
        <w:t>% of total amount of i</w:t>
      </w:r>
      <w:r w:rsidR="005F4443" w:rsidRPr="00147844">
        <w:rPr>
          <w:sz w:val="26"/>
          <w:szCs w:val="26"/>
          <w:lang w:val="en-US"/>
        </w:rPr>
        <w:t>ncome from direct investment (</w:t>
      </w:r>
      <w:r w:rsidR="00E87664">
        <w:rPr>
          <w:sz w:val="26"/>
          <w:szCs w:val="26"/>
          <w:lang w:val="en-US"/>
        </w:rPr>
        <w:t>50</w:t>
      </w:r>
      <w:r w:rsidRPr="00147844">
        <w:rPr>
          <w:i/>
          <w:sz w:val="26"/>
          <w:szCs w:val="26"/>
          <w:lang w:val="en-US"/>
        </w:rPr>
        <w:t xml:space="preserve"> % </w:t>
      </w:r>
      <w:r w:rsidR="00DB0A86" w:rsidRPr="00147844">
        <w:rPr>
          <w:i/>
          <w:sz w:val="26"/>
          <w:szCs w:val="26"/>
          <w:lang w:val="en-US"/>
        </w:rPr>
        <w:t>for</w:t>
      </w:r>
      <w:r w:rsidR="005F4443" w:rsidRPr="00147844">
        <w:rPr>
          <w:i/>
          <w:sz w:val="26"/>
          <w:szCs w:val="26"/>
          <w:lang w:val="en-US"/>
        </w:rPr>
        <w:t xml:space="preserve"> 2019</w:t>
      </w:r>
      <w:r w:rsidRPr="00147844">
        <w:rPr>
          <w:sz w:val="26"/>
          <w:szCs w:val="26"/>
          <w:lang w:val="en-US"/>
        </w:rPr>
        <w:t>).</w:t>
      </w:r>
      <w:r w:rsidR="00105198">
        <w:rPr>
          <w:sz w:val="26"/>
          <w:szCs w:val="26"/>
          <w:lang w:val="en-US"/>
        </w:rPr>
        <w:t xml:space="preserve"> </w:t>
      </w:r>
      <w:r w:rsidR="00725146">
        <w:rPr>
          <w:sz w:val="26"/>
          <w:szCs w:val="26"/>
          <w:lang w:val="en-US"/>
        </w:rPr>
        <w:t>The growth of th</w:t>
      </w:r>
      <w:r w:rsidR="00B16CBC">
        <w:rPr>
          <w:sz w:val="26"/>
          <w:szCs w:val="26"/>
          <w:lang w:val="en-US"/>
        </w:rPr>
        <w:t>is indicator</w:t>
      </w:r>
      <w:r w:rsidR="00725146">
        <w:rPr>
          <w:sz w:val="26"/>
          <w:szCs w:val="26"/>
          <w:lang w:val="en-US"/>
        </w:rPr>
        <w:t xml:space="preserve"> </w:t>
      </w:r>
      <w:r w:rsidR="00B16CBC">
        <w:rPr>
          <w:sz w:val="26"/>
          <w:szCs w:val="26"/>
          <w:lang w:val="en-US"/>
        </w:rPr>
        <w:t>may demonstrate increase in</w:t>
      </w:r>
      <w:r w:rsidR="00725146">
        <w:rPr>
          <w:sz w:val="26"/>
          <w:szCs w:val="26"/>
          <w:lang w:val="en-US"/>
        </w:rPr>
        <w:t xml:space="preserve"> </w:t>
      </w:r>
      <w:r w:rsidR="00B16CBC">
        <w:rPr>
          <w:sz w:val="26"/>
          <w:szCs w:val="26"/>
          <w:lang w:val="en-US"/>
        </w:rPr>
        <w:t>foreign investors</w:t>
      </w:r>
      <w:r w:rsidR="00B16CBC">
        <w:rPr>
          <w:sz w:val="26"/>
          <w:szCs w:val="26"/>
          <w:lang w:val="en-US"/>
        </w:rPr>
        <w:t>’</w:t>
      </w:r>
      <w:r w:rsidR="00B16CBC">
        <w:rPr>
          <w:sz w:val="26"/>
          <w:szCs w:val="26"/>
          <w:lang w:val="en-US"/>
        </w:rPr>
        <w:t xml:space="preserve"> </w:t>
      </w:r>
      <w:r w:rsidR="00725146">
        <w:rPr>
          <w:sz w:val="26"/>
          <w:szCs w:val="26"/>
          <w:lang w:val="en-US"/>
        </w:rPr>
        <w:t xml:space="preserve">trust </w:t>
      </w:r>
      <w:r w:rsidR="00B16CBC">
        <w:rPr>
          <w:sz w:val="26"/>
          <w:szCs w:val="26"/>
          <w:lang w:val="en-US"/>
        </w:rPr>
        <w:t>to Uzbek</w:t>
      </w:r>
      <w:r w:rsidR="00725146">
        <w:rPr>
          <w:sz w:val="26"/>
          <w:szCs w:val="26"/>
          <w:lang w:val="en-US"/>
        </w:rPr>
        <w:t xml:space="preserve"> economy</w:t>
      </w:r>
      <w:r w:rsidR="00B16CBC">
        <w:rPr>
          <w:sz w:val="26"/>
          <w:szCs w:val="26"/>
          <w:lang w:val="en-US"/>
        </w:rPr>
        <w:t>.</w:t>
      </w:r>
    </w:p>
    <w:p w:rsidR="00380203" w:rsidRPr="00147844" w:rsidRDefault="00CF46FC" w:rsidP="002716FD">
      <w:pPr>
        <w:pStyle w:val="21"/>
        <w:keepNext w:val="0"/>
        <w:widowControl w:val="0"/>
        <w:spacing w:after="240"/>
        <w:ind w:left="0" w:firstLine="709"/>
        <w:rPr>
          <w:rFonts w:ascii="Calibri" w:hAnsi="Calibri"/>
          <w:lang w:val="en-US"/>
        </w:rPr>
      </w:pPr>
      <w:bookmarkStart w:id="6" w:name="_Toc67050790"/>
      <w:r w:rsidRPr="00147844">
        <w:rPr>
          <w:rFonts w:ascii="Calibri" w:hAnsi="Calibri"/>
          <w:lang w:val="en-US"/>
        </w:rPr>
        <w:t>SECONDARY INCOME</w:t>
      </w:r>
      <w:bookmarkEnd w:id="6"/>
    </w:p>
    <w:p w:rsidR="00F44C0F" w:rsidRPr="00147844" w:rsidRDefault="00F44C0F" w:rsidP="00F44C0F">
      <w:pPr>
        <w:spacing w:before="120" w:line="288" w:lineRule="auto"/>
        <w:ind w:firstLine="709"/>
        <w:jc w:val="both"/>
        <w:rPr>
          <w:sz w:val="26"/>
          <w:szCs w:val="26"/>
          <w:lang w:val="en-US"/>
        </w:rPr>
      </w:pPr>
      <w:r w:rsidRPr="00147844">
        <w:rPr>
          <w:sz w:val="26"/>
          <w:szCs w:val="26"/>
          <w:lang w:val="en-US"/>
        </w:rPr>
        <w:t>The positive balance of se</w:t>
      </w:r>
      <w:r w:rsidR="00415812" w:rsidRPr="00147844">
        <w:rPr>
          <w:sz w:val="26"/>
          <w:szCs w:val="26"/>
          <w:lang w:val="en-US"/>
        </w:rPr>
        <w:t xml:space="preserve">condary income amounted to USD </w:t>
      </w:r>
      <w:r w:rsidR="00605D3A">
        <w:rPr>
          <w:sz w:val="26"/>
          <w:szCs w:val="26"/>
          <w:lang w:val="en-US"/>
        </w:rPr>
        <w:t>5</w:t>
      </w:r>
      <w:r w:rsidR="00CF7BEC" w:rsidRPr="00147844">
        <w:rPr>
          <w:sz w:val="26"/>
          <w:szCs w:val="26"/>
          <w:lang w:val="en-US"/>
        </w:rPr>
        <w:t>.</w:t>
      </w:r>
      <w:r w:rsidR="00605D3A">
        <w:rPr>
          <w:sz w:val="26"/>
          <w:szCs w:val="26"/>
          <w:lang w:val="en-US"/>
        </w:rPr>
        <w:t>1</w:t>
      </w:r>
      <w:r w:rsidRPr="00147844">
        <w:rPr>
          <w:sz w:val="26"/>
          <w:szCs w:val="26"/>
          <w:lang w:val="en-US"/>
        </w:rPr>
        <w:t xml:space="preserve"> billion </w:t>
      </w:r>
      <w:r w:rsidR="00415812" w:rsidRPr="00147844">
        <w:rPr>
          <w:i/>
          <w:sz w:val="26"/>
          <w:szCs w:val="26"/>
          <w:lang w:val="en-US"/>
        </w:rPr>
        <w:t xml:space="preserve">(USD </w:t>
      </w:r>
      <w:r w:rsidR="00605D3A">
        <w:rPr>
          <w:i/>
          <w:sz w:val="26"/>
          <w:szCs w:val="26"/>
          <w:lang w:val="en-US"/>
        </w:rPr>
        <w:t>5</w:t>
      </w:r>
      <w:r w:rsidR="00CF7BEC" w:rsidRPr="00147844">
        <w:rPr>
          <w:i/>
          <w:sz w:val="26"/>
          <w:szCs w:val="26"/>
          <w:lang w:val="en-US"/>
        </w:rPr>
        <w:t>.</w:t>
      </w:r>
      <w:r w:rsidR="00605D3A">
        <w:rPr>
          <w:i/>
          <w:sz w:val="26"/>
          <w:szCs w:val="26"/>
          <w:lang w:val="en-US"/>
        </w:rPr>
        <w:t>5</w:t>
      </w:r>
      <w:r w:rsidRPr="00147844">
        <w:rPr>
          <w:i/>
          <w:sz w:val="26"/>
          <w:szCs w:val="26"/>
          <w:lang w:val="en-US"/>
        </w:rPr>
        <w:t xml:space="preserve"> </w:t>
      </w:r>
      <w:r w:rsidR="00CF7BEC" w:rsidRPr="00147844">
        <w:rPr>
          <w:i/>
          <w:sz w:val="26"/>
          <w:szCs w:val="26"/>
          <w:lang w:val="en-US"/>
        </w:rPr>
        <w:t>b</w:t>
      </w:r>
      <w:r w:rsidR="00415812" w:rsidRPr="00147844">
        <w:rPr>
          <w:i/>
          <w:sz w:val="26"/>
          <w:szCs w:val="26"/>
          <w:lang w:val="en-US"/>
        </w:rPr>
        <w:t>il</w:t>
      </w:r>
      <w:r w:rsidRPr="00147844">
        <w:rPr>
          <w:i/>
          <w:sz w:val="26"/>
          <w:szCs w:val="26"/>
          <w:lang w:val="en-US"/>
        </w:rPr>
        <w:t xml:space="preserve">lion </w:t>
      </w:r>
      <w:r w:rsidR="008131D3" w:rsidRPr="00147844">
        <w:rPr>
          <w:i/>
          <w:sz w:val="26"/>
          <w:szCs w:val="26"/>
          <w:lang w:val="en-US"/>
        </w:rPr>
        <w:t>for</w:t>
      </w:r>
      <w:r w:rsidR="00415812" w:rsidRPr="00147844">
        <w:rPr>
          <w:i/>
          <w:sz w:val="26"/>
          <w:szCs w:val="26"/>
          <w:lang w:val="en-US"/>
        </w:rPr>
        <w:t xml:space="preserve"> 2019</w:t>
      </w:r>
      <w:r w:rsidRPr="00147844">
        <w:rPr>
          <w:i/>
          <w:sz w:val="26"/>
          <w:szCs w:val="26"/>
          <w:lang w:val="en-US"/>
        </w:rPr>
        <w:t>)</w:t>
      </w:r>
      <w:r w:rsidRPr="00147844">
        <w:rPr>
          <w:sz w:val="26"/>
          <w:szCs w:val="26"/>
          <w:lang w:val="en-US"/>
        </w:rPr>
        <w:t xml:space="preserve">. The positive balance remains stable mainly due to </w:t>
      </w:r>
      <w:r w:rsidR="00415812" w:rsidRPr="00147844">
        <w:rPr>
          <w:sz w:val="26"/>
          <w:szCs w:val="26"/>
          <w:lang w:val="en-US"/>
        </w:rPr>
        <w:t xml:space="preserve">cross-border remittances </w:t>
      </w:r>
      <w:r w:rsidRPr="00147844">
        <w:rPr>
          <w:sz w:val="26"/>
          <w:szCs w:val="26"/>
          <w:lang w:val="en-US"/>
        </w:rPr>
        <w:t>of long-term workers.</w:t>
      </w:r>
    </w:p>
    <w:p w:rsidR="00F44C0F" w:rsidRPr="00147844" w:rsidRDefault="004E7E2B" w:rsidP="004E7E2B">
      <w:pPr>
        <w:spacing w:before="120" w:line="288" w:lineRule="auto"/>
        <w:ind w:firstLine="709"/>
        <w:jc w:val="both"/>
        <w:rPr>
          <w:sz w:val="26"/>
          <w:szCs w:val="26"/>
          <w:lang w:val="en-US"/>
        </w:rPr>
      </w:pPr>
      <w:r w:rsidRPr="00147844">
        <w:rPr>
          <w:sz w:val="26"/>
          <w:szCs w:val="26"/>
          <w:lang w:val="en-US"/>
        </w:rPr>
        <w:t xml:space="preserve">These transfers make up the bulk of the components of the secondary income and are gratuitous transfers to individuals-residents (households) from abroad. </w:t>
      </w:r>
      <w:r w:rsidR="00B16CBC">
        <w:rPr>
          <w:sz w:val="26"/>
          <w:szCs w:val="26"/>
          <w:lang w:val="en-US"/>
        </w:rPr>
        <w:t>T</w:t>
      </w:r>
      <w:r w:rsidR="00F44C0F" w:rsidRPr="00147844">
        <w:rPr>
          <w:sz w:val="26"/>
          <w:szCs w:val="26"/>
          <w:lang w:val="en-US"/>
        </w:rPr>
        <w:t xml:space="preserve">ransfers to households are mainly carried out through international money transfer systems. </w:t>
      </w:r>
      <w:r w:rsidR="00F44C0F" w:rsidRPr="00147844">
        <w:rPr>
          <w:color w:val="0070C0"/>
          <w:sz w:val="26"/>
          <w:szCs w:val="26"/>
          <w:lang w:val="en-US"/>
        </w:rPr>
        <w:t>(</w:t>
      </w:r>
      <w:r w:rsidR="00B23450" w:rsidRPr="00147844">
        <w:rPr>
          <w:color w:val="0070C0"/>
          <w:sz w:val="26"/>
          <w:szCs w:val="26"/>
          <w:lang w:val="en-US"/>
        </w:rPr>
        <w:t>Figure</w:t>
      </w:r>
      <w:r w:rsidR="00F44C0F" w:rsidRPr="00147844">
        <w:rPr>
          <w:color w:val="0070C0"/>
          <w:sz w:val="26"/>
          <w:szCs w:val="26"/>
          <w:lang w:val="en-US"/>
        </w:rPr>
        <w:t xml:space="preserve"> </w:t>
      </w:r>
      <w:r w:rsidR="00415812" w:rsidRPr="00147844">
        <w:rPr>
          <w:color w:val="0070C0"/>
          <w:sz w:val="26"/>
          <w:szCs w:val="26"/>
          <w:lang w:val="en-US"/>
        </w:rPr>
        <w:t>1</w:t>
      </w:r>
      <w:r w:rsidR="00605D3A">
        <w:rPr>
          <w:color w:val="0070C0"/>
          <w:sz w:val="26"/>
          <w:szCs w:val="26"/>
          <w:lang w:val="en-US"/>
        </w:rPr>
        <w:t>2</w:t>
      </w:r>
      <w:r w:rsidR="00F44C0F" w:rsidRPr="00147844">
        <w:rPr>
          <w:color w:val="0070C0"/>
          <w:sz w:val="26"/>
          <w:szCs w:val="26"/>
          <w:lang w:val="en-US"/>
        </w:rPr>
        <w:t>)</w:t>
      </w:r>
      <w:r w:rsidR="00F44C0F" w:rsidRPr="00147844">
        <w:rPr>
          <w:sz w:val="26"/>
          <w:szCs w:val="26"/>
          <w:lang w:val="en-US"/>
        </w:rPr>
        <w:t>.</w:t>
      </w:r>
    </w:p>
    <w:p w:rsidR="00B644E0" w:rsidRPr="00147844" w:rsidRDefault="00B23450" w:rsidP="00B75F3E">
      <w:pPr>
        <w:jc w:val="right"/>
        <w:rPr>
          <w:lang w:val="en-US"/>
        </w:rPr>
      </w:pPr>
      <w:r w:rsidRPr="00147844">
        <w:rPr>
          <w:lang w:val="en-US"/>
        </w:rPr>
        <w:t>Figure</w:t>
      </w:r>
      <w:r w:rsidR="00CC154F" w:rsidRPr="00147844">
        <w:rPr>
          <w:lang w:val="en-US"/>
        </w:rPr>
        <w:t xml:space="preserve"> </w:t>
      </w:r>
      <w:r w:rsidR="00415812" w:rsidRPr="00147844">
        <w:rPr>
          <w:lang w:val="en-US"/>
        </w:rPr>
        <w:t>1</w:t>
      </w:r>
      <w:r w:rsidR="00605D3A">
        <w:rPr>
          <w:lang w:val="en-US"/>
        </w:rPr>
        <w:t>2</w:t>
      </w:r>
    </w:p>
    <w:p w:rsidR="00B644E0" w:rsidRPr="00B75F3E" w:rsidRDefault="00843E41" w:rsidP="00B644E0">
      <w:pPr>
        <w:jc w:val="center"/>
        <w:rPr>
          <w:b/>
          <w:sz w:val="28"/>
          <w:szCs w:val="28"/>
          <w:lang w:val="en-US"/>
        </w:rPr>
      </w:pPr>
      <w:r w:rsidRPr="00147844">
        <w:rPr>
          <w:b/>
          <w:sz w:val="28"/>
          <w:szCs w:val="28"/>
          <w:lang w:val="en-US"/>
        </w:rPr>
        <w:t>CURRENT TRANSFERS</w:t>
      </w:r>
    </w:p>
    <w:p w:rsidR="00B644E0" w:rsidRPr="00F45A80" w:rsidRDefault="00B644E0" w:rsidP="00B644E0">
      <w:pPr>
        <w:jc w:val="right"/>
        <w:rPr>
          <w:i/>
          <w:sz w:val="20"/>
          <w:szCs w:val="20"/>
          <w:lang w:val="en-US"/>
        </w:rPr>
      </w:pPr>
      <w:r w:rsidRPr="00F45A80">
        <w:rPr>
          <w:i/>
          <w:sz w:val="20"/>
          <w:szCs w:val="20"/>
          <w:lang w:val="en-US"/>
        </w:rPr>
        <w:t>(mln. USD)</w:t>
      </w:r>
    </w:p>
    <w:p w:rsidR="00B644E0" w:rsidRPr="00F45A80" w:rsidRDefault="00605D3A" w:rsidP="0056599C">
      <w:pPr>
        <w:spacing w:before="120" w:line="288" w:lineRule="auto"/>
        <w:jc w:val="both"/>
        <w:rPr>
          <w:sz w:val="26"/>
          <w:szCs w:val="26"/>
          <w:lang w:val="en-US"/>
        </w:rPr>
      </w:pPr>
      <w:r>
        <w:rPr>
          <w:noProof/>
        </w:rPr>
        <w:drawing>
          <wp:inline distT="0" distB="0" distL="0" distR="0" wp14:anchorId="70AF0CB3" wp14:editId="00BA59F6">
            <wp:extent cx="6365174" cy="4013835"/>
            <wp:effectExtent l="0" t="0" r="17145" b="5715"/>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05D3A" w:rsidRDefault="00F44C0F" w:rsidP="00F44C0F">
      <w:pPr>
        <w:tabs>
          <w:tab w:val="left" w:pos="7875"/>
        </w:tabs>
        <w:spacing w:before="120" w:line="288" w:lineRule="auto"/>
        <w:ind w:firstLine="709"/>
        <w:jc w:val="both"/>
        <w:rPr>
          <w:sz w:val="26"/>
          <w:szCs w:val="26"/>
          <w:lang w:val="en-US"/>
        </w:rPr>
      </w:pPr>
      <w:r w:rsidRPr="00147844">
        <w:rPr>
          <w:sz w:val="26"/>
          <w:szCs w:val="26"/>
          <w:lang w:val="en-US"/>
        </w:rPr>
        <w:lastRenderedPageBreak/>
        <w:t xml:space="preserve">Receipts of secondary income </w:t>
      </w:r>
      <w:r w:rsidR="006F3D86" w:rsidRPr="00147844">
        <w:rPr>
          <w:sz w:val="26"/>
          <w:szCs w:val="26"/>
          <w:lang w:val="en-US"/>
        </w:rPr>
        <w:t xml:space="preserve">for </w:t>
      </w:r>
      <w:r w:rsidR="006D637A" w:rsidRPr="00147844">
        <w:rPr>
          <w:sz w:val="26"/>
          <w:szCs w:val="26"/>
          <w:lang w:val="en-US"/>
        </w:rPr>
        <w:t>2020</w:t>
      </w:r>
      <w:r w:rsidRPr="00147844">
        <w:rPr>
          <w:sz w:val="26"/>
          <w:szCs w:val="26"/>
          <w:lang w:val="en-US"/>
        </w:rPr>
        <w:t xml:space="preserve">, as </w:t>
      </w:r>
      <w:r w:rsidR="004E7E2B" w:rsidRPr="00147844">
        <w:rPr>
          <w:sz w:val="26"/>
          <w:szCs w:val="26"/>
          <w:lang w:val="en-US"/>
        </w:rPr>
        <w:t xml:space="preserve">in </w:t>
      </w:r>
      <w:r w:rsidRPr="00147844">
        <w:rPr>
          <w:sz w:val="26"/>
          <w:szCs w:val="26"/>
          <w:lang w:val="en-US"/>
        </w:rPr>
        <w:t xml:space="preserve">previous </w:t>
      </w:r>
      <w:r w:rsidR="004E7E2B" w:rsidRPr="00147844">
        <w:rPr>
          <w:sz w:val="26"/>
          <w:szCs w:val="26"/>
          <w:lang w:val="en-US"/>
        </w:rPr>
        <w:t>periods</w:t>
      </w:r>
      <w:r w:rsidRPr="00147844">
        <w:rPr>
          <w:sz w:val="26"/>
          <w:szCs w:val="26"/>
          <w:lang w:val="en-US"/>
        </w:rPr>
        <w:t xml:space="preserve">, have seasonal character. </w:t>
      </w:r>
      <w:r w:rsidR="00605D3A">
        <w:rPr>
          <w:sz w:val="26"/>
          <w:szCs w:val="26"/>
          <w:lang w:val="en-US"/>
        </w:rPr>
        <w:t>The quarantine measures introduced starting from the second quarter influenced the seasonal trend, smoothing the downward trend in the last quarter of this year, including th</w:t>
      </w:r>
      <w:r w:rsidR="00737629">
        <w:rPr>
          <w:sz w:val="26"/>
          <w:szCs w:val="26"/>
          <w:lang w:val="en-US"/>
        </w:rPr>
        <w:t xml:space="preserve">rough the partial formalization of transfers of individuals. </w:t>
      </w:r>
      <w:r w:rsidR="00737629" w:rsidRPr="00147844">
        <w:rPr>
          <w:sz w:val="26"/>
          <w:szCs w:val="26"/>
          <w:lang w:val="en-US"/>
        </w:rPr>
        <w:t>Also, part of the cross-border remittances received by citizens of Uzbekistan are sent by their relatives permanently residing or living abroad</w:t>
      </w:r>
      <w:r w:rsidR="00737629" w:rsidRPr="00147844">
        <w:rPr>
          <w:color w:val="0070C0"/>
          <w:sz w:val="26"/>
          <w:szCs w:val="26"/>
          <w:lang w:val="en-US"/>
        </w:rPr>
        <w:t xml:space="preserve"> (Figure 1</w:t>
      </w:r>
      <w:r w:rsidR="00737629">
        <w:rPr>
          <w:color w:val="0070C0"/>
          <w:sz w:val="26"/>
          <w:szCs w:val="26"/>
          <w:lang w:val="en-US"/>
        </w:rPr>
        <w:t>3</w:t>
      </w:r>
      <w:r w:rsidR="00737629" w:rsidRPr="00147844">
        <w:rPr>
          <w:color w:val="0070C0"/>
          <w:sz w:val="26"/>
          <w:szCs w:val="26"/>
          <w:lang w:val="en-US"/>
        </w:rPr>
        <w:t>)</w:t>
      </w:r>
      <w:r w:rsidR="00737629" w:rsidRPr="00147844">
        <w:rPr>
          <w:sz w:val="26"/>
          <w:szCs w:val="26"/>
          <w:lang w:val="en-US"/>
        </w:rPr>
        <w:t>.</w:t>
      </w:r>
    </w:p>
    <w:p w:rsidR="00F44C0F" w:rsidRPr="00147844" w:rsidRDefault="00F44C0F" w:rsidP="00F44C0F">
      <w:pPr>
        <w:spacing w:before="120" w:line="288" w:lineRule="auto"/>
        <w:ind w:firstLine="709"/>
        <w:jc w:val="both"/>
        <w:rPr>
          <w:sz w:val="26"/>
          <w:szCs w:val="26"/>
          <w:lang w:val="en-US"/>
        </w:rPr>
      </w:pPr>
      <w:r w:rsidRPr="00147844">
        <w:rPr>
          <w:sz w:val="26"/>
          <w:szCs w:val="26"/>
          <w:lang w:val="en-US"/>
        </w:rPr>
        <w:t>It should be noted that, in practice, remittances can be used not only by short-term workers to send assistance to their families and non-residents (</w:t>
      </w:r>
      <w:r w:rsidRPr="00147844">
        <w:rPr>
          <w:i/>
          <w:sz w:val="26"/>
          <w:szCs w:val="26"/>
          <w:lang w:val="en-US"/>
        </w:rPr>
        <w:t>who include workers that have been abroad for more than 1 year</w:t>
      </w:r>
      <w:r w:rsidRPr="00147844">
        <w:rPr>
          <w:sz w:val="26"/>
          <w:szCs w:val="26"/>
          <w:lang w:val="en-US"/>
        </w:rPr>
        <w:t xml:space="preserve">) to send personal transfers to residents, but also can be used for the purpose of making settlements on foreign trade operations. In this regard, the amount of remittances and cash imports of foreign currency by individuals-residents is reduced by the amount estimated </w:t>
      </w:r>
      <w:r w:rsidR="00415812" w:rsidRPr="00147844">
        <w:rPr>
          <w:sz w:val="26"/>
          <w:szCs w:val="26"/>
          <w:lang w:val="en-US"/>
        </w:rPr>
        <w:t>on the basis of</w:t>
      </w:r>
      <w:r w:rsidRPr="00147844">
        <w:rPr>
          <w:sz w:val="26"/>
          <w:szCs w:val="26"/>
          <w:lang w:val="en-US"/>
        </w:rPr>
        <w:t xml:space="preserve"> </w:t>
      </w:r>
      <w:r w:rsidR="00415812" w:rsidRPr="00147844">
        <w:rPr>
          <w:sz w:val="26"/>
          <w:szCs w:val="26"/>
          <w:lang w:val="en-US"/>
        </w:rPr>
        <w:t xml:space="preserve">the survey of </w:t>
      </w:r>
      <w:r w:rsidRPr="00147844">
        <w:rPr>
          <w:sz w:val="26"/>
          <w:szCs w:val="26"/>
          <w:lang w:val="en-US"/>
        </w:rPr>
        <w:t>shuttle exports</w:t>
      </w:r>
      <w:r w:rsidR="00415812" w:rsidRPr="00147844">
        <w:rPr>
          <w:sz w:val="26"/>
          <w:szCs w:val="26"/>
          <w:lang w:val="en-US"/>
        </w:rPr>
        <w:t xml:space="preserve">, </w:t>
      </w:r>
      <w:r w:rsidR="00601634" w:rsidRPr="00147844">
        <w:rPr>
          <w:sz w:val="26"/>
          <w:szCs w:val="26"/>
          <w:lang w:val="en-US"/>
        </w:rPr>
        <w:t>amounting to</w:t>
      </w:r>
      <w:r w:rsidR="00415812" w:rsidRPr="00147844">
        <w:rPr>
          <w:sz w:val="26"/>
          <w:szCs w:val="26"/>
          <w:lang w:val="en-US"/>
        </w:rPr>
        <w:t xml:space="preserve"> USD 26 million </w:t>
      </w:r>
      <w:r w:rsidR="006F3D86" w:rsidRPr="00147844">
        <w:rPr>
          <w:sz w:val="26"/>
          <w:szCs w:val="26"/>
          <w:lang w:val="en-US"/>
        </w:rPr>
        <w:t>for</w:t>
      </w:r>
      <w:r w:rsidR="00415812" w:rsidRPr="00147844">
        <w:rPr>
          <w:sz w:val="26"/>
          <w:szCs w:val="26"/>
          <w:lang w:val="en-US"/>
        </w:rPr>
        <w:t xml:space="preserve"> 2020</w:t>
      </w:r>
      <w:r w:rsidRPr="00147844">
        <w:rPr>
          <w:sz w:val="26"/>
          <w:szCs w:val="26"/>
          <w:lang w:val="en-US"/>
        </w:rPr>
        <w:t>.</w:t>
      </w:r>
    </w:p>
    <w:p w:rsidR="00CF7BEC" w:rsidRPr="00147844" w:rsidRDefault="00CF7BEC" w:rsidP="00F44C0F">
      <w:pPr>
        <w:spacing w:before="120" w:line="288" w:lineRule="auto"/>
        <w:ind w:firstLine="709"/>
        <w:jc w:val="both"/>
        <w:rPr>
          <w:sz w:val="26"/>
          <w:szCs w:val="26"/>
          <w:lang w:val="en-US"/>
        </w:rPr>
      </w:pPr>
      <w:r w:rsidRPr="00147844">
        <w:rPr>
          <w:sz w:val="26"/>
          <w:szCs w:val="26"/>
          <w:lang w:val="en-US"/>
        </w:rPr>
        <w:t xml:space="preserve">At the same time, the restriction of movement of individuals across the border of Uzbekistan within the framework of introduced quarantine measures </w:t>
      </w:r>
      <w:r w:rsidR="00C2572B">
        <w:rPr>
          <w:sz w:val="26"/>
          <w:szCs w:val="26"/>
          <w:lang w:val="en-US"/>
        </w:rPr>
        <w:t xml:space="preserve">caused </w:t>
      </w:r>
      <w:r w:rsidRPr="00147844">
        <w:rPr>
          <w:sz w:val="26"/>
          <w:szCs w:val="26"/>
          <w:lang w:val="en-US"/>
        </w:rPr>
        <w:t>the reduction in currency cash</w:t>
      </w:r>
      <w:r w:rsidR="00C2572B">
        <w:rPr>
          <w:sz w:val="26"/>
          <w:szCs w:val="26"/>
          <w:lang w:val="en-US"/>
        </w:rPr>
        <w:t xml:space="preserve"> flows.</w:t>
      </w:r>
      <w:r w:rsidRPr="00147844">
        <w:rPr>
          <w:sz w:val="26"/>
          <w:szCs w:val="26"/>
          <w:lang w:val="en-US"/>
        </w:rPr>
        <w:t xml:space="preserve"> </w:t>
      </w:r>
      <w:r w:rsidR="00C2572B">
        <w:rPr>
          <w:sz w:val="26"/>
          <w:szCs w:val="26"/>
          <w:lang w:val="en-US"/>
        </w:rPr>
        <w:t xml:space="preserve">This </w:t>
      </w:r>
      <w:r w:rsidR="005C6FD0">
        <w:rPr>
          <w:sz w:val="26"/>
          <w:szCs w:val="26"/>
          <w:lang w:val="en-US"/>
        </w:rPr>
        <w:t>could have</w:t>
      </w:r>
      <w:r w:rsidR="00C2572B">
        <w:rPr>
          <w:sz w:val="26"/>
          <w:szCs w:val="26"/>
          <w:lang w:val="en-US"/>
        </w:rPr>
        <w:t xml:space="preserve"> </w:t>
      </w:r>
      <w:r w:rsidRPr="00147844">
        <w:rPr>
          <w:sz w:val="26"/>
          <w:szCs w:val="26"/>
          <w:lang w:val="en-US"/>
        </w:rPr>
        <w:t xml:space="preserve">served as the main reason </w:t>
      </w:r>
      <w:r w:rsidR="005C6FD0">
        <w:rPr>
          <w:sz w:val="26"/>
          <w:szCs w:val="26"/>
          <w:lang w:val="en-US"/>
        </w:rPr>
        <w:t xml:space="preserve">for </w:t>
      </w:r>
      <w:r w:rsidR="00C2572B">
        <w:rPr>
          <w:sz w:val="26"/>
          <w:szCs w:val="26"/>
          <w:lang w:val="en-US"/>
        </w:rPr>
        <w:t xml:space="preserve">implementation of </w:t>
      </w:r>
      <w:r w:rsidR="00C2572B" w:rsidRPr="00147844">
        <w:rPr>
          <w:sz w:val="26"/>
          <w:szCs w:val="26"/>
          <w:lang w:val="en-US"/>
        </w:rPr>
        <w:t>cash</w:t>
      </w:r>
      <w:r w:rsidR="00C2572B">
        <w:rPr>
          <w:sz w:val="26"/>
          <w:szCs w:val="26"/>
          <w:lang w:val="en-US"/>
        </w:rPr>
        <w:t xml:space="preserve"> </w:t>
      </w:r>
      <w:r w:rsidR="00C2572B" w:rsidRPr="00147844">
        <w:rPr>
          <w:sz w:val="26"/>
          <w:szCs w:val="26"/>
          <w:lang w:val="en-US"/>
        </w:rPr>
        <w:t>foreign currency</w:t>
      </w:r>
      <w:r w:rsidR="00C2572B">
        <w:rPr>
          <w:sz w:val="26"/>
          <w:szCs w:val="26"/>
          <w:lang w:val="en-US"/>
        </w:rPr>
        <w:t xml:space="preserve"> imports through</w:t>
      </w:r>
      <w:r w:rsidRPr="00147844">
        <w:rPr>
          <w:sz w:val="26"/>
          <w:szCs w:val="26"/>
          <w:lang w:val="en-US"/>
        </w:rPr>
        <w:t xml:space="preserve"> </w:t>
      </w:r>
      <w:r w:rsidR="00C2572B">
        <w:rPr>
          <w:sz w:val="26"/>
          <w:szCs w:val="26"/>
          <w:lang w:val="en-US"/>
        </w:rPr>
        <w:t xml:space="preserve">the </w:t>
      </w:r>
      <w:r w:rsidRPr="00147844">
        <w:rPr>
          <w:sz w:val="26"/>
          <w:szCs w:val="26"/>
          <w:lang w:val="en-US"/>
        </w:rPr>
        <w:t>cross-border money</w:t>
      </w:r>
      <w:r w:rsidR="00E36E78" w:rsidRPr="00147844">
        <w:rPr>
          <w:sz w:val="26"/>
          <w:szCs w:val="26"/>
          <w:lang w:val="en-US"/>
        </w:rPr>
        <w:t xml:space="preserve"> transfers</w:t>
      </w:r>
      <w:r w:rsidR="00C2572B">
        <w:rPr>
          <w:sz w:val="26"/>
          <w:szCs w:val="26"/>
          <w:lang w:val="en-US"/>
        </w:rPr>
        <w:t xml:space="preserve"> and </w:t>
      </w:r>
      <w:r w:rsidR="005C6FD0">
        <w:rPr>
          <w:sz w:val="26"/>
          <w:szCs w:val="26"/>
          <w:lang w:val="en-US"/>
        </w:rPr>
        <w:t>palyed its role in preservation of transfers at the level of</w:t>
      </w:r>
      <w:r w:rsidR="00E36E78" w:rsidRPr="00147844">
        <w:rPr>
          <w:sz w:val="26"/>
          <w:szCs w:val="26"/>
          <w:lang w:val="en-US"/>
        </w:rPr>
        <w:t xml:space="preserve"> 2019</w:t>
      </w:r>
      <w:r w:rsidRPr="00147844">
        <w:rPr>
          <w:sz w:val="26"/>
          <w:szCs w:val="26"/>
          <w:lang w:val="en-US"/>
        </w:rPr>
        <w:t>.</w:t>
      </w:r>
    </w:p>
    <w:p w:rsidR="00B75F3E" w:rsidRPr="00147844" w:rsidRDefault="00B75F3E" w:rsidP="00916B82">
      <w:pPr>
        <w:jc w:val="right"/>
        <w:rPr>
          <w:lang w:val="en-US"/>
        </w:rPr>
      </w:pPr>
    </w:p>
    <w:p w:rsidR="00916B82" w:rsidRPr="00147844" w:rsidRDefault="00B23450" w:rsidP="00B75F3E">
      <w:pPr>
        <w:jc w:val="right"/>
        <w:rPr>
          <w:lang w:val="en-US"/>
        </w:rPr>
      </w:pPr>
      <w:r w:rsidRPr="00147844">
        <w:rPr>
          <w:lang w:val="en-US"/>
        </w:rPr>
        <w:t>Figure</w:t>
      </w:r>
      <w:r w:rsidR="00CC154F" w:rsidRPr="00147844">
        <w:rPr>
          <w:lang w:val="en-US"/>
        </w:rPr>
        <w:t xml:space="preserve"> 1</w:t>
      </w:r>
      <w:r w:rsidR="005C7028">
        <w:rPr>
          <w:lang w:val="en-US"/>
        </w:rPr>
        <w:t>3</w:t>
      </w:r>
    </w:p>
    <w:p w:rsidR="00916B82" w:rsidRPr="00B75F3E" w:rsidRDefault="00843E41" w:rsidP="00916B82">
      <w:pPr>
        <w:jc w:val="center"/>
        <w:rPr>
          <w:b/>
          <w:sz w:val="28"/>
          <w:szCs w:val="28"/>
          <w:lang w:val="en-US"/>
        </w:rPr>
      </w:pPr>
      <w:r w:rsidRPr="00147844">
        <w:rPr>
          <w:b/>
          <w:sz w:val="28"/>
          <w:szCs w:val="28"/>
          <w:lang w:val="en-US"/>
        </w:rPr>
        <w:t>MAIN SOURCES OF RECEIPTS OF INDIVIDUALS</w:t>
      </w:r>
    </w:p>
    <w:p w:rsidR="00916B82" w:rsidRPr="00F45A80" w:rsidRDefault="00916B82" w:rsidP="001D337D">
      <w:pPr>
        <w:spacing w:before="100" w:beforeAutospacing="1" w:line="120" w:lineRule="auto"/>
        <w:jc w:val="right"/>
        <w:rPr>
          <w:i/>
          <w:sz w:val="20"/>
          <w:szCs w:val="20"/>
          <w:lang w:val="en-US"/>
        </w:rPr>
      </w:pPr>
      <w:r w:rsidRPr="00F45A80">
        <w:rPr>
          <w:i/>
          <w:sz w:val="20"/>
          <w:szCs w:val="20"/>
          <w:lang w:val="en-US"/>
        </w:rPr>
        <w:t>(mln. USD)</w:t>
      </w:r>
    </w:p>
    <w:p w:rsidR="00402F2B" w:rsidRDefault="00737629" w:rsidP="001D337D">
      <w:pPr>
        <w:spacing w:before="100" w:beforeAutospacing="1" w:line="120" w:lineRule="auto"/>
        <w:jc w:val="both"/>
        <w:rPr>
          <w:sz w:val="26"/>
          <w:szCs w:val="26"/>
          <w:lang w:val="en-US"/>
        </w:rPr>
      </w:pPr>
      <w:r>
        <w:rPr>
          <w:noProof/>
        </w:rPr>
        <w:drawing>
          <wp:inline distT="0" distB="0" distL="0" distR="0" wp14:anchorId="17B9D5C1" wp14:editId="6FD3A3AE">
            <wp:extent cx="6427470" cy="3691720"/>
            <wp:effectExtent l="0" t="0" r="11430" b="4445"/>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74EFA" w:rsidRPr="00147844" w:rsidRDefault="00323519" w:rsidP="00790EBE">
      <w:pPr>
        <w:pStyle w:val="1"/>
        <w:spacing w:before="360" w:after="240"/>
        <w:ind w:left="0" w:firstLine="709"/>
        <w:rPr>
          <w:rFonts w:ascii="Calibri" w:hAnsi="Calibri"/>
          <w:szCs w:val="28"/>
          <w:lang w:val="en-US"/>
        </w:rPr>
      </w:pPr>
      <w:bookmarkStart w:id="7" w:name="_Toc67050791"/>
      <w:r w:rsidRPr="00147844">
        <w:rPr>
          <w:rFonts w:ascii="Calibri" w:hAnsi="Calibri"/>
          <w:szCs w:val="28"/>
          <w:lang w:val="en-US"/>
        </w:rPr>
        <w:lastRenderedPageBreak/>
        <w:t>CAPITAL ACCOUNT</w:t>
      </w:r>
      <w:bookmarkEnd w:id="7"/>
    </w:p>
    <w:p w:rsidR="00C2572B" w:rsidRDefault="00CF7BEC" w:rsidP="009216B0">
      <w:pPr>
        <w:tabs>
          <w:tab w:val="left" w:pos="1560"/>
        </w:tabs>
        <w:spacing w:before="120" w:line="288" w:lineRule="auto"/>
        <w:ind w:firstLine="709"/>
        <w:jc w:val="both"/>
        <w:rPr>
          <w:sz w:val="26"/>
          <w:szCs w:val="26"/>
          <w:lang w:val="en-US"/>
        </w:rPr>
      </w:pPr>
      <w:r w:rsidRPr="00147844">
        <w:rPr>
          <w:sz w:val="26"/>
          <w:szCs w:val="26"/>
          <w:lang w:val="en-US"/>
        </w:rPr>
        <w:t xml:space="preserve">The positive balance of the capital account </w:t>
      </w:r>
      <w:r w:rsidR="00AD4BB6" w:rsidRPr="00147844">
        <w:rPr>
          <w:sz w:val="26"/>
          <w:szCs w:val="26"/>
          <w:lang w:val="en-US"/>
        </w:rPr>
        <w:t xml:space="preserve">for </w:t>
      </w:r>
      <w:r w:rsidRPr="00147844">
        <w:rPr>
          <w:sz w:val="26"/>
          <w:szCs w:val="26"/>
          <w:lang w:val="en-US"/>
        </w:rPr>
        <w:t xml:space="preserve">2020 amounted to </w:t>
      </w:r>
      <w:r w:rsidR="008200B8" w:rsidRPr="00147844">
        <w:rPr>
          <w:sz w:val="26"/>
          <w:szCs w:val="26"/>
          <w:lang w:val="en-US"/>
        </w:rPr>
        <w:br/>
        <w:t>USD</w:t>
      </w:r>
      <w:r w:rsidRPr="00147844">
        <w:rPr>
          <w:sz w:val="26"/>
          <w:szCs w:val="26"/>
          <w:lang w:val="en-US"/>
        </w:rPr>
        <w:t xml:space="preserve"> </w:t>
      </w:r>
      <w:r w:rsidR="00AD4BB6" w:rsidRPr="00147844">
        <w:rPr>
          <w:sz w:val="26"/>
          <w:szCs w:val="26"/>
          <w:lang w:val="en-US"/>
        </w:rPr>
        <w:t>25</w:t>
      </w:r>
      <w:r w:rsidRPr="00147844">
        <w:rPr>
          <w:sz w:val="26"/>
          <w:szCs w:val="26"/>
          <w:lang w:val="en-US"/>
        </w:rPr>
        <w:t>.2 million (</w:t>
      </w:r>
      <w:r w:rsidR="008200B8" w:rsidRPr="00147844">
        <w:rPr>
          <w:sz w:val="26"/>
          <w:szCs w:val="26"/>
          <w:lang w:val="en-US"/>
        </w:rPr>
        <w:t>USD</w:t>
      </w:r>
      <w:r w:rsidRPr="00147844">
        <w:rPr>
          <w:sz w:val="26"/>
          <w:szCs w:val="26"/>
          <w:lang w:val="en-US"/>
        </w:rPr>
        <w:t xml:space="preserve"> </w:t>
      </w:r>
      <w:r w:rsidR="00AD4BB6" w:rsidRPr="00147844">
        <w:rPr>
          <w:sz w:val="26"/>
          <w:szCs w:val="26"/>
          <w:lang w:val="en-US"/>
        </w:rPr>
        <w:t>2</w:t>
      </w:r>
      <w:r w:rsidR="00737629">
        <w:rPr>
          <w:sz w:val="26"/>
          <w:szCs w:val="26"/>
          <w:lang w:val="en-US"/>
        </w:rPr>
        <w:t>54</w:t>
      </w:r>
      <w:r w:rsidRPr="00147844">
        <w:rPr>
          <w:sz w:val="26"/>
          <w:szCs w:val="26"/>
          <w:lang w:val="en-US"/>
        </w:rPr>
        <w:t>.</w:t>
      </w:r>
      <w:r w:rsidR="00737629">
        <w:rPr>
          <w:sz w:val="26"/>
          <w:szCs w:val="26"/>
          <w:lang w:val="en-US"/>
        </w:rPr>
        <w:t>0</w:t>
      </w:r>
      <w:r w:rsidRPr="00147844">
        <w:rPr>
          <w:sz w:val="26"/>
          <w:szCs w:val="26"/>
          <w:lang w:val="en-US"/>
        </w:rPr>
        <w:t xml:space="preserve"> million</w:t>
      </w:r>
      <w:r w:rsidR="00684447" w:rsidRPr="00147844">
        <w:rPr>
          <w:sz w:val="26"/>
          <w:szCs w:val="26"/>
          <w:lang w:val="en-US"/>
        </w:rPr>
        <w:t xml:space="preserve"> for</w:t>
      </w:r>
      <w:r w:rsidRPr="00147844">
        <w:rPr>
          <w:sz w:val="26"/>
          <w:szCs w:val="26"/>
          <w:lang w:val="en-US"/>
        </w:rPr>
        <w:t xml:space="preserve"> 2019) as a result of large transfers.</w:t>
      </w:r>
    </w:p>
    <w:p w:rsidR="00C2572B" w:rsidRPr="00147844" w:rsidRDefault="00C2572B" w:rsidP="00C2572B">
      <w:pPr>
        <w:jc w:val="right"/>
        <w:rPr>
          <w:lang w:val="en-US"/>
        </w:rPr>
      </w:pPr>
    </w:p>
    <w:p w:rsidR="00C2572B" w:rsidRPr="00147844" w:rsidRDefault="00C2572B" w:rsidP="00C2572B">
      <w:pPr>
        <w:jc w:val="right"/>
        <w:rPr>
          <w:lang w:val="en-US"/>
        </w:rPr>
      </w:pPr>
      <w:r w:rsidRPr="00147844">
        <w:rPr>
          <w:lang w:val="en-US"/>
        </w:rPr>
        <w:t>Figure 1</w:t>
      </w:r>
      <w:r>
        <w:rPr>
          <w:lang w:val="en-US"/>
        </w:rPr>
        <w:t>4</w:t>
      </w:r>
    </w:p>
    <w:p w:rsidR="00C2572B" w:rsidRPr="00B75F3E" w:rsidRDefault="00C2572B" w:rsidP="00C2572B">
      <w:pPr>
        <w:jc w:val="center"/>
        <w:rPr>
          <w:b/>
          <w:sz w:val="28"/>
          <w:szCs w:val="28"/>
          <w:lang w:val="en-US"/>
        </w:rPr>
      </w:pPr>
      <w:r w:rsidRPr="00C2572B">
        <w:rPr>
          <w:b/>
          <w:sz w:val="28"/>
          <w:szCs w:val="28"/>
          <w:lang w:val="en-US"/>
        </w:rPr>
        <w:t>CAPITAL ACCOUNT</w:t>
      </w:r>
      <w:r>
        <w:rPr>
          <w:b/>
          <w:sz w:val="28"/>
          <w:szCs w:val="28"/>
          <w:lang w:val="en-US"/>
        </w:rPr>
        <w:t xml:space="preserve"> RECEIPTS</w:t>
      </w:r>
    </w:p>
    <w:p w:rsidR="00C2572B" w:rsidRPr="00AD4257" w:rsidRDefault="00C2572B" w:rsidP="00C2572B">
      <w:pPr>
        <w:spacing w:before="100" w:beforeAutospacing="1" w:line="120" w:lineRule="auto"/>
        <w:jc w:val="right"/>
        <w:rPr>
          <w:noProof/>
          <w:lang w:val="en-US"/>
        </w:rPr>
      </w:pPr>
      <w:r w:rsidRPr="00F45A80">
        <w:rPr>
          <w:i/>
          <w:sz w:val="20"/>
          <w:szCs w:val="20"/>
          <w:lang w:val="en-US"/>
        </w:rPr>
        <w:t>(mln. USD)</w:t>
      </w:r>
      <w:r w:rsidR="00AD4257" w:rsidRPr="00AD4257">
        <w:rPr>
          <w:noProof/>
          <w:lang w:val="en-US"/>
        </w:rPr>
        <w:t xml:space="preserve"> </w:t>
      </w:r>
    </w:p>
    <w:p w:rsidR="00AD4257" w:rsidRPr="00F45A80" w:rsidRDefault="00AD4257" w:rsidP="00C2572B">
      <w:pPr>
        <w:spacing w:before="100" w:beforeAutospacing="1" w:line="120" w:lineRule="auto"/>
        <w:jc w:val="right"/>
        <w:rPr>
          <w:i/>
          <w:sz w:val="20"/>
          <w:szCs w:val="20"/>
          <w:lang w:val="en-US"/>
        </w:rPr>
      </w:pPr>
      <w:r>
        <w:rPr>
          <w:noProof/>
        </w:rPr>
        <mc:AlternateContent>
          <mc:Choice Requires="wps">
            <w:drawing>
              <wp:anchor distT="0" distB="0" distL="114300" distR="114300" simplePos="0" relativeHeight="251697152" behindDoc="0" locked="0" layoutInCell="1" allowOverlap="1" wp14:anchorId="43613BBD" wp14:editId="4B32A748">
                <wp:simplePos x="0" y="0"/>
                <wp:positionH relativeFrom="column">
                  <wp:posOffset>4291965</wp:posOffset>
                </wp:positionH>
                <wp:positionV relativeFrom="paragraph">
                  <wp:posOffset>142180</wp:posOffset>
                </wp:positionV>
                <wp:extent cx="0" cy="3289981"/>
                <wp:effectExtent l="19050" t="19050" r="19050" b="5715"/>
                <wp:wrapNone/>
                <wp:docPr id="17" name="Прямая соединительная линия 1"/>
                <wp:cNvGraphicFramePr/>
                <a:graphic xmlns:a="http://schemas.openxmlformats.org/drawingml/2006/main">
                  <a:graphicData uri="http://schemas.microsoft.com/office/word/2010/wordprocessingShape">
                    <wps:wsp>
                      <wps:cNvCnPr/>
                      <wps:spPr>
                        <a:xfrm flipV="1">
                          <a:off x="0" y="0"/>
                          <a:ext cx="0" cy="3289981"/>
                        </a:xfrm>
                        <a:prstGeom prst="line">
                          <a:avLst/>
                        </a:prstGeom>
                        <a:ln w="28575">
                          <a:solidFill>
                            <a:schemeClr val="accent1">
                              <a:lumMod val="40000"/>
                              <a:lumOff val="60000"/>
                            </a:schemeClr>
                          </a:solidFill>
                          <a:prstDash val="sysDot"/>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B465D96" id="Прямая соединительная линия 1"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337.95pt,11.2pt" to="337.95pt,2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" strokecolor="#bdd6ee [1300]" strokeweight="2.25pt">
                <v:stroke dashstyle="1 1" joinstyle="miter"/>
              </v:line>
            </w:pict>
          </mc:Fallback>
        </mc:AlternateContent>
      </w:r>
      <w:r>
        <w:rPr>
          <w:noProof/>
        </w:rPr>
        <w:drawing>
          <wp:inline distT="0" distB="0" distL="0" distR="0" wp14:anchorId="726E1755" wp14:editId="0481FC83">
            <wp:extent cx="6391910" cy="3942272"/>
            <wp:effectExtent l="0" t="0" r="8890" b="127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92924" w:rsidRPr="009216B0" w:rsidRDefault="00CF7BEC" w:rsidP="009216B0">
      <w:pPr>
        <w:tabs>
          <w:tab w:val="left" w:pos="1560"/>
        </w:tabs>
        <w:spacing w:before="120" w:line="288" w:lineRule="auto"/>
        <w:ind w:firstLine="709"/>
        <w:jc w:val="both"/>
        <w:rPr>
          <w:sz w:val="26"/>
          <w:szCs w:val="26"/>
          <w:lang w:val="en-US"/>
        </w:rPr>
        <w:sectPr w:rsidR="00C92924" w:rsidRPr="009216B0" w:rsidSect="004C03E7">
          <w:pgSz w:w="11906" w:h="16838" w:code="9"/>
          <w:pgMar w:top="1134" w:right="851" w:bottom="851" w:left="1134" w:header="709" w:footer="35" w:gutter="0"/>
          <w:cols w:space="708"/>
          <w:titlePg/>
          <w:docGrid w:linePitch="360"/>
        </w:sectPr>
      </w:pPr>
      <w:r>
        <w:rPr>
          <w:sz w:val="26"/>
          <w:szCs w:val="26"/>
          <w:lang w:val="en-US"/>
        </w:rPr>
        <w:t xml:space="preserve"> </w:t>
      </w:r>
    </w:p>
    <w:p w:rsidR="004973BC" w:rsidRPr="00F45A80" w:rsidRDefault="009474DF" w:rsidP="00B447CB">
      <w:pPr>
        <w:pStyle w:val="1"/>
        <w:spacing w:before="0"/>
        <w:ind w:left="709"/>
        <w:rPr>
          <w:rFonts w:ascii="Calibri" w:hAnsi="Calibri" w:cs="Calibri"/>
          <w:lang w:val="en-US"/>
        </w:rPr>
      </w:pPr>
      <w:bookmarkStart w:id="8" w:name="_Toc67050792"/>
      <w:r w:rsidRPr="00F45A80">
        <w:rPr>
          <w:rFonts w:ascii="Calibri" w:hAnsi="Calibri" w:cs="Calibri"/>
          <w:lang w:val="en-US"/>
        </w:rPr>
        <w:lastRenderedPageBreak/>
        <w:t>FINANCIAL ACCOUNT</w:t>
      </w:r>
      <w:bookmarkEnd w:id="8"/>
    </w:p>
    <w:p w:rsidR="00F44C0F" w:rsidRPr="00F45A80" w:rsidRDefault="005906C1" w:rsidP="00F44C0F">
      <w:pPr>
        <w:spacing w:before="120" w:line="288" w:lineRule="auto"/>
        <w:ind w:firstLine="709"/>
        <w:jc w:val="both"/>
        <w:rPr>
          <w:sz w:val="26"/>
          <w:szCs w:val="26"/>
          <w:lang w:val="en-US"/>
        </w:rPr>
      </w:pPr>
      <w:r w:rsidRPr="009216B0">
        <w:rPr>
          <w:sz w:val="26"/>
          <w:szCs w:val="26"/>
          <w:lang w:val="uz-Cyrl-UZ"/>
        </w:rPr>
        <w:t>A</w:t>
      </w:r>
      <w:r>
        <w:rPr>
          <w:sz w:val="26"/>
          <w:szCs w:val="26"/>
          <w:lang w:val="uz-Cyrl-UZ"/>
        </w:rPr>
        <w:t xml:space="preserve">ccording to the results </w:t>
      </w:r>
      <w:r w:rsidR="009E3D6B">
        <w:rPr>
          <w:sz w:val="26"/>
          <w:szCs w:val="26"/>
          <w:lang w:val="en-US"/>
        </w:rPr>
        <w:t xml:space="preserve">for </w:t>
      </w:r>
      <w:r w:rsidRPr="009216B0">
        <w:rPr>
          <w:sz w:val="26"/>
          <w:szCs w:val="26"/>
          <w:lang w:val="uz-Cyrl-UZ"/>
        </w:rPr>
        <w:t xml:space="preserve">2020, the negative balance of the financial account amounted to </w:t>
      </w:r>
      <w:r>
        <w:rPr>
          <w:sz w:val="26"/>
          <w:szCs w:val="26"/>
          <w:lang w:val="en-US"/>
        </w:rPr>
        <w:t xml:space="preserve">USD </w:t>
      </w:r>
      <w:r w:rsidR="002C1F27">
        <w:rPr>
          <w:sz w:val="26"/>
          <w:szCs w:val="26"/>
          <w:lang w:val="en-US"/>
        </w:rPr>
        <w:t>4</w:t>
      </w:r>
      <w:r>
        <w:rPr>
          <w:sz w:val="26"/>
          <w:szCs w:val="26"/>
          <w:lang w:val="en-US"/>
        </w:rPr>
        <w:t>.</w:t>
      </w:r>
      <w:r w:rsidR="002C1F27">
        <w:rPr>
          <w:sz w:val="26"/>
          <w:szCs w:val="26"/>
          <w:lang w:val="en-US"/>
        </w:rPr>
        <w:t>0</w:t>
      </w:r>
      <w:r w:rsidRPr="009216B0">
        <w:rPr>
          <w:sz w:val="26"/>
          <w:szCs w:val="26"/>
          <w:lang w:val="uz-Cyrl-UZ"/>
        </w:rPr>
        <w:t xml:space="preserve"> </w:t>
      </w:r>
      <w:r w:rsidR="002C1F27">
        <w:rPr>
          <w:sz w:val="26"/>
          <w:szCs w:val="26"/>
          <w:lang w:val="en-US"/>
        </w:rPr>
        <w:t>b</w:t>
      </w:r>
      <w:r>
        <w:rPr>
          <w:sz w:val="26"/>
          <w:szCs w:val="26"/>
          <w:lang w:val="en-US"/>
        </w:rPr>
        <w:t>illion</w:t>
      </w:r>
      <w:r w:rsidRPr="009216B0">
        <w:rPr>
          <w:sz w:val="26"/>
          <w:szCs w:val="26"/>
          <w:lang w:val="uz-Cyrl-UZ"/>
        </w:rPr>
        <w:t xml:space="preserve"> (</w:t>
      </w:r>
      <w:r w:rsidRPr="00FB2D7C">
        <w:rPr>
          <w:i/>
          <w:sz w:val="26"/>
          <w:szCs w:val="26"/>
          <w:lang w:val="en-US"/>
        </w:rPr>
        <w:t xml:space="preserve">reduction accounted for USD </w:t>
      </w:r>
      <w:r w:rsidR="002C1F27">
        <w:rPr>
          <w:i/>
          <w:sz w:val="26"/>
          <w:szCs w:val="26"/>
          <w:lang w:val="en-US"/>
        </w:rPr>
        <w:t>1</w:t>
      </w:r>
      <w:r w:rsidRPr="00FB2D7C">
        <w:rPr>
          <w:i/>
          <w:sz w:val="26"/>
          <w:szCs w:val="26"/>
          <w:lang w:val="uz-Cyrl-UZ"/>
        </w:rPr>
        <w:t>.</w:t>
      </w:r>
      <w:r w:rsidR="002C1F27">
        <w:rPr>
          <w:i/>
          <w:sz w:val="26"/>
          <w:szCs w:val="26"/>
          <w:lang w:val="en-US"/>
        </w:rPr>
        <w:t>0</w:t>
      </w:r>
      <w:r w:rsidRPr="00FB2D7C">
        <w:rPr>
          <w:i/>
          <w:sz w:val="26"/>
          <w:szCs w:val="26"/>
          <w:lang w:val="uz-Cyrl-UZ"/>
        </w:rPr>
        <w:t xml:space="preserve"> billion </w:t>
      </w:r>
      <w:r w:rsidRPr="00FB2D7C">
        <w:rPr>
          <w:i/>
          <w:sz w:val="26"/>
          <w:szCs w:val="26"/>
          <w:lang w:val="en-US"/>
        </w:rPr>
        <w:t>in comparison with the previous year</w:t>
      </w:r>
      <w:r w:rsidRPr="009216B0">
        <w:rPr>
          <w:sz w:val="26"/>
          <w:szCs w:val="26"/>
          <w:lang w:val="uz-Cyrl-UZ"/>
        </w:rPr>
        <w:t>).</w:t>
      </w:r>
      <w:r w:rsidRPr="009216B0">
        <w:rPr>
          <w:sz w:val="28"/>
          <w:lang w:val="en-US"/>
        </w:rPr>
        <w:t xml:space="preserve"> </w:t>
      </w:r>
      <w:r w:rsidRPr="004070E5">
        <w:rPr>
          <w:sz w:val="26"/>
          <w:szCs w:val="26"/>
          <w:lang w:val="en-US"/>
        </w:rPr>
        <w:t xml:space="preserve">The main reason for the continued deficit of the financial account is the growth of liabilities on loans and borrowings in the amount of </w:t>
      </w:r>
      <w:r>
        <w:rPr>
          <w:sz w:val="26"/>
          <w:szCs w:val="26"/>
          <w:lang w:val="en-US"/>
        </w:rPr>
        <w:t>USD</w:t>
      </w:r>
      <w:r w:rsidRPr="004070E5">
        <w:rPr>
          <w:sz w:val="26"/>
          <w:szCs w:val="26"/>
          <w:lang w:val="en-US"/>
        </w:rPr>
        <w:t xml:space="preserve"> </w:t>
      </w:r>
      <w:r w:rsidR="002C1F27">
        <w:rPr>
          <w:sz w:val="26"/>
          <w:szCs w:val="26"/>
          <w:lang w:val="en-US"/>
        </w:rPr>
        <w:t>7</w:t>
      </w:r>
      <w:r w:rsidRPr="004070E5">
        <w:rPr>
          <w:sz w:val="26"/>
          <w:szCs w:val="26"/>
          <w:lang w:val="en-US"/>
        </w:rPr>
        <w:t>.</w:t>
      </w:r>
      <w:r w:rsidR="002C1F27">
        <w:rPr>
          <w:sz w:val="26"/>
          <w:szCs w:val="26"/>
          <w:lang w:val="en-US"/>
        </w:rPr>
        <w:t>1</w:t>
      </w:r>
      <w:r w:rsidRPr="004070E5">
        <w:rPr>
          <w:sz w:val="26"/>
          <w:szCs w:val="26"/>
          <w:lang w:val="en-US"/>
        </w:rPr>
        <w:t xml:space="preserve"> billion (of which </w:t>
      </w:r>
      <w:r>
        <w:rPr>
          <w:sz w:val="26"/>
          <w:szCs w:val="26"/>
          <w:lang w:val="en-US"/>
        </w:rPr>
        <w:t>USD</w:t>
      </w:r>
      <w:r w:rsidRPr="004070E5">
        <w:rPr>
          <w:sz w:val="26"/>
          <w:szCs w:val="26"/>
          <w:lang w:val="en-US"/>
        </w:rPr>
        <w:t xml:space="preserve"> </w:t>
      </w:r>
      <w:r w:rsidR="002C1F27">
        <w:rPr>
          <w:sz w:val="26"/>
          <w:szCs w:val="26"/>
          <w:lang w:val="en-US"/>
        </w:rPr>
        <w:t>3</w:t>
      </w:r>
      <w:r w:rsidRPr="004070E5">
        <w:rPr>
          <w:sz w:val="26"/>
          <w:szCs w:val="26"/>
          <w:lang w:val="en-US"/>
        </w:rPr>
        <w:t>.</w:t>
      </w:r>
      <w:r w:rsidR="002C1F27">
        <w:rPr>
          <w:sz w:val="26"/>
          <w:szCs w:val="26"/>
          <w:lang w:val="en-US"/>
        </w:rPr>
        <w:t>3</w:t>
      </w:r>
      <w:r w:rsidRPr="004070E5">
        <w:rPr>
          <w:sz w:val="26"/>
          <w:szCs w:val="26"/>
          <w:lang w:val="en-US"/>
        </w:rPr>
        <w:t xml:space="preserve"> billion falls on the government sector) and foreign direct investment - by </w:t>
      </w:r>
      <w:r>
        <w:rPr>
          <w:sz w:val="26"/>
          <w:szCs w:val="26"/>
          <w:lang w:val="en-US"/>
        </w:rPr>
        <w:t>USD</w:t>
      </w:r>
      <w:r w:rsidRPr="004070E5">
        <w:rPr>
          <w:sz w:val="26"/>
          <w:szCs w:val="26"/>
          <w:lang w:val="en-US"/>
        </w:rPr>
        <w:t xml:space="preserve"> </w:t>
      </w:r>
      <w:r w:rsidR="009E3D6B">
        <w:rPr>
          <w:sz w:val="26"/>
          <w:szCs w:val="26"/>
          <w:lang w:val="en-US"/>
        </w:rPr>
        <w:t>1.</w:t>
      </w:r>
      <w:r w:rsidR="002C1F27">
        <w:rPr>
          <w:sz w:val="26"/>
          <w:szCs w:val="26"/>
          <w:lang w:val="en-US"/>
        </w:rPr>
        <w:t>7</w:t>
      </w:r>
      <w:r w:rsidRPr="004070E5">
        <w:rPr>
          <w:sz w:val="26"/>
          <w:szCs w:val="26"/>
          <w:lang w:val="en-US"/>
        </w:rPr>
        <w:t xml:space="preserve"> </w:t>
      </w:r>
      <w:r w:rsidR="009E3D6B">
        <w:rPr>
          <w:sz w:val="26"/>
          <w:szCs w:val="26"/>
          <w:lang w:val="en-US"/>
        </w:rPr>
        <w:t>b</w:t>
      </w:r>
      <w:r w:rsidRPr="004070E5">
        <w:rPr>
          <w:sz w:val="26"/>
          <w:szCs w:val="26"/>
          <w:lang w:val="en-US"/>
        </w:rPr>
        <w:t>illion</w:t>
      </w:r>
      <w:r w:rsidR="002530CF">
        <w:rPr>
          <w:sz w:val="26"/>
          <w:szCs w:val="26"/>
          <w:lang w:val="en-US"/>
        </w:rPr>
        <w:t xml:space="preserve"> and portfolio investment</w:t>
      </w:r>
      <w:r w:rsidR="004F0AA1">
        <w:rPr>
          <w:sz w:val="26"/>
          <w:szCs w:val="26"/>
          <w:lang w:val="en-US"/>
        </w:rPr>
        <w:t xml:space="preserve"> – USD 1.4 billion,</w:t>
      </w:r>
      <w:r w:rsidR="002530CF">
        <w:rPr>
          <w:sz w:val="26"/>
          <w:szCs w:val="26"/>
          <w:lang w:val="en-US"/>
        </w:rPr>
        <w:t xml:space="preserve"> which was formed after issuing Eurobonds by government and banking sector</w:t>
      </w:r>
      <w:r w:rsidRPr="004070E5">
        <w:rPr>
          <w:sz w:val="26"/>
          <w:szCs w:val="26"/>
          <w:lang w:val="en-US"/>
        </w:rPr>
        <w:t xml:space="preserve">. </w:t>
      </w:r>
      <w:r>
        <w:rPr>
          <w:sz w:val="26"/>
          <w:szCs w:val="26"/>
          <w:lang w:val="en-US"/>
        </w:rPr>
        <w:t xml:space="preserve">In </w:t>
      </w:r>
      <w:r w:rsidRPr="004070E5">
        <w:rPr>
          <w:sz w:val="26"/>
          <w:szCs w:val="26"/>
          <w:lang w:val="en-US"/>
        </w:rPr>
        <w:t xml:space="preserve">operations of international reserve assets </w:t>
      </w:r>
      <w:r w:rsidR="009E3D6B">
        <w:rPr>
          <w:sz w:val="26"/>
          <w:szCs w:val="26"/>
          <w:lang w:val="en-US"/>
        </w:rPr>
        <w:t xml:space="preserve">for </w:t>
      </w:r>
      <w:r w:rsidR="002C1F27">
        <w:rPr>
          <w:sz w:val="26"/>
          <w:szCs w:val="26"/>
          <w:lang w:val="en-US"/>
        </w:rPr>
        <w:t>2020</w:t>
      </w:r>
      <w:r w:rsidRPr="004070E5">
        <w:rPr>
          <w:sz w:val="26"/>
          <w:szCs w:val="26"/>
          <w:lang w:val="en-US"/>
        </w:rPr>
        <w:t xml:space="preserve"> there was a </w:t>
      </w:r>
      <w:r w:rsidR="009E3D6B">
        <w:rPr>
          <w:sz w:val="26"/>
          <w:szCs w:val="26"/>
          <w:lang w:val="en-US"/>
        </w:rPr>
        <w:t>significant</w:t>
      </w:r>
      <w:r w:rsidRPr="004070E5">
        <w:rPr>
          <w:sz w:val="26"/>
          <w:szCs w:val="26"/>
          <w:lang w:val="en-US"/>
        </w:rPr>
        <w:t xml:space="preserve"> increase in the foreign exchange component in the amount of </w:t>
      </w:r>
      <w:r>
        <w:rPr>
          <w:sz w:val="26"/>
          <w:szCs w:val="26"/>
          <w:lang w:val="en-US"/>
        </w:rPr>
        <w:t>USD</w:t>
      </w:r>
      <w:r w:rsidRPr="004070E5">
        <w:rPr>
          <w:sz w:val="26"/>
          <w:szCs w:val="26"/>
          <w:lang w:val="en-US"/>
        </w:rPr>
        <w:t xml:space="preserve"> </w:t>
      </w:r>
      <w:r w:rsidR="002C1F27">
        <w:rPr>
          <w:sz w:val="26"/>
          <w:szCs w:val="26"/>
          <w:lang w:val="en-US"/>
        </w:rPr>
        <w:t>1.8</w:t>
      </w:r>
      <w:r w:rsidRPr="004070E5">
        <w:rPr>
          <w:sz w:val="26"/>
          <w:szCs w:val="26"/>
          <w:lang w:val="en-US"/>
        </w:rPr>
        <w:t xml:space="preserve"> </w:t>
      </w:r>
      <w:r w:rsidR="009E3D6B">
        <w:rPr>
          <w:sz w:val="26"/>
          <w:szCs w:val="26"/>
          <w:lang w:val="en-US"/>
        </w:rPr>
        <w:t>b</w:t>
      </w:r>
      <w:r w:rsidRPr="004070E5">
        <w:rPr>
          <w:sz w:val="26"/>
          <w:szCs w:val="26"/>
          <w:lang w:val="en-US"/>
        </w:rPr>
        <w:t>illion</w:t>
      </w:r>
      <w:r w:rsidR="007371D3">
        <w:rPr>
          <w:sz w:val="26"/>
          <w:szCs w:val="26"/>
          <w:lang w:val="en-US"/>
        </w:rPr>
        <w:t xml:space="preserve"> due to the sale of </w:t>
      </w:r>
      <w:r w:rsidR="008340BD">
        <w:rPr>
          <w:sz w:val="26"/>
          <w:szCs w:val="26"/>
          <w:lang w:val="en-US"/>
        </w:rPr>
        <w:t xml:space="preserve">non-monetary </w:t>
      </w:r>
      <w:r w:rsidR="007371D3">
        <w:rPr>
          <w:sz w:val="26"/>
          <w:szCs w:val="26"/>
          <w:lang w:val="en-US"/>
        </w:rPr>
        <w:t>gold</w:t>
      </w:r>
      <w:r w:rsidRPr="004070E5">
        <w:rPr>
          <w:sz w:val="26"/>
          <w:szCs w:val="26"/>
          <w:lang w:val="en-US"/>
        </w:rPr>
        <w:t>.</w:t>
      </w:r>
      <w:r w:rsidRPr="0079520F">
        <w:rPr>
          <w:color w:val="0070C0"/>
          <w:sz w:val="26"/>
          <w:szCs w:val="26"/>
          <w:lang w:val="en-US"/>
        </w:rPr>
        <w:t xml:space="preserve"> (Table </w:t>
      </w:r>
      <w:r w:rsidR="002C1F27">
        <w:rPr>
          <w:color w:val="0070C0"/>
          <w:sz w:val="26"/>
          <w:szCs w:val="26"/>
          <w:lang w:val="en-US"/>
        </w:rPr>
        <w:t>3</w:t>
      </w:r>
      <w:r w:rsidRPr="0079520F">
        <w:rPr>
          <w:color w:val="0070C0"/>
          <w:sz w:val="26"/>
          <w:szCs w:val="26"/>
          <w:lang w:val="en-US"/>
        </w:rPr>
        <w:t>)</w:t>
      </w:r>
      <w:r w:rsidRPr="0079520F">
        <w:rPr>
          <w:sz w:val="26"/>
          <w:szCs w:val="26"/>
          <w:lang w:val="en-US"/>
        </w:rPr>
        <w:t>.</w:t>
      </w:r>
    </w:p>
    <w:p w:rsidR="00B01041" w:rsidRPr="00D10CA1" w:rsidRDefault="00B01041" w:rsidP="00B01041">
      <w:pPr>
        <w:jc w:val="right"/>
        <w:rPr>
          <w:rFonts w:cs="Calibri"/>
          <w:noProof/>
          <w:lang w:val="en-US"/>
        </w:rPr>
      </w:pPr>
      <w:r w:rsidRPr="00D10CA1">
        <w:rPr>
          <w:rFonts w:cs="Calibri"/>
          <w:noProof/>
          <w:lang w:val="en-US"/>
        </w:rPr>
        <w:t xml:space="preserve">Table </w:t>
      </w:r>
      <w:r w:rsidR="002C1F27">
        <w:rPr>
          <w:rFonts w:cs="Calibri"/>
          <w:noProof/>
          <w:lang w:val="en-US"/>
        </w:rPr>
        <w:t>3</w:t>
      </w:r>
    </w:p>
    <w:p w:rsidR="00D6442D" w:rsidRPr="00B75F3E" w:rsidRDefault="00D6442D" w:rsidP="00D6442D">
      <w:pPr>
        <w:spacing w:line="276" w:lineRule="auto"/>
        <w:jc w:val="center"/>
        <w:rPr>
          <w:rFonts w:cs="Calibri"/>
          <w:b/>
          <w:noProof/>
          <w:sz w:val="28"/>
          <w:szCs w:val="28"/>
          <w:lang w:val="en-US"/>
        </w:rPr>
      </w:pPr>
      <w:r w:rsidRPr="00B75F3E">
        <w:rPr>
          <w:rFonts w:cs="Calibri"/>
          <w:b/>
          <w:noProof/>
          <w:sz w:val="28"/>
          <w:szCs w:val="28"/>
          <w:lang w:val="en-US"/>
        </w:rPr>
        <w:t>STRUCTURE OF CURRENT RECEIPTS AND CURRENT EXPENSES</w:t>
      </w:r>
    </w:p>
    <w:p w:rsidR="00D6442D" w:rsidRDefault="00D6442D" w:rsidP="00D6442D">
      <w:pPr>
        <w:spacing w:line="276" w:lineRule="auto"/>
        <w:jc w:val="right"/>
        <w:rPr>
          <w:rFonts w:cs="Calibri"/>
          <w:i/>
          <w:sz w:val="20"/>
          <w:szCs w:val="20"/>
          <w:lang w:val="en-US"/>
        </w:rPr>
      </w:pPr>
      <w:r w:rsidRPr="00D6442D">
        <w:rPr>
          <w:i/>
          <w:lang w:val="en-US"/>
        </w:rPr>
        <w:t xml:space="preserve"> </w:t>
      </w:r>
      <w:r w:rsidRPr="00325E45">
        <w:rPr>
          <w:rFonts w:cs="Calibri"/>
          <w:i/>
          <w:sz w:val="20"/>
          <w:szCs w:val="20"/>
          <w:lang w:val="en-US"/>
        </w:rPr>
        <w:t>(mln. USD)</w:t>
      </w:r>
    </w:p>
    <w:tbl>
      <w:tblPr>
        <w:tblW w:w="14909" w:type="dxa"/>
        <w:tblInd w:w="137" w:type="dxa"/>
        <w:tblLook w:val="04A0" w:firstRow="1" w:lastRow="0" w:firstColumn="1" w:lastColumn="0" w:noHBand="0" w:noVBand="1"/>
      </w:tblPr>
      <w:tblGrid>
        <w:gridCol w:w="3119"/>
        <w:gridCol w:w="1275"/>
        <w:gridCol w:w="1276"/>
        <w:gridCol w:w="982"/>
        <w:gridCol w:w="994"/>
        <w:gridCol w:w="992"/>
        <w:gridCol w:w="993"/>
        <w:gridCol w:w="1284"/>
        <w:gridCol w:w="992"/>
        <w:gridCol w:w="992"/>
        <w:gridCol w:w="992"/>
        <w:gridCol w:w="993"/>
        <w:gridCol w:w="25"/>
      </w:tblGrid>
      <w:tr w:rsidR="005D2468" w:rsidRPr="002B6124" w:rsidTr="005D2468">
        <w:trPr>
          <w:gridAfter w:val="1"/>
          <w:wAfter w:w="25" w:type="dxa"/>
          <w:trHeight w:val="283"/>
        </w:trPr>
        <w:tc>
          <w:tcPr>
            <w:tcW w:w="3119" w:type="dxa"/>
            <w:vMerge w:val="restart"/>
            <w:tcBorders>
              <w:top w:val="single" w:sz="4" w:space="0" w:color="5B9BD5"/>
              <w:left w:val="single" w:sz="4" w:space="0" w:color="5B9BD5"/>
              <w:bottom w:val="single" w:sz="4" w:space="0" w:color="5B9BD5"/>
              <w:right w:val="single" w:sz="4" w:space="0" w:color="5B9BD5" w:themeColor="accent1"/>
            </w:tcBorders>
            <w:shd w:val="clear" w:color="auto" w:fill="auto"/>
            <w:noWrap/>
            <w:vAlign w:val="center"/>
            <w:hideMark/>
          </w:tcPr>
          <w:p w:rsidR="005D2468" w:rsidRPr="002B6124" w:rsidRDefault="005D2468" w:rsidP="003B78E9">
            <w:pPr>
              <w:jc w:val="center"/>
              <w:rPr>
                <w:rFonts w:asciiTheme="minorHAnsi" w:hAnsiTheme="minorHAnsi" w:cstheme="minorHAnsi"/>
                <w:color w:val="000000"/>
                <w:sz w:val="18"/>
                <w:szCs w:val="18"/>
                <w:lang w:val="en-US"/>
              </w:rPr>
            </w:pPr>
            <w:r w:rsidRPr="002B6124">
              <w:rPr>
                <w:rFonts w:asciiTheme="minorHAnsi" w:hAnsiTheme="minorHAnsi" w:cstheme="minorHAnsi"/>
                <w:color w:val="000000"/>
                <w:sz w:val="18"/>
                <w:szCs w:val="18"/>
                <w:lang w:val="en-US"/>
              </w:rPr>
              <w:t> </w:t>
            </w:r>
          </w:p>
        </w:tc>
        <w:tc>
          <w:tcPr>
            <w:tcW w:w="1275" w:type="dxa"/>
            <w:vMerge w:val="restar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5D2468" w:rsidRPr="002B6124" w:rsidRDefault="005D2468" w:rsidP="005D2468">
            <w:pPr>
              <w:jc w:val="center"/>
              <w:rPr>
                <w:rFonts w:asciiTheme="minorHAnsi" w:hAnsiTheme="minorHAnsi" w:cstheme="minorHAnsi"/>
                <w:b/>
                <w:color w:val="000000"/>
                <w:sz w:val="18"/>
                <w:szCs w:val="18"/>
                <w:lang w:val="en-US"/>
              </w:rPr>
            </w:pPr>
            <w:r w:rsidRPr="002B6124">
              <w:rPr>
                <w:rFonts w:asciiTheme="minorHAnsi" w:hAnsiTheme="minorHAnsi" w:cstheme="minorHAnsi"/>
                <w:b/>
                <w:color w:val="000000"/>
                <w:sz w:val="18"/>
                <w:szCs w:val="18"/>
                <w:lang w:val="en-US"/>
              </w:rPr>
              <w:t>2018</w:t>
            </w:r>
          </w:p>
        </w:tc>
        <w:tc>
          <w:tcPr>
            <w:tcW w:w="1276" w:type="dxa"/>
            <w:vMerge w:val="restart"/>
            <w:tcBorders>
              <w:top w:val="single" w:sz="4" w:space="0" w:color="5B9BD5"/>
              <w:left w:val="single" w:sz="4" w:space="0" w:color="5B9BD5" w:themeColor="accent1"/>
              <w:bottom w:val="single" w:sz="4" w:space="0" w:color="5B9BD5"/>
              <w:right w:val="single" w:sz="4" w:space="0" w:color="5B9BD5"/>
            </w:tcBorders>
            <w:shd w:val="clear" w:color="auto" w:fill="auto"/>
            <w:noWrap/>
            <w:vAlign w:val="center"/>
            <w:hideMark/>
          </w:tcPr>
          <w:p w:rsidR="005D2468" w:rsidRPr="002B6124" w:rsidRDefault="005D2468" w:rsidP="003B78E9">
            <w:pPr>
              <w:jc w:val="center"/>
              <w:rPr>
                <w:rFonts w:asciiTheme="minorHAnsi" w:hAnsiTheme="minorHAnsi" w:cstheme="minorHAnsi"/>
                <w:b/>
                <w:color w:val="000000"/>
                <w:sz w:val="18"/>
                <w:szCs w:val="18"/>
              </w:rPr>
            </w:pPr>
            <w:r w:rsidRPr="002B6124">
              <w:rPr>
                <w:rFonts w:asciiTheme="minorHAnsi" w:hAnsiTheme="minorHAnsi" w:cstheme="minorHAnsi"/>
                <w:b/>
                <w:color w:val="000000"/>
                <w:sz w:val="18"/>
                <w:szCs w:val="18"/>
              </w:rPr>
              <w:t>2019</w:t>
            </w:r>
          </w:p>
        </w:tc>
        <w:tc>
          <w:tcPr>
            <w:tcW w:w="3961" w:type="dxa"/>
            <w:gridSpan w:val="4"/>
            <w:tcBorders>
              <w:top w:val="single" w:sz="4" w:space="0" w:color="5B9BD5"/>
              <w:left w:val="nil"/>
              <w:bottom w:val="single" w:sz="4" w:space="0" w:color="5B9BD5"/>
              <w:right w:val="single" w:sz="4" w:space="0" w:color="5B9BD5"/>
            </w:tcBorders>
            <w:shd w:val="clear" w:color="auto" w:fill="auto"/>
            <w:noWrap/>
            <w:vAlign w:val="center"/>
            <w:hideMark/>
          </w:tcPr>
          <w:p w:rsidR="005D2468" w:rsidRPr="002B6124" w:rsidRDefault="005D2468" w:rsidP="003B78E9">
            <w:pPr>
              <w:jc w:val="center"/>
              <w:rPr>
                <w:rFonts w:asciiTheme="minorHAnsi" w:hAnsiTheme="minorHAnsi" w:cstheme="minorHAnsi"/>
                <w:b/>
                <w:color w:val="000000"/>
                <w:sz w:val="18"/>
                <w:szCs w:val="18"/>
              </w:rPr>
            </w:pPr>
            <w:r w:rsidRPr="002B6124">
              <w:rPr>
                <w:rFonts w:asciiTheme="minorHAnsi" w:hAnsiTheme="minorHAnsi" w:cstheme="minorHAnsi"/>
                <w:b/>
                <w:color w:val="000000"/>
                <w:sz w:val="18"/>
                <w:szCs w:val="18"/>
              </w:rPr>
              <w:t>2019</w:t>
            </w:r>
          </w:p>
        </w:tc>
        <w:tc>
          <w:tcPr>
            <w:tcW w:w="1284" w:type="dxa"/>
            <w:vMerge w:val="restart"/>
            <w:tcBorders>
              <w:top w:val="single" w:sz="4" w:space="0" w:color="5B9BD5"/>
              <w:left w:val="single" w:sz="4" w:space="0" w:color="5B9BD5"/>
              <w:right w:val="single" w:sz="4" w:space="0" w:color="5B9BD5"/>
            </w:tcBorders>
            <w:shd w:val="clear" w:color="auto" w:fill="auto"/>
            <w:vAlign w:val="center"/>
            <w:hideMark/>
          </w:tcPr>
          <w:p w:rsidR="005D2468" w:rsidRPr="002B6124" w:rsidRDefault="005D2468" w:rsidP="003B78E9">
            <w:pPr>
              <w:jc w:val="center"/>
              <w:rPr>
                <w:rFonts w:asciiTheme="minorHAnsi" w:hAnsiTheme="minorHAnsi" w:cstheme="minorHAnsi"/>
                <w:b/>
                <w:color w:val="000000"/>
                <w:sz w:val="18"/>
                <w:szCs w:val="18"/>
              </w:rPr>
            </w:pPr>
            <w:r w:rsidRPr="002B6124">
              <w:rPr>
                <w:rFonts w:asciiTheme="minorHAnsi" w:hAnsiTheme="minorHAnsi" w:cstheme="minorHAnsi"/>
                <w:b/>
                <w:color w:val="000000"/>
                <w:sz w:val="18"/>
                <w:szCs w:val="18"/>
              </w:rPr>
              <w:t>2020</w:t>
            </w:r>
          </w:p>
        </w:tc>
        <w:tc>
          <w:tcPr>
            <w:tcW w:w="3969" w:type="dxa"/>
            <w:gridSpan w:val="4"/>
            <w:tcBorders>
              <w:top w:val="single" w:sz="4" w:space="0" w:color="5B9BD5"/>
              <w:left w:val="nil"/>
              <w:bottom w:val="single" w:sz="4" w:space="0" w:color="5B9BD5"/>
              <w:right w:val="single" w:sz="4" w:space="0" w:color="5B9BD5"/>
            </w:tcBorders>
            <w:shd w:val="clear" w:color="auto" w:fill="auto"/>
            <w:noWrap/>
            <w:vAlign w:val="center"/>
            <w:hideMark/>
          </w:tcPr>
          <w:p w:rsidR="005D2468" w:rsidRPr="002B6124" w:rsidRDefault="005D2468" w:rsidP="003B78E9">
            <w:pPr>
              <w:jc w:val="center"/>
              <w:rPr>
                <w:rFonts w:asciiTheme="minorHAnsi" w:hAnsiTheme="minorHAnsi" w:cstheme="minorHAnsi"/>
                <w:b/>
                <w:color w:val="000000"/>
                <w:sz w:val="18"/>
                <w:szCs w:val="18"/>
              </w:rPr>
            </w:pPr>
            <w:r w:rsidRPr="002B6124">
              <w:rPr>
                <w:rFonts w:asciiTheme="minorHAnsi" w:hAnsiTheme="minorHAnsi" w:cstheme="minorHAnsi"/>
                <w:b/>
                <w:color w:val="000000"/>
                <w:sz w:val="18"/>
                <w:szCs w:val="18"/>
              </w:rPr>
              <w:t>2020</w:t>
            </w:r>
          </w:p>
        </w:tc>
      </w:tr>
      <w:tr w:rsidR="005D2468" w:rsidRPr="002B6124" w:rsidTr="00B55CAC">
        <w:trPr>
          <w:gridAfter w:val="1"/>
          <w:wAfter w:w="25" w:type="dxa"/>
          <w:trHeight w:val="283"/>
        </w:trPr>
        <w:tc>
          <w:tcPr>
            <w:tcW w:w="3119" w:type="dxa"/>
            <w:vMerge/>
            <w:tcBorders>
              <w:top w:val="single" w:sz="4" w:space="0" w:color="5B9BD5"/>
              <w:left w:val="single" w:sz="4" w:space="0" w:color="5B9BD5"/>
              <w:bottom w:val="single" w:sz="4" w:space="0" w:color="5B9BD5"/>
              <w:right w:val="single" w:sz="4" w:space="0" w:color="5B9BD5" w:themeColor="accent1"/>
            </w:tcBorders>
            <w:vAlign w:val="center"/>
            <w:hideMark/>
          </w:tcPr>
          <w:p w:rsidR="005D2468" w:rsidRPr="002B6124" w:rsidRDefault="005D2468" w:rsidP="005D2468">
            <w:pPr>
              <w:rPr>
                <w:rFonts w:asciiTheme="minorHAnsi" w:hAnsiTheme="minorHAnsi" w:cstheme="minorHAnsi"/>
                <w:color w:val="000000"/>
                <w:sz w:val="18"/>
                <w:szCs w:val="18"/>
              </w:rPr>
            </w:pPr>
          </w:p>
        </w:tc>
        <w:tc>
          <w:tcPr>
            <w:tcW w:w="1275" w:type="dxa"/>
            <w:vMerge/>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5D2468" w:rsidRPr="002B6124" w:rsidRDefault="005D2468" w:rsidP="005D2468">
            <w:pPr>
              <w:rPr>
                <w:rFonts w:asciiTheme="minorHAnsi" w:hAnsiTheme="minorHAnsi" w:cstheme="minorHAnsi"/>
                <w:color w:val="000000"/>
                <w:sz w:val="18"/>
                <w:szCs w:val="18"/>
              </w:rPr>
            </w:pPr>
          </w:p>
        </w:tc>
        <w:tc>
          <w:tcPr>
            <w:tcW w:w="1276" w:type="dxa"/>
            <w:vMerge/>
            <w:tcBorders>
              <w:top w:val="single" w:sz="4" w:space="0" w:color="5B9BD5"/>
              <w:left w:val="single" w:sz="4" w:space="0" w:color="5B9BD5" w:themeColor="accent1"/>
              <w:bottom w:val="single" w:sz="4" w:space="0" w:color="5B9BD5"/>
              <w:right w:val="single" w:sz="4" w:space="0" w:color="5B9BD5"/>
            </w:tcBorders>
            <w:vAlign w:val="center"/>
            <w:hideMark/>
          </w:tcPr>
          <w:p w:rsidR="005D2468" w:rsidRPr="002B6124" w:rsidRDefault="005D2468" w:rsidP="005D2468">
            <w:pPr>
              <w:rPr>
                <w:rFonts w:asciiTheme="minorHAnsi" w:hAnsiTheme="minorHAnsi" w:cstheme="minorHAnsi"/>
                <w:color w:val="000000"/>
                <w:sz w:val="18"/>
                <w:szCs w:val="18"/>
              </w:rPr>
            </w:pPr>
          </w:p>
        </w:tc>
        <w:tc>
          <w:tcPr>
            <w:tcW w:w="982" w:type="dxa"/>
            <w:tcBorders>
              <w:top w:val="nil"/>
              <w:left w:val="nil"/>
              <w:bottom w:val="single" w:sz="4" w:space="0" w:color="5B9BD5"/>
              <w:right w:val="single" w:sz="4" w:space="0" w:color="5B9BD5"/>
            </w:tcBorders>
            <w:shd w:val="clear" w:color="auto" w:fill="auto"/>
            <w:noWrap/>
            <w:vAlign w:val="center"/>
            <w:hideMark/>
          </w:tcPr>
          <w:p w:rsidR="005D2468" w:rsidRPr="002B6124" w:rsidRDefault="005D2468" w:rsidP="005D2468">
            <w:pPr>
              <w:jc w:val="center"/>
              <w:rPr>
                <w:rFonts w:asciiTheme="minorHAnsi" w:hAnsiTheme="minorHAnsi" w:cstheme="minorHAnsi"/>
                <w:color w:val="000000"/>
                <w:sz w:val="18"/>
                <w:szCs w:val="18"/>
                <w:lang w:val="en-US"/>
              </w:rPr>
            </w:pPr>
            <w:r w:rsidRPr="002B6124">
              <w:rPr>
                <w:rFonts w:asciiTheme="minorHAnsi" w:hAnsiTheme="minorHAnsi" w:cstheme="minorHAnsi"/>
                <w:color w:val="000000"/>
                <w:sz w:val="18"/>
                <w:szCs w:val="18"/>
                <w:lang w:val="en-US"/>
              </w:rPr>
              <w:t>Q1</w:t>
            </w:r>
          </w:p>
        </w:tc>
        <w:tc>
          <w:tcPr>
            <w:tcW w:w="994" w:type="dxa"/>
            <w:tcBorders>
              <w:top w:val="nil"/>
              <w:left w:val="nil"/>
              <w:bottom w:val="single" w:sz="4" w:space="0" w:color="5B9BD5"/>
              <w:right w:val="single" w:sz="4" w:space="0" w:color="5B9BD5"/>
            </w:tcBorders>
            <w:shd w:val="clear" w:color="auto" w:fill="auto"/>
            <w:noWrap/>
            <w:vAlign w:val="center"/>
            <w:hideMark/>
          </w:tcPr>
          <w:p w:rsidR="005D2468" w:rsidRPr="002B6124" w:rsidRDefault="005D2468" w:rsidP="005D2468">
            <w:pPr>
              <w:jc w:val="center"/>
              <w:rPr>
                <w:rFonts w:asciiTheme="minorHAnsi" w:hAnsiTheme="minorHAnsi" w:cstheme="minorHAnsi"/>
                <w:color w:val="000000"/>
                <w:sz w:val="18"/>
                <w:szCs w:val="18"/>
                <w:lang w:val="en-US"/>
              </w:rPr>
            </w:pPr>
            <w:r w:rsidRPr="002B6124">
              <w:rPr>
                <w:rFonts w:asciiTheme="minorHAnsi" w:hAnsiTheme="minorHAnsi" w:cstheme="minorHAnsi"/>
                <w:color w:val="000000"/>
                <w:sz w:val="18"/>
                <w:szCs w:val="18"/>
                <w:lang w:val="en-US"/>
              </w:rPr>
              <w:t>Q2</w:t>
            </w:r>
          </w:p>
        </w:tc>
        <w:tc>
          <w:tcPr>
            <w:tcW w:w="992" w:type="dxa"/>
            <w:tcBorders>
              <w:top w:val="nil"/>
              <w:left w:val="nil"/>
              <w:bottom w:val="single" w:sz="4" w:space="0" w:color="5B9BD5"/>
              <w:right w:val="single" w:sz="4" w:space="0" w:color="5B9BD5"/>
            </w:tcBorders>
            <w:shd w:val="clear" w:color="auto" w:fill="auto"/>
            <w:noWrap/>
            <w:vAlign w:val="center"/>
            <w:hideMark/>
          </w:tcPr>
          <w:p w:rsidR="005D2468" w:rsidRPr="002B6124" w:rsidRDefault="005D2468" w:rsidP="005D2468">
            <w:pPr>
              <w:jc w:val="center"/>
              <w:rPr>
                <w:rFonts w:asciiTheme="minorHAnsi" w:hAnsiTheme="minorHAnsi" w:cstheme="minorHAnsi"/>
                <w:color w:val="000000"/>
                <w:sz w:val="18"/>
                <w:szCs w:val="18"/>
                <w:lang w:val="en-US"/>
              </w:rPr>
            </w:pPr>
            <w:r w:rsidRPr="002B6124">
              <w:rPr>
                <w:rFonts w:asciiTheme="minorHAnsi" w:hAnsiTheme="minorHAnsi" w:cstheme="minorHAnsi"/>
                <w:color w:val="000000"/>
                <w:sz w:val="18"/>
                <w:szCs w:val="18"/>
                <w:lang w:val="en-US"/>
              </w:rPr>
              <w:t>Q3</w:t>
            </w:r>
          </w:p>
        </w:tc>
        <w:tc>
          <w:tcPr>
            <w:tcW w:w="993" w:type="dxa"/>
            <w:tcBorders>
              <w:top w:val="nil"/>
              <w:left w:val="nil"/>
              <w:bottom w:val="single" w:sz="4" w:space="0" w:color="5B9BD5"/>
              <w:right w:val="single" w:sz="4" w:space="0" w:color="5B9BD5"/>
            </w:tcBorders>
            <w:shd w:val="clear" w:color="auto" w:fill="auto"/>
            <w:noWrap/>
            <w:vAlign w:val="center"/>
            <w:hideMark/>
          </w:tcPr>
          <w:p w:rsidR="005D2468" w:rsidRPr="002B6124" w:rsidRDefault="005D2468" w:rsidP="005D2468">
            <w:pPr>
              <w:jc w:val="center"/>
              <w:rPr>
                <w:rFonts w:asciiTheme="minorHAnsi" w:hAnsiTheme="minorHAnsi" w:cstheme="minorHAnsi"/>
                <w:color w:val="000000"/>
                <w:sz w:val="18"/>
                <w:szCs w:val="18"/>
                <w:lang w:val="en-US"/>
              </w:rPr>
            </w:pPr>
            <w:r w:rsidRPr="002B6124">
              <w:rPr>
                <w:rFonts w:asciiTheme="minorHAnsi" w:hAnsiTheme="minorHAnsi" w:cstheme="minorHAnsi"/>
                <w:color w:val="000000"/>
                <w:sz w:val="18"/>
                <w:szCs w:val="18"/>
                <w:lang w:val="en-US"/>
              </w:rPr>
              <w:t>Q4</w:t>
            </w:r>
          </w:p>
        </w:tc>
        <w:tc>
          <w:tcPr>
            <w:tcW w:w="1284" w:type="dxa"/>
            <w:vMerge/>
            <w:tcBorders>
              <w:left w:val="single" w:sz="4" w:space="0" w:color="5B9BD5"/>
              <w:bottom w:val="single" w:sz="4" w:space="0" w:color="5B9BD5"/>
              <w:right w:val="single" w:sz="4" w:space="0" w:color="5B9BD5"/>
            </w:tcBorders>
            <w:vAlign w:val="center"/>
            <w:hideMark/>
          </w:tcPr>
          <w:p w:rsidR="005D2468" w:rsidRPr="002B6124" w:rsidRDefault="005D2468" w:rsidP="005D2468">
            <w:pPr>
              <w:rPr>
                <w:rFonts w:asciiTheme="minorHAnsi" w:hAnsiTheme="minorHAnsi" w:cstheme="minorHAnsi"/>
                <w:color w:val="000000"/>
                <w:sz w:val="18"/>
                <w:szCs w:val="18"/>
              </w:rPr>
            </w:pPr>
          </w:p>
        </w:tc>
        <w:tc>
          <w:tcPr>
            <w:tcW w:w="992" w:type="dxa"/>
            <w:tcBorders>
              <w:top w:val="nil"/>
              <w:left w:val="nil"/>
              <w:bottom w:val="single" w:sz="4" w:space="0" w:color="5B9BD5"/>
              <w:right w:val="single" w:sz="4" w:space="0" w:color="5B9BD5"/>
            </w:tcBorders>
            <w:shd w:val="clear" w:color="auto" w:fill="auto"/>
            <w:noWrap/>
            <w:vAlign w:val="center"/>
            <w:hideMark/>
          </w:tcPr>
          <w:p w:rsidR="005D2468" w:rsidRPr="002B6124" w:rsidRDefault="005D2468" w:rsidP="005D2468">
            <w:pPr>
              <w:jc w:val="center"/>
              <w:rPr>
                <w:rFonts w:asciiTheme="minorHAnsi" w:hAnsiTheme="minorHAnsi" w:cstheme="minorHAnsi"/>
                <w:color w:val="000000"/>
                <w:sz w:val="18"/>
                <w:szCs w:val="18"/>
                <w:lang w:val="en-US"/>
              </w:rPr>
            </w:pPr>
            <w:r w:rsidRPr="002B6124">
              <w:rPr>
                <w:rFonts w:asciiTheme="minorHAnsi" w:hAnsiTheme="minorHAnsi" w:cstheme="minorHAnsi"/>
                <w:color w:val="000000"/>
                <w:sz w:val="18"/>
                <w:szCs w:val="18"/>
                <w:lang w:val="en-US"/>
              </w:rPr>
              <w:t>Q1</w:t>
            </w:r>
          </w:p>
        </w:tc>
        <w:tc>
          <w:tcPr>
            <w:tcW w:w="992" w:type="dxa"/>
            <w:tcBorders>
              <w:top w:val="nil"/>
              <w:left w:val="nil"/>
              <w:bottom w:val="single" w:sz="4" w:space="0" w:color="5B9BD5"/>
              <w:right w:val="single" w:sz="4" w:space="0" w:color="5B9BD5"/>
            </w:tcBorders>
            <w:shd w:val="clear" w:color="auto" w:fill="auto"/>
            <w:noWrap/>
            <w:vAlign w:val="center"/>
            <w:hideMark/>
          </w:tcPr>
          <w:p w:rsidR="005D2468" w:rsidRPr="002B6124" w:rsidRDefault="005D2468" w:rsidP="005D2468">
            <w:pPr>
              <w:jc w:val="center"/>
              <w:rPr>
                <w:rFonts w:asciiTheme="minorHAnsi" w:hAnsiTheme="minorHAnsi" w:cstheme="minorHAnsi"/>
                <w:color w:val="000000"/>
                <w:sz w:val="18"/>
                <w:szCs w:val="18"/>
                <w:lang w:val="en-US"/>
              </w:rPr>
            </w:pPr>
            <w:r w:rsidRPr="002B6124">
              <w:rPr>
                <w:rFonts w:asciiTheme="minorHAnsi" w:hAnsiTheme="minorHAnsi" w:cstheme="minorHAnsi"/>
                <w:color w:val="000000"/>
                <w:sz w:val="18"/>
                <w:szCs w:val="18"/>
                <w:lang w:val="en-US"/>
              </w:rPr>
              <w:t>Q2</w:t>
            </w:r>
          </w:p>
        </w:tc>
        <w:tc>
          <w:tcPr>
            <w:tcW w:w="992" w:type="dxa"/>
            <w:tcBorders>
              <w:top w:val="nil"/>
              <w:left w:val="nil"/>
              <w:bottom w:val="single" w:sz="4" w:space="0" w:color="5B9BD5"/>
              <w:right w:val="single" w:sz="4" w:space="0" w:color="5B9BD5"/>
            </w:tcBorders>
            <w:shd w:val="clear" w:color="auto" w:fill="auto"/>
            <w:noWrap/>
            <w:vAlign w:val="center"/>
            <w:hideMark/>
          </w:tcPr>
          <w:p w:rsidR="005D2468" w:rsidRPr="002B6124" w:rsidRDefault="005D2468" w:rsidP="005D2468">
            <w:pPr>
              <w:jc w:val="center"/>
              <w:rPr>
                <w:rFonts w:asciiTheme="minorHAnsi" w:hAnsiTheme="minorHAnsi" w:cstheme="minorHAnsi"/>
                <w:color w:val="000000"/>
                <w:sz w:val="18"/>
                <w:szCs w:val="18"/>
                <w:lang w:val="en-US"/>
              </w:rPr>
            </w:pPr>
            <w:r w:rsidRPr="002B6124">
              <w:rPr>
                <w:rFonts w:asciiTheme="minorHAnsi" w:hAnsiTheme="minorHAnsi" w:cstheme="minorHAnsi"/>
                <w:color w:val="000000"/>
                <w:sz w:val="18"/>
                <w:szCs w:val="18"/>
                <w:lang w:val="en-US"/>
              </w:rPr>
              <w:t>Q3</w:t>
            </w:r>
          </w:p>
        </w:tc>
        <w:tc>
          <w:tcPr>
            <w:tcW w:w="993" w:type="dxa"/>
            <w:tcBorders>
              <w:top w:val="nil"/>
              <w:left w:val="nil"/>
              <w:bottom w:val="single" w:sz="4" w:space="0" w:color="5B9BD5"/>
              <w:right w:val="single" w:sz="4" w:space="0" w:color="5B9BD5"/>
            </w:tcBorders>
            <w:shd w:val="clear" w:color="auto" w:fill="auto"/>
            <w:noWrap/>
            <w:vAlign w:val="center"/>
            <w:hideMark/>
          </w:tcPr>
          <w:p w:rsidR="005D2468" w:rsidRPr="002B6124" w:rsidRDefault="005D2468" w:rsidP="005D2468">
            <w:pPr>
              <w:jc w:val="center"/>
              <w:rPr>
                <w:rFonts w:asciiTheme="minorHAnsi" w:hAnsiTheme="minorHAnsi" w:cstheme="minorHAnsi"/>
                <w:color w:val="000000"/>
                <w:sz w:val="18"/>
                <w:szCs w:val="18"/>
                <w:lang w:val="en-US"/>
              </w:rPr>
            </w:pPr>
            <w:r w:rsidRPr="002B6124">
              <w:rPr>
                <w:rFonts w:asciiTheme="minorHAnsi" w:hAnsiTheme="minorHAnsi" w:cstheme="minorHAnsi"/>
                <w:color w:val="000000"/>
                <w:sz w:val="18"/>
                <w:szCs w:val="18"/>
                <w:lang w:val="en-US"/>
              </w:rPr>
              <w:t>Q4</w:t>
            </w:r>
          </w:p>
        </w:tc>
      </w:tr>
      <w:tr w:rsidR="00B55CAC" w:rsidRPr="002B6124" w:rsidTr="00B55CAC">
        <w:trPr>
          <w:gridAfter w:val="1"/>
          <w:wAfter w:w="25" w:type="dxa"/>
          <w:trHeight w:val="283"/>
        </w:trPr>
        <w:tc>
          <w:tcPr>
            <w:tcW w:w="3119" w:type="dxa"/>
            <w:tcBorders>
              <w:top w:val="nil"/>
              <w:left w:val="single" w:sz="4" w:space="0" w:color="5B9BD5"/>
              <w:bottom w:val="single" w:sz="4" w:space="0" w:color="5B9BD5"/>
              <w:right w:val="single" w:sz="4" w:space="0" w:color="5B9BD5" w:themeColor="accent1"/>
            </w:tcBorders>
            <w:shd w:val="clear" w:color="000000" w:fill="BDD7EE"/>
            <w:noWrap/>
            <w:vAlign w:val="center"/>
            <w:hideMark/>
          </w:tcPr>
          <w:p w:rsidR="00B55CAC" w:rsidRPr="002B6124" w:rsidRDefault="00B55CAC" w:rsidP="00B55CAC">
            <w:pP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Financial account</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000000" w:fill="BDD7EE"/>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-2 879,9</w:t>
            </w:r>
          </w:p>
        </w:tc>
        <w:tc>
          <w:tcPr>
            <w:tcW w:w="1276" w:type="dxa"/>
            <w:tcBorders>
              <w:top w:val="nil"/>
              <w:left w:val="single" w:sz="4" w:space="0" w:color="5B9BD5" w:themeColor="accent1"/>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-5 065,1</w:t>
            </w:r>
          </w:p>
        </w:tc>
        <w:tc>
          <w:tcPr>
            <w:tcW w:w="982" w:type="dxa"/>
            <w:tcBorders>
              <w:top w:val="nil"/>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-1 542,2</w:t>
            </w:r>
          </w:p>
        </w:tc>
        <w:tc>
          <w:tcPr>
            <w:tcW w:w="994" w:type="dxa"/>
            <w:tcBorders>
              <w:top w:val="nil"/>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-1 172,4</w:t>
            </w:r>
          </w:p>
        </w:tc>
        <w:tc>
          <w:tcPr>
            <w:tcW w:w="992" w:type="dxa"/>
            <w:tcBorders>
              <w:top w:val="nil"/>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-696,7</w:t>
            </w:r>
          </w:p>
        </w:tc>
        <w:tc>
          <w:tcPr>
            <w:tcW w:w="993" w:type="dxa"/>
            <w:tcBorders>
              <w:top w:val="nil"/>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-1 653,8</w:t>
            </w:r>
          </w:p>
        </w:tc>
        <w:tc>
          <w:tcPr>
            <w:tcW w:w="1284" w:type="dxa"/>
            <w:tcBorders>
              <w:top w:val="nil"/>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-4 014,6</w:t>
            </w:r>
          </w:p>
        </w:tc>
        <w:tc>
          <w:tcPr>
            <w:tcW w:w="992" w:type="dxa"/>
            <w:tcBorders>
              <w:top w:val="nil"/>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-1 365,1</w:t>
            </w:r>
          </w:p>
        </w:tc>
        <w:tc>
          <w:tcPr>
            <w:tcW w:w="992" w:type="dxa"/>
            <w:tcBorders>
              <w:top w:val="nil"/>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-1 718,7</w:t>
            </w:r>
          </w:p>
        </w:tc>
        <w:tc>
          <w:tcPr>
            <w:tcW w:w="992" w:type="dxa"/>
            <w:tcBorders>
              <w:top w:val="nil"/>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2 371,9</w:t>
            </w:r>
          </w:p>
        </w:tc>
        <w:tc>
          <w:tcPr>
            <w:tcW w:w="993" w:type="dxa"/>
            <w:tcBorders>
              <w:top w:val="nil"/>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-3 302,7</w:t>
            </w:r>
          </w:p>
        </w:tc>
      </w:tr>
      <w:tr w:rsidR="00B55CAC" w:rsidRPr="002B6124" w:rsidTr="00B55CAC">
        <w:trPr>
          <w:gridAfter w:val="1"/>
          <w:wAfter w:w="25" w:type="dxa"/>
          <w:trHeight w:val="283"/>
        </w:trPr>
        <w:tc>
          <w:tcPr>
            <w:tcW w:w="3119" w:type="dxa"/>
            <w:tcBorders>
              <w:top w:val="nil"/>
              <w:left w:val="single" w:sz="4" w:space="0" w:color="5B9BD5"/>
              <w:bottom w:val="single" w:sz="4" w:space="0" w:color="5B9BD5"/>
              <w:right w:val="single" w:sz="4" w:space="0" w:color="5B9BD5" w:themeColor="accent1"/>
            </w:tcBorders>
            <w:shd w:val="clear" w:color="000000" w:fill="BDD7EE"/>
            <w:vAlign w:val="center"/>
            <w:hideMark/>
          </w:tcPr>
          <w:p w:rsidR="00B55CAC" w:rsidRPr="002B6124" w:rsidRDefault="00B55CAC" w:rsidP="00B55CAC">
            <w:pPr>
              <w:rPr>
                <w:rFonts w:asciiTheme="minorHAnsi" w:hAnsiTheme="minorHAnsi" w:cstheme="minorHAnsi"/>
                <w:b/>
                <w:bCs/>
                <w:color w:val="000000"/>
                <w:sz w:val="18"/>
                <w:szCs w:val="18"/>
                <w:lang w:val="en-US"/>
              </w:rPr>
            </w:pPr>
            <w:r w:rsidRPr="002B6124">
              <w:rPr>
                <w:rFonts w:asciiTheme="minorHAnsi" w:hAnsiTheme="minorHAnsi" w:cstheme="minorHAnsi"/>
                <w:b/>
                <w:bCs/>
                <w:color w:val="000000"/>
                <w:sz w:val="18"/>
                <w:szCs w:val="18"/>
                <w:lang w:val="en-US"/>
              </w:rPr>
              <w:t>Net acquisition of financial assets</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000000" w:fill="BDD7EE"/>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-13,4</w:t>
            </w:r>
          </w:p>
        </w:tc>
        <w:tc>
          <w:tcPr>
            <w:tcW w:w="1276" w:type="dxa"/>
            <w:tcBorders>
              <w:top w:val="nil"/>
              <w:left w:val="single" w:sz="4" w:space="0" w:color="5B9BD5" w:themeColor="accent1"/>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4 036,9</w:t>
            </w:r>
          </w:p>
        </w:tc>
        <w:tc>
          <w:tcPr>
            <w:tcW w:w="982" w:type="dxa"/>
            <w:tcBorders>
              <w:top w:val="nil"/>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766,9</w:t>
            </w:r>
          </w:p>
        </w:tc>
        <w:tc>
          <w:tcPr>
            <w:tcW w:w="994" w:type="dxa"/>
            <w:tcBorders>
              <w:top w:val="nil"/>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795,9</w:t>
            </w:r>
          </w:p>
        </w:tc>
        <w:tc>
          <w:tcPr>
            <w:tcW w:w="992" w:type="dxa"/>
            <w:tcBorders>
              <w:top w:val="nil"/>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355,8</w:t>
            </w:r>
          </w:p>
        </w:tc>
        <w:tc>
          <w:tcPr>
            <w:tcW w:w="993" w:type="dxa"/>
            <w:tcBorders>
              <w:top w:val="nil"/>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2 118,2</w:t>
            </w:r>
          </w:p>
        </w:tc>
        <w:tc>
          <w:tcPr>
            <w:tcW w:w="1284" w:type="dxa"/>
            <w:tcBorders>
              <w:top w:val="nil"/>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7 038,2</w:t>
            </w:r>
          </w:p>
        </w:tc>
        <w:tc>
          <w:tcPr>
            <w:tcW w:w="992" w:type="dxa"/>
            <w:tcBorders>
              <w:top w:val="nil"/>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602,3</w:t>
            </w:r>
          </w:p>
        </w:tc>
        <w:tc>
          <w:tcPr>
            <w:tcW w:w="992" w:type="dxa"/>
            <w:tcBorders>
              <w:top w:val="nil"/>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452,4</w:t>
            </w:r>
          </w:p>
        </w:tc>
        <w:tc>
          <w:tcPr>
            <w:tcW w:w="992" w:type="dxa"/>
            <w:tcBorders>
              <w:top w:val="nil"/>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4 275,2</w:t>
            </w:r>
          </w:p>
        </w:tc>
        <w:tc>
          <w:tcPr>
            <w:tcW w:w="993" w:type="dxa"/>
            <w:tcBorders>
              <w:top w:val="nil"/>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1 708,2</w:t>
            </w:r>
          </w:p>
        </w:tc>
      </w:tr>
      <w:tr w:rsidR="00B55CAC" w:rsidRPr="002B6124" w:rsidTr="00B55CAC">
        <w:trPr>
          <w:gridAfter w:val="1"/>
          <w:wAfter w:w="25" w:type="dxa"/>
          <w:trHeight w:val="283"/>
        </w:trPr>
        <w:tc>
          <w:tcPr>
            <w:tcW w:w="3119" w:type="dxa"/>
            <w:tcBorders>
              <w:top w:val="nil"/>
              <w:left w:val="single" w:sz="4" w:space="0" w:color="5B9BD5"/>
              <w:bottom w:val="single" w:sz="4" w:space="0" w:color="5B9BD5"/>
              <w:right w:val="single" w:sz="4" w:space="0" w:color="5B9BD5" w:themeColor="accent1"/>
            </w:tcBorders>
            <w:shd w:val="clear" w:color="auto" w:fill="auto"/>
            <w:noWrap/>
            <w:vAlign w:val="center"/>
            <w:hideMark/>
          </w:tcPr>
          <w:p w:rsidR="00B55CAC" w:rsidRPr="002B6124" w:rsidRDefault="00B55CAC" w:rsidP="00B55CAC">
            <w:pPr>
              <w:rPr>
                <w:rFonts w:asciiTheme="minorHAnsi" w:hAnsiTheme="minorHAnsi" w:cstheme="minorHAnsi"/>
                <w:color w:val="000000"/>
                <w:sz w:val="18"/>
                <w:szCs w:val="18"/>
              </w:rPr>
            </w:pPr>
            <w:r w:rsidRPr="002B6124">
              <w:rPr>
                <w:rFonts w:asciiTheme="minorHAnsi" w:hAnsiTheme="minorHAnsi" w:cstheme="minorHAnsi"/>
                <w:color w:val="000000"/>
                <w:sz w:val="18"/>
                <w:szCs w:val="18"/>
              </w:rPr>
              <w:t>Direct investment abroad</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1,9</w:t>
            </w:r>
          </w:p>
        </w:tc>
        <w:tc>
          <w:tcPr>
            <w:tcW w:w="1276" w:type="dxa"/>
            <w:tcBorders>
              <w:top w:val="nil"/>
              <w:left w:val="single" w:sz="4" w:space="0" w:color="5B9BD5" w:themeColor="accent1"/>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3,1</w:t>
            </w:r>
          </w:p>
        </w:tc>
        <w:tc>
          <w:tcPr>
            <w:tcW w:w="98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0,8</w:t>
            </w:r>
          </w:p>
        </w:tc>
        <w:tc>
          <w:tcPr>
            <w:tcW w:w="99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0,7</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1,0</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0,6</w:t>
            </w:r>
          </w:p>
        </w:tc>
        <w:tc>
          <w:tcPr>
            <w:tcW w:w="128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1,7</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0,6</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-0,2</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0,7</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0,6</w:t>
            </w:r>
          </w:p>
        </w:tc>
      </w:tr>
      <w:tr w:rsidR="00B55CAC" w:rsidRPr="002B6124" w:rsidTr="00B55CAC">
        <w:trPr>
          <w:gridAfter w:val="1"/>
          <w:wAfter w:w="25" w:type="dxa"/>
          <w:trHeight w:val="283"/>
        </w:trPr>
        <w:tc>
          <w:tcPr>
            <w:tcW w:w="3119" w:type="dxa"/>
            <w:tcBorders>
              <w:top w:val="nil"/>
              <w:left w:val="single" w:sz="4" w:space="0" w:color="5B9BD5"/>
              <w:bottom w:val="single" w:sz="4" w:space="0" w:color="5B9BD5"/>
              <w:right w:val="single" w:sz="4" w:space="0" w:color="5B9BD5" w:themeColor="accent1"/>
            </w:tcBorders>
            <w:shd w:val="clear" w:color="auto" w:fill="auto"/>
            <w:noWrap/>
            <w:vAlign w:val="center"/>
            <w:hideMark/>
          </w:tcPr>
          <w:p w:rsidR="00B55CAC" w:rsidRPr="002B6124" w:rsidRDefault="00B55CAC" w:rsidP="00B55CAC">
            <w:pPr>
              <w:rPr>
                <w:rFonts w:asciiTheme="minorHAnsi" w:hAnsiTheme="minorHAnsi" w:cstheme="minorHAnsi"/>
                <w:color w:val="000000"/>
                <w:sz w:val="18"/>
                <w:szCs w:val="18"/>
              </w:rPr>
            </w:pPr>
            <w:r w:rsidRPr="002B6124">
              <w:rPr>
                <w:rFonts w:asciiTheme="minorHAnsi" w:hAnsiTheme="minorHAnsi" w:cstheme="minorHAnsi"/>
                <w:color w:val="000000"/>
                <w:sz w:val="18"/>
                <w:szCs w:val="18"/>
              </w:rPr>
              <w:t>Portfolio investment</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w:t>
            </w:r>
          </w:p>
        </w:tc>
        <w:tc>
          <w:tcPr>
            <w:tcW w:w="1276" w:type="dxa"/>
            <w:tcBorders>
              <w:top w:val="nil"/>
              <w:left w:val="single" w:sz="4" w:space="0" w:color="5B9BD5" w:themeColor="accent1"/>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w:t>
            </w:r>
          </w:p>
        </w:tc>
        <w:tc>
          <w:tcPr>
            <w:tcW w:w="98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w:t>
            </w:r>
          </w:p>
        </w:tc>
        <w:tc>
          <w:tcPr>
            <w:tcW w:w="99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w:t>
            </w:r>
          </w:p>
        </w:tc>
        <w:tc>
          <w:tcPr>
            <w:tcW w:w="128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-0,1</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-0,2</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0,0</w:t>
            </w:r>
          </w:p>
        </w:tc>
      </w:tr>
      <w:tr w:rsidR="00B55CAC" w:rsidRPr="002B6124" w:rsidTr="00B55CAC">
        <w:trPr>
          <w:gridAfter w:val="1"/>
          <w:wAfter w:w="25" w:type="dxa"/>
          <w:trHeight w:val="283"/>
        </w:trPr>
        <w:tc>
          <w:tcPr>
            <w:tcW w:w="3119" w:type="dxa"/>
            <w:tcBorders>
              <w:top w:val="nil"/>
              <w:left w:val="single" w:sz="4" w:space="0" w:color="5B9BD5"/>
              <w:bottom w:val="single" w:sz="4" w:space="0" w:color="5B9BD5"/>
              <w:right w:val="single" w:sz="4" w:space="0" w:color="5B9BD5" w:themeColor="accent1"/>
            </w:tcBorders>
            <w:shd w:val="clear" w:color="auto" w:fill="auto"/>
            <w:noWrap/>
            <w:vAlign w:val="center"/>
            <w:hideMark/>
          </w:tcPr>
          <w:p w:rsidR="00B55CAC" w:rsidRPr="002B6124" w:rsidRDefault="00B55CAC" w:rsidP="00B55CAC">
            <w:pPr>
              <w:rPr>
                <w:rFonts w:asciiTheme="minorHAnsi" w:hAnsiTheme="minorHAnsi" w:cstheme="minorHAnsi"/>
                <w:color w:val="000000"/>
                <w:sz w:val="18"/>
                <w:szCs w:val="18"/>
              </w:rPr>
            </w:pPr>
            <w:r w:rsidRPr="002B6124">
              <w:rPr>
                <w:rFonts w:asciiTheme="minorHAnsi" w:hAnsiTheme="minorHAnsi" w:cstheme="minorHAnsi"/>
                <w:color w:val="000000"/>
                <w:sz w:val="18"/>
                <w:szCs w:val="18"/>
              </w:rPr>
              <w:t>Other investments</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1 548,4</w:t>
            </w:r>
          </w:p>
        </w:tc>
        <w:tc>
          <w:tcPr>
            <w:tcW w:w="1276" w:type="dxa"/>
            <w:tcBorders>
              <w:top w:val="nil"/>
              <w:left w:val="single" w:sz="4" w:space="0" w:color="5B9BD5" w:themeColor="accent1"/>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2 627,2</w:t>
            </w:r>
          </w:p>
        </w:tc>
        <w:tc>
          <w:tcPr>
            <w:tcW w:w="98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-8,9</w:t>
            </w:r>
          </w:p>
        </w:tc>
        <w:tc>
          <w:tcPr>
            <w:tcW w:w="99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1 198,9</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64,1</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1 373,1</w:t>
            </w:r>
          </w:p>
        </w:tc>
        <w:tc>
          <w:tcPr>
            <w:tcW w:w="128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5 265,2</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601,0</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427,3</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2 301,5</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1 935,4</w:t>
            </w:r>
          </w:p>
        </w:tc>
      </w:tr>
      <w:tr w:rsidR="00B55CAC" w:rsidRPr="002B6124" w:rsidTr="002B6124">
        <w:trPr>
          <w:trHeight w:val="133"/>
        </w:trPr>
        <w:tc>
          <w:tcPr>
            <w:tcW w:w="3119" w:type="dxa"/>
            <w:tcBorders>
              <w:top w:val="nil"/>
              <w:left w:val="single" w:sz="4" w:space="0" w:color="5B9BD5"/>
              <w:bottom w:val="single" w:sz="4" w:space="0" w:color="5B9BD5"/>
              <w:right w:val="single" w:sz="4" w:space="0" w:color="5B9BD5"/>
            </w:tcBorders>
            <w:shd w:val="clear" w:color="auto" w:fill="auto"/>
            <w:noWrap/>
            <w:vAlign w:val="center"/>
            <w:hideMark/>
          </w:tcPr>
          <w:p w:rsidR="00B55CAC" w:rsidRPr="002B6124" w:rsidRDefault="00B55CAC" w:rsidP="00B55CAC">
            <w:pPr>
              <w:ind w:left="175"/>
              <w:rPr>
                <w:rFonts w:asciiTheme="minorHAnsi" w:hAnsiTheme="minorHAnsi" w:cstheme="minorHAnsi"/>
                <w:color w:val="000000"/>
                <w:sz w:val="18"/>
                <w:szCs w:val="18"/>
              </w:rPr>
            </w:pPr>
            <w:r w:rsidRPr="002B6124">
              <w:rPr>
                <w:rFonts w:asciiTheme="minorHAnsi" w:hAnsiTheme="minorHAnsi" w:cstheme="minorHAnsi"/>
                <w:i/>
                <w:iCs/>
                <w:color w:val="000000"/>
                <w:sz w:val="18"/>
                <w:szCs w:val="18"/>
              </w:rPr>
              <w:t xml:space="preserve">of which </w:t>
            </w:r>
          </w:p>
        </w:tc>
        <w:tc>
          <w:tcPr>
            <w:tcW w:w="1275" w:type="dxa"/>
            <w:tcBorders>
              <w:top w:val="nil"/>
              <w:left w:val="single" w:sz="4" w:space="0" w:color="5B9BD5"/>
              <w:bottom w:val="single" w:sz="4" w:space="0" w:color="5B9BD5"/>
              <w:right w:val="single" w:sz="4" w:space="0" w:color="5B9BD5"/>
            </w:tcBorders>
            <w:shd w:val="clear" w:color="auto" w:fill="auto"/>
            <w:vAlign w:val="center"/>
          </w:tcPr>
          <w:p w:rsidR="00B55CAC" w:rsidRPr="002B6124" w:rsidRDefault="00B55CAC" w:rsidP="00B55CAC">
            <w:pPr>
              <w:jc w:val="center"/>
              <w:rPr>
                <w:rFonts w:asciiTheme="minorHAnsi" w:hAnsiTheme="minorHAnsi" w:cstheme="minorHAnsi"/>
                <w:color w:val="000000"/>
                <w:sz w:val="18"/>
                <w:szCs w:val="18"/>
              </w:rPr>
            </w:pPr>
          </w:p>
        </w:tc>
        <w:tc>
          <w:tcPr>
            <w:tcW w:w="1276" w:type="dxa"/>
            <w:tcBorders>
              <w:top w:val="nil"/>
              <w:left w:val="single" w:sz="4" w:space="0" w:color="5B9BD5"/>
              <w:bottom w:val="single" w:sz="4" w:space="0" w:color="5B9BD5"/>
              <w:right w:val="single" w:sz="4" w:space="0" w:color="5B9BD5"/>
            </w:tcBorders>
            <w:shd w:val="clear" w:color="auto" w:fill="auto"/>
            <w:vAlign w:val="center"/>
          </w:tcPr>
          <w:p w:rsidR="00B55CAC" w:rsidRPr="002B6124" w:rsidRDefault="00B55CAC" w:rsidP="00B55CAC">
            <w:pPr>
              <w:jc w:val="center"/>
              <w:rPr>
                <w:rFonts w:asciiTheme="minorHAnsi" w:hAnsiTheme="minorHAnsi" w:cstheme="minorHAnsi"/>
                <w:color w:val="000000"/>
                <w:sz w:val="18"/>
                <w:szCs w:val="18"/>
              </w:rPr>
            </w:pPr>
          </w:p>
        </w:tc>
        <w:tc>
          <w:tcPr>
            <w:tcW w:w="982" w:type="dxa"/>
            <w:tcBorders>
              <w:top w:val="nil"/>
              <w:left w:val="single" w:sz="4" w:space="0" w:color="5B9BD5"/>
              <w:bottom w:val="single" w:sz="4" w:space="0" w:color="5B9BD5"/>
              <w:right w:val="single" w:sz="4" w:space="0" w:color="5B9BD5"/>
            </w:tcBorders>
            <w:shd w:val="clear" w:color="auto" w:fill="auto"/>
            <w:vAlign w:val="center"/>
          </w:tcPr>
          <w:p w:rsidR="00B55CAC" w:rsidRPr="002B6124" w:rsidRDefault="00B55CAC" w:rsidP="00B55CAC">
            <w:pPr>
              <w:jc w:val="center"/>
              <w:rPr>
                <w:rFonts w:asciiTheme="minorHAnsi" w:hAnsiTheme="minorHAnsi" w:cstheme="minorHAnsi"/>
                <w:color w:val="000000"/>
                <w:sz w:val="18"/>
                <w:szCs w:val="18"/>
              </w:rPr>
            </w:pPr>
          </w:p>
        </w:tc>
        <w:tc>
          <w:tcPr>
            <w:tcW w:w="994" w:type="dxa"/>
            <w:tcBorders>
              <w:top w:val="nil"/>
              <w:left w:val="single" w:sz="4" w:space="0" w:color="5B9BD5"/>
              <w:bottom w:val="single" w:sz="4" w:space="0" w:color="5B9BD5"/>
              <w:right w:val="single" w:sz="4" w:space="0" w:color="5B9BD5"/>
            </w:tcBorders>
            <w:shd w:val="clear" w:color="auto" w:fill="auto"/>
            <w:vAlign w:val="center"/>
          </w:tcPr>
          <w:p w:rsidR="00B55CAC" w:rsidRPr="002B6124" w:rsidRDefault="00B55CAC" w:rsidP="00B55CAC">
            <w:pPr>
              <w:jc w:val="center"/>
              <w:rPr>
                <w:rFonts w:asciiTheme="minorHAnsi" w:hAnsiTheme="minorHAnsi" w:cstheme="minorHAnsi"/>
                <w:color w:val="000000"/>
                <w:sz w:val="18"/>
                <w:szCs w:val="18"/>
              </w:rPr>
            </w:pPr>
          </w:p>
        </w:tc>
        <w:tc>
          <w:tcPr>
            <w:tcW w:w="992" w:type="dxa"/>
            <w:tcBorders>
              <w:top w:val="nil"/>
              <w:left w:val="single" w:sz="4" w:space="0" w:color="5B9BD5"/>
              <w:bottom w:val="single" w:sz="4" w:space="0" w:color="5B9BD5"/>
              <w:right w:val="single" w:sz="4" w:space="0" w:color="5B9BD5"/>
            </w:tcBorders>
            <w:shd w:val="clear" w:color="auto" w:fill="auto"/>
            <w:vAlign w:val="center"/>
          </w:tcPr>
          <w:p w:rsidR="00B55CAC" w:rsidRPr="002B6124" w:rsidRDefault="00B55CAC" w:rsidP="00B55CAC">
            <w:pPr>
              <w:jc w:val="center"/>
              <w:rPr>
                <w:rFonts w:asciiTheme="minorHAnsi" w:hAnsiTheme="minorHAnsi" w:cstheme="minorHAnsi"/>
                <w:color w:val="000000"/>
                <w:sz w:val="18"/>
                <w:szCs w:val="18"/>
              </w:rPr>
            </w:pPr>
          </w:p>
        </w:tc>
        <w:tc>
          <w:tcPr>
            <w:tcW w:w="993" w:type="dxa"/>
            <w:tcBorders>
              <w:top w:val="nil"/>
              <w:left w:val="single" w:sz="4" w:space="0" w:color="5B9BD5"/>
              <w:bottom w:val="single" w:sz="4" w:space="0" w:color="5B9BD5"/>
              <w:right w:val="single" w:sz="4" w:space="0" w:color="5B9BD5"/>
            </w:tcBorders>
            <w:shd w:val="clear" w:color="auto" w:fill="auto"/>
            <w:vAlign w:val="center"/>
          </w:tcPr>
          <w:p w:rsidR="00B55CAC" w:rsidRPr="002B6124" w:rsidRDefault="00B55CAC" w:rsidP="00B55CAC">
            <w:pPr>
              <w:jc w:val="center"/>
              <w:rPr>
                <w:rFonts w:asciiTheme="minorHAnsi" w:hAnsiTheme="minorHAnsi" w:cstheme="minorHAnsi"/>
                <w:color w:val="000000"/>
                <w:sz w:val="18"/>
                <w:szCs w:val="18"/>
              </w:rPr>
            </w:pPr>
          </w:p>
        </w:tc>
        <w:tc>
          <w:tcPr>
            <w:tcW w:w="1284" w:type="dxa"/>
            <w:tcBorders>
              <w:top w:val="nil"/>
              <w:left w:val="single" w:sz="4" w:space="0" w:color="5B9BD5"/>
              <w:bottom w:val="single" w:sz="4" w:space="0" w:color="5B9BD5"/>
              <w:right w:val="single" w:sz="4" w:space="0" w:color="5B9BD5"/>
            </w:tcBorders>
            <w:shd w:val="clear" w:color="auto" w:fill="auto"/>
            <w:vAlign w:val="center"/>
          </w:tcPr>
          <w:p w:rsidR="00B55CAC" w:rsidRPr="002B6124" w:rsidRDefault="00B55CAC" w:rsidP="00B55CAC">
            <w:pPr>
              <w:jc w:val="center"/>
              <w:rPr>
                <w:rFonts w:asciiTheme="minorHAnsi" w:hAnsiTheme="minorHAnsi" w:cstheme="minorHAnsi"/>
                <w:color w:val="000000"/>
                <w:sz w:val="18"/>
                <w:szCs w:val="18"/>
              </w:rPr>
            </w:pPr>
          </w:p>
        </w:tc>
        <w:tc>
          <w:tcPr>
            <w:tcW w:w="992" w:type="dxa"/>
            <w:tcBorders>
              <w:top w:val="nil"/>
              <w:left w:val="single" w:sz="4" w:space="0" w:color="5B9BD5"/>
              <w:bottom w:val="single" w:sz="4" w:space="0" w:color="5B9BD5"/>
              <w:right w:val="single" w:sz="4" w:space="0" w:color="5B9BD5"/>
            </w:tcBorders>
            <w:shd w:val="clear" w:color="auto" w:fill="auto"/>
            <w:vAlign w:val="center"/>
          </w:tcPr>
          <w:p w:rsidR="00B55CAC" w:rsidRPr="002B6124" w:rsidRDefault="00B55CAC" w:rsidP="00B55CAC">
            <w:pPr>
              <w:jc w:val="center"/>
              <w:rPr>
                <w:rFonts w:asciiTheme="minorHAnsi" w:hAnsiTheme="minorHAnsi" w:cstheme="minorHAnsi"/>
                <w:color w:val="000000"/>
                <w:sz w:val="18"/>
                <w:szCs w:val="18"/>
              </w:rPr>
            </w:pPr>
          </w:p>
        </w:tc>
        <w:tc>
          <w:tcPr>
            <w:tcW w:w="992" w:type="dxa"/>
            <w:tcBorders>
              <w:top w:val="nil"/>
              <w:left w:val="single" w:sz="4" w:space="0" w:color="5B9BD5"/>
              <w:bottom w:val="single" w:sz="4" w:space="0" w:color="5B9BD5"/>
              <w:right w:val="single" w:sz="4" w:space="0" w:color="5B9BD5"/>
            </w:tcBorders>
            <w:shd w:val="clear" w:color="auto" w:fill="auto"/>
            <w:vAlign w:val="center"/>
          </w:tcPr>
          <w:p w:rsidR="00B55CAC" w:rsidRPr="002B6124" w:rsidRDefault="00B55CAC" w:rsidP="00B55CAC">
            <w:pPr>
              <w:jc w:val="center"/>
              <w:rPr>
                <w:rFonts w:asciiTheme="minorHAnsi" w:hAnsiTheme="minorHAnsi" w:cstheme="minorHAnsi"/>
                <w:color w:val="000000"/>
                <w:sz w:val="18"/>
                <w:szCs w:val="18"/>
              </w:rPr>
            </w:pPr>
          </w:p>
        </w:tc>
        <w:tc>
          <w:tcPr>
            <w:tcW w:w="992" w:type="dxa"/>
            <w:tcBorders>
              <w:top w:val="nil"/>
              <w:left w:val="single" w:sz="4" w:space="0" w:color="5B9BD5"/>
              <w:bottom w:val="single" w:sz="4" w:space="0" w:color="5B9BD5"/>
              <w:right w:val="single" w:sz="4" w:space="0" w:color="5B9BD5"/>
            </w:tcBorders>
            <w:shd w:val="clear" w:color="auto" w:fill="auto"/>
            <w:vAlign w:val="center"/>
          </w:tcPr>
          <w:p w:rsidR="00B55CAC" w:rsidRPr="002B6124" w:rsidRDefault="00B55CAC" w:rsidP="00B55CAC">
            <w:pPr>
              <w:jc w:val="center"/>
              <w:rPr>
                <w:rFonts w:asciiTheme="minorHAnsi" w:hAnsiTheme="minorHAnsi" w:cstheme="minorHAnsi"/>
                <w:color w:val="000000"/>
                <w:sz w:val="18"/>
                <w:szCs w:val="18"/>
              </w:rPr>
            </w:pPr>
          </w:p>
        </w:tc>
        <w:tc>
          <w:tcPr>
            <w:tcW w:w="1018" w:type="dxa"/>
            <w:gridSpan w:val="2"/>
            <w:tcBorders>
              <w:top w:val="nil"/>
              <w:left w:val="single" w:sz="4" w:space="0" w:color="5B9BD5"/>
              <w:bottom w:val="single" w:sz="4" w:space="0" w:color="5B9BD5"/>
              <w:right w:val="single" w:sz="4" w:space="0" w:color="5B9BD5"/>
            </w:tcBorders>
            <w:shd w:val="clear" w:color="auto" w:fill="auto"/>
            <w:vAlign w:val="center"/>
          </w:tcPr>
          <w:p w:rsidR="00B55CAC" w:rsidRPr="002B6124" w:rsidRDefault="00B55CAC" w:rsidP="00B55CAC">
            <w:pPr>
              <w:jc w:val="center"/>
              <w:rPr>
                <w:rFonts w:asciiTheme="minorHAnsi" w:hAnsiTheme="minorHAnsi" w:cstheme="minorHAnsi"/>
                <w:color w:val="000000"/>
                <w:sz w:val="18"/>
                <w:szCs w:val="18"/>
              </w:rPr>
            </w:pPr>
          </w:p>
        </w:tc>
      </w:tr>
      <w:tr w:rsidR="00B55CAC" w:rsidRPr="002B6124" w:rsidTr="00B55CAC">
        <w:trPr>
          <w:gridAfter w:val="1"/>
          <w:wAfter w:w="25" w:type="dxa"/>
          <w:trHeight w:val="283"/>
        </w:trPr>
        <w:tc>
          <w:tcPr>
            <w:tcW w:w="3119" w:type="dxa"/>
            <w:tcBorders>
              <w:top w:val="nil"/>
              <w:left w:val="single" w:sz="4" w:space="0" w:color="5B9BD5"/>
              <w:bottom w:val="single" w:sz="4" w:space="0" w:color="5B9BD5"/>
              <w:right w:val="single" w:sz="4" w:space="0" w:color="5B9BD5" w:themeColor="accent1"/>
            </w:tcBorders>
            <w:shd w:val="clear" w:color="auto" w:fill="auto"/>
            <w:noWrap/>
            <w:vAlign w:val="center"/>
            <w:hideMark/>
          </w:tcPr>
          <w:p w:rsidR="00B55CAC" w:rsidRPr="002B6124" w:rsidRDefault="00B55CAC" w:rsidP="00B55CAC">
            <w:pPr>
              <w:ind w:firstLineChars="200" w:firstLine="360"/>
              <w:rPr>
                <w:rFonts w:asciiTheme="minorHAnsi" w:hAnsiTheme="minorHAnsi" w:cstheme="minorHAnsi"/>
                <w:i/>
                <w:iCs/>
                <w:color w:val="000000"/>
                <w:sz w:val="18"/>
                <w:szCs w:val="18"/>
              </w:rPr>
            </w:pPr>
            <w:r w:rsidRPr="002B6124">
              <w:rPr>
                <w:rFonts w:asciiTheme="minorHAnsi" w:hAnsiTheme="minorHAnsi" w:cstheme="minorHAnsi"/>
                <w:i/>
                <w:iCs/>
                <w:color w:val="000000"/>
                <w:sz w:val="18"/>
                <w:szCs w:val="18"/>
              </w:rPr>
              <w:t>currency and deposits</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842,8</w:t>
            </w:r>
          </w:p>
        </w:tc>
        <w:tc>
          <w:tcPr>
            <w:tcW w:w="1276" w:type="dxa"/>
            <w:tcBorders>
              <w:top w:val="nil"/>
              <w:left w:val="single" w:sz="4" w:space="0" w:color="5B9BD5" w:themeColor="accent1"/>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591,0</w:t>
            </w:r>
          </w:p>
        </w:tc>
        <w:tc>
          <w:tcPr>
            <w:tcW w:w="98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274,0</w:t>
            </w:r>
          </w:p>
        </w:tc>
        <w:tc>
          <w:tcPr>
            <w:tcW w:w="99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-303,6</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39,6</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580,9</w:t>
            </w:r>
          </w:p>
        </w:tc>
        <w:tc>
          <w:tcPr>
            <w:tcW w:w="128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3 149,4</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390,4</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221,5</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892,2</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1 645,2</w:t>
            </w:r>
          </w:p>
        </w:tc>
      </w:tr>
      <w:tr w:rsidR="00B55CAC" w:rsidRPr="002B6124" w:rsidTr="00B55CAC">
        <w:trPr>
          <w:gridAfter w:val="1"/>
          <w:wAfter w:w="25" w:type="dxa"/>
          <w:trHeight w:val="283"/>
        </w:trPr>
        <w:tc>
          <w:tcPr>
            <w:tcW w:w="3119" w:type="dxa"/>
            <w:tcBorders>
              <w:top w:val="nil"/>
              <w:left w:val="single" w:sz="4" w:space="0" w:color="5B9BD5"/>
              <w:bottom w:val="single" w:sz="4" w:space="0" w:color="5B9BD5"/>
              <w:right w:val="single" w:sz="4" w:space="0" w:color="5B9BD5" w:themeColor="accent1"/>
            </w:tcBorders>
            <w:shd w:val="clear" w:color="auto" w:fill="auto"/>
            <w:noWrap/>
            <w:vAlign w:val="center"/>
            <w:hideMark/>
          </w:tcPr>
          <w:p w:rsidR="00B55CAC" w:rsidRPr="002B6124" w:rsidRDefault="00B55CAC" w:rsidP="00B55CAC">
            <w:pPr>
              <w:ind w:firstLineChars="200" w:firstLine="360"/>
              <w:rPr>
                <w:rFonts w:asciiTheme="minorHAnsi" w:hAnsiTheme="minorHAnsi" w:cstheme="minorHAnsi"/>
                <w:i/>
                <w:iCs/>
                <w:color w:val="000000"/>
                <w:sz w:val="18"/>
                <w:szCs w:val="18"/>
              </w:rPr>
            </w:pPr>
            <w:r w:rsidRPr="002B6124">
              <w:rPr>
                <w:rFonts w:asciiTheme="minorHAnsi" w:hAnsiTheme="minorHAnsi" w:cstheme="minorHAnsi"/>
                <w:i/>
                <w:iCs/>
                <w:color w:val="000000"/>
                <w:sz w:val="18"/>
                <w:szCs w:val="18"/>
              </w:rPr>
              <w:t>trade credits and advances</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702,7</w:t>
            </w:r>
          </w:p>
        </w:tc>
        <w:tc>
          <w:tcPr>
            <w:tcW w:w="1276" w:type="dxa"/>
            <w:tcBorders>
              <w:top w:val="nil"/>
              <w:left w:val="single" w:sz="4" w:space="0" w:color="5B9BD5" w:themeColor="accent1"/>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2 037,2</w:t>
            </w:r>
          </w:p>
        </w:tc>
        <w:tc>
          <w:tcPr>
            <w:tcW w:w="98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-282,9</w:t>
            </w:r>
          </w:p>
        </w:tc>
        <w:tc>
          <w:tcPr>
            <w:tcW w:w="99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1 504,9</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23,8</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791,4</w:t>
            </w:r>
          </w:p>
        </w:tc>
        <w:tc>
          <w:tcPr>
            <w:tcW w:w="128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2 112,8</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210,1</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203,0</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1 409,6</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290,2</w:t>
            </w:r>
          </w:p>
        </w:tc>
      </w:tr>
      <w:tr w:rsidR="00B55CAC" w:rsidRPr="002B6124" w:rsidTr="00B55CAC">
        <w:trPr>
          <w:gridAfter w:val="1"/>
          <w:wAfter w:w="25" w:type="dxa"/>
          <w:trHeight w:val="283"/>
        </w:trPr>
        <w:tc>
          <w:tcPr>
            <w:tcW w:w="3119" w:type="dxa"/>
            <w:tcBorders>
              <w:top w:val="nil"/>
              <w:left w:val="single" w:sz="4" w:space="0" w:color="5B9BD5"/>
              <w:bottom w:val="single" w:sz="4" w:space="0" w:color="5B9BD5" w:themeColor="accent1"/>
              <w:right w:val="single" w:sz="4" w:space="0" w:color="5B9BD5" w:themeColor="accent1"/>
            </w:tcBorders>
            <w:shd w:val="clear" w:color="auto" w:fill="auto"/>
            <w:noWrap/>
            <w:vAlign w:val="center"/>
            <w:hideMark/>
          </w:tcPr>
          <w:p w:rsidR="00B55CAC" w:rsidRPr="002B6124" w:rsidRDefault="00B55CAC" w:rsidP="00B55CAC">
            <w:pP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Reserve assets</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-1 563,7</w:t>
            </w:r>
          </w:p>
        </w:tc>
        <w:tc>
          <w:tcPr>
            <w:tcW w:w="1276" w:type="dxa"/>
            <w:tcBorders>
              <w:top w:val="nil"/>
              <w:left w:val="single" w:sz="4" w:space="0" w:color="5B9BD5" w:themeColor="accent1"/>
              <w:bottom w:val="single" w:sz="4" w:space="0" w:color="5B9BD5" w:themeColor="accent1"/>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1 406,6</w:t>
            </w:r>
          </w:p>
        </w:tc>
        <w:tc>
          <w:tcPr>
            <w:tcW w:w="982" w:type="dxa"/>
            <w:tcBorders>
              <w:top w:val="nil"/>
              <w:left w:val="nil"/>
              <w:bottom w:val="single" w:sz="4" w:space="0" w:color="5B9BD5" w:themeColor="accent1"/>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775,0</w:t>
            </w:r>
          </w:p>
        </w:tc>
        <w:tc>
          <w:tcPr>
            <w:tcW w:w="994" w:type="dxa"/>
            <w:tcBorders>
              <w:top w:val="nil"/>
              <w:left w:val="nil"/>
              <w:bottom w:val="single" w:sz="4" w:space="0" w:color="5B9BD5" w:themeColor="accent1"/>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-403,6</w:t>
            </w:r>
          </w:p>
        </w:tc>
        <w:tc>
          <w:tcPr>
            <w:tcW w:w="992" w:type="dxa"/>
            <w:tcBorders>
              <w:top w:val="nil"/>
              <w:left w:val="nil"/>
              <w:bottom w:val="single" w:sz="4" w:space="0" w:color="5B9BD5" w:themeColor="accent1"/>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290,7</w:t>
            </w:r>
          </w:p>
        </w:tc>
        <w:tc>
          <w:tcPr>
            <w:tcW w:w="993" w:type="dxa"/>
            <w:tcBorders>
              <w:top w:val="nil"/>
              <w:left w:val="nil"/>
              <w:bottom w:val="single" w:sz="4" w:space="0" w:color="5B9BD5" w:themeColor="accent1"/>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744,5</w:t>
            </w:r>
          </w:p>
        </w:tc>
        <w:tc>
          <w:tcPr>
            <w:tcW w:w="1284" w:type="dxa"/>
            <w:tcBorders>
              <w:top w:val="nil"/>
              <w:left w:val="nil"/>
              <w:bottom w:val="single" w:sz="4" w:space="0" w:color="5B9BD5" w:themeColor="accent1"/>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1 771,4</w:t>
            </w:r>
          </w:p>
        </w:tc>
        <w:tc>
          <w:tcPr>
            <w:tcW w:w="992" w:type="dxa"/>
            <w:tcBorders>
              <w:top w:val="nil"/>
              <w:left w:val="nil"/>
              <w:bottom w:val="single" w:sz="4" w:space="0" w:color="5B9BD5" w:themeColor="accent1"/>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0,7</w:t>
            </w:r>
          </w:p>
        </w:tc>
        <w:tc>
          <w:tcPr>
            <w:tcW w:w="992" w:type="dxa"/>
            <w:tcBorders>
              <w:top w:val="nil"/>
              <w:left w:val="nil"/>
              <w:bottom w:val="single" w:sz="4" w:space="0" w:color="5B9BD5" w:themeColor="accent1"/>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25,5</w:t>
            </w:r>
          </w:p>
        </w:tc>
        <w:tc>
          <w:tcPr>
            <w:tcW w:w="992" w:type="dxa"/>
            <w:tcBorders>
              <w:top w:val="nil"/>
              <w:left w:val="nil"/>
              <w:bottom w:val="single" w:sz="4" w:space="0" w:color="5B9BD5" w:themeColor="accent1"/>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1 973,0</w:t>
            </w:r>
          </w:p>
        </w:tc>
        <w:tc>
          <w:tcPr>
            <w:tcW w:w="993" w:type="dxa"/>
            <w:tcBorders>
              <w:top w:val="nil"/>
              <w:left w:val="nil"/>
              <w:bottom w:val="single" w:sz="4" w:space="0" w:color="5B9BD5" w:themeColor="accent1"/>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-227,8</w:t>
            </w:r>
          </w:p>
        </w:tc>
      </w:tr>
      <w:tr w:rsidR="00B55CAC" w:rsidRPr="002B6124" w:rsidTr="002B6124">
        <w:trPr>
          <w:trHeight w:val="236"/>
        </w:trPr>
        <w:tc>
          <w:tcPr>
            <w:tcW w:w="14909" w:type="dxa"/>
            <w:gridSpan w:val="13"/>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55CAC" w:rsidRPr="002B6124" w:rsidRDefault="00B55CAC" w:rsidP="00B55CAC">
            <w:pPr>
              <w:jc w:val="center"/>
              <w:rPr>
                <w:rFonts w:asciiTheme="minorHAnsi" w:hAnsiTheme="minorHAnsi" w:cstheme="minorHAnsi"/>
                <w:color w:val="000000"/>
                <w:sz w:val="10"/>
                <w:szCs w:val="10"/>
              </w:rPr>
            </w:pPr>
          </w:p>
        </w:tc>
      </w:tr>
      <w:tr w:rsidR="00B55CAC" w:rsidRPr="002B6124" w:rsidTr="00B55CAC">
        <w:trPr>
          <w:gridAfter w:val="1"/>
          <w:wAfter w:w="25" w:type="dxa"/>
          <w:trHeight w:val="283"/>
        </w:trPr>
        <w:tc>
          <w:tcPr>
            <w:tcW w:w="3119" w:type="dxa"/>
            <w:tcBorders>
              <w:top w:val="single" w:sz="4" w:space="0" w:color="5B9BD5" w:themeColor="accent1"/>
              <w:left w:val="single" w:sz="4" w:space="0" w:color="5B9BD5"/>
              <w:bottom w:val="single" w:sz="4" w:space="0" w:color="5B9BD5"/>
              <w:right w:val="single" w:sz="4" w:space="0" w:color="5B9BD5" w:themeColor="accent1"/>
            </w:tcBorders>
            <w:shd w:val="clear" w:color="000000" w:fill="BDD7EE"/>
            <w:vAlign w:val="center"/>
            <w:hideMark/>
          </w:tcPr>
          <w:p w:rsidR="00B55CAC" w:rsidRPr="002B6124" w:rsidRDefault="00B55CAC" w:rsidP="00B55CAC">
            <w:pPr>
              <w:rPr>
                <w:rFonts w:asciiTheme="minorHAnsi" w:hAnsiTheme="minorHAnsi" w:cstheme="minorHAnsi"/>
                <w:b/>
                <w:bCs/>
                <w:color w:val="000000"/>
                <w:sz w:val="18"/>
                <w:szCs w:val="18"/>
                <w:lang w:val="en-US"/>
              </w:rPr>
            </w:pPr>
            <w:r w:rsidRPr="002B6124">
              <w:rPr>
                <w:rFonts w:asciiTheme="minorHAnsi" w:hAnsiTheme="minorHAnsi" w:cstheme="minorHAnsi"/>
                <w:b/>
                <w:bCs/>
                <w:color w:val="000000"/>
                <w:sz w:val="18"/>
                <w:szCs w:val="18"/>
                <w:lang w:val="en-US"/>
              </w:rPr>
              <w:t>Net acquisition of financial liabilities</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000000" w:fill="BDD7EE"/>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2 866,5</w:t>
            </w:r>
          </w:p>
        </w:tc>
        <w:tc>
          <w:tcPr>
            <w:tcW w:w="1276" w:type="dxa"/>
            <w:tcBorders>
              <w:top w:val="single" w:sz="4" w:space="0" w:color="5B9BD5" w:themeColor="accent1"/>
              <w:left w:val="single" w:sz="4" w:space="0" w:color="5B9BD5" w:themeColor="accent1"/>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9 102,0</w:t>
            </w:r>
          </w:p>
        </w:tc>
        <w:tc>
          <w:tcPr>
            <w:tcW w:w="982" w:type="dxa"/>
            <w:tcBorders>
              <w:top w:val="single" w:sz="4" w:space="0" w:color="5B9BD5" w:themeColor="accent1"/>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2 309,1</w:t>
            </w:r>
          </w:p>
        </w:tc>
        <w:tc>
          <w:tcPr>
            <w:tcW w:w="994" w:type="dxa"/>
            <w:tcBorders>
              <w:top w:val="single" w:sz="4" w:space="0" w:color="5B9BD5" w:themeColor="accent1"/>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1 968,3</w:t>
            </w:r>
          </w:p>
        </w:tc>
        <w:tc>
          <w:tcPr>
            <w:tcW w:w="992" w:type="dxa"/>
            <w:tcBorders>
              <w:top w:val="single" w:sz="4" w:space="0" w:color="5B9BD5" w:themeColor="accent1"/>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1 052,6</w:t>
            </w:r>
          </w:p>
        </w:tc>
        <w:tc>
          <w:tcPr>
            <w:tcW w:w="993" w:type="dxa"/>
            <w:tcBorders>
              <w:top w:val="single" w:sz="4" w:space="0" w:color="5B9BD5" w:themeColor="accent1"/>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3 772,0</w:t>
            </w:r>
          </w:p>
        </w:tc>
        <w:tc>
          <w:tcPr>
            <w:tcW w:w="1284" w:type="dxa"/>
            <w:tcBorders>
              <w:top w:val="single" w:sz="4" w:space="0" w:color="5B9BD5" w:themeColor="accent1"/>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11 052,8</w:t>
            </w:r>
          </w:p>
        </w:tc>
        <w:tc>
          <w:tcPr>
            <w:tcW w:w="992" w:type="dxa"/>
            <w:tcBorders>
              <w:top w:val="single" w:sz="4" w:space="0" w:color="5B9BD5" w:themeColor="accent1"/>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1 967,5</w:t>
            </w:r>
          </w:p>
        </w:tc>
        <w:tc>
          <w:tcPr>
            <w:tcW w:w="992" w:type="dxa"/>
            <w:tcBorders>
              <w:top w:val="single" w:sz="4" w:space="0" w:color="5B9BD5" w:themeColor="accent1"/>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2 171,1</w:t>
            </w:r>
          </w:p>
        </w:tc>
        <w:tc>
          <w:tcPr>
            <w:tcW w:w="992" w:type="dxa"/>
            <w:tcBorders>
              <w:top w:val="single" w:sz="4" w:space="0" w:color="5B9BD5" w:themeColor="accent1"/>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1 903,3</w:t>
            </w:r>
          </w:p>
        </w:tc>
        <w:tc>
          <w:tcPr>
            <w:tcW w:w="993" w:type="dxa"/>
            <w:tcBorders>
              <w:top w:val="single" w:sz="4" w:space="0" w:color="5B9BD5" w:themeColor="accent1"/>
              <w:left w:val="nil"/>
              <w:bottom w:val="single" w:sz="4" w:space="0" w:color="5B9BD5"/>
              <w:right w:val="single" w:sz="4" w:space="0" w:color="5B9BD5"/>
            </w:tcBorders>
            <w:shd w:val="clear" w:color="000000" w:fill="BDD7EE"/>
            <w:noWrap/>
            <w:vAlign w:val="center"/>
          </w:tcPr>
          <w:p w:rsidR="00B55CAC" w:rsidRPr="002B6124" w:rsidRDefault="00B55CAC" w:rsidP="00B55CAC">
            <w:pPr>
              <w:jc w:val="center"/>
              <w:rPr>
                <w:rFonts w:asciiTheme="minorHAnsi" w:hAnsiTheme="minorHAnsi" w:cstheme="minorHAnsi"/>
                <w:b/>
                <w:bCs/>
                <w:color w:val="000000"/>
                <w:sz w:val="18"/>
                <w:szCs w:val="18"/>
              </w:rPr>
            </w:pPr>
            <w:r w:rsidRPr="002B6124">
              <w:rPr>
                <w:rFonts w:asciiTheme="minorHAnsi" w:hAnsiTheme="minorHAnsi" w:cstheme="minorHAnsi"/>
                <w:b/>
                <w:bCs/>
                <w:color w:val="000000"/>
                <w:sz w:val="18"/>
                <w:szCs w:val="18"/>
              </w:rPr>
              <w:t>5 010,9</w:t>
            </w:r>
          </w:p>
        </w:tc>
      </w:tr>
      <w:tr w:rsidR="00B55CAC" w:rsidRPr="002B6124" w:rsidTr="00B55CAC">
        <w:trPr>
          <w:gridAfter w:val="1"/>
          <w:wAfter w:w="25" w:type="dxa"/>
          <w:trHeight w:val="283"/>
        </w:trPr>
        <w:tc>
          <w:tcPr>
            <w:tcW w:w="3119" w:type="dxa"/>
            <w:tcBorders>
              <w:top w:val="nil"/>
              <w:left w:val="single" w:sz="4" w:space="0" w:color="5B9BD5"/>
              <w:bottom w:val="single" w:sz="4" w:space="0" w:color="5B9BD5"/>
              <w:right w:val="single" w:sz="4" w:space="0" w:color="5B9BD5" w:themeColor="accent1"/>
            </w:tcBorders>
            <w:shd w:val="clear" w:color="auto" w:fill="auto"/>
            <w:noWrap/>
            <w:vAlign w:val="center"/>
            <w:hideMark/>
          </w:tcPr>
          <w:p w:rsidR="00B55CAC" w:rsidRPr="002B6124" w:rsidRDefault="00B55CAC" w:rsidP="00B55CAC">
            <w:pPr>
              <w:rPr>
                <w:rFonts w:asciiTheme="minorHAnsi" w:hAnsiTheme="minorHAnsi" w:cstheme="minorHAnsi"/>
                <w:color w:val="000000"/>
                <w:sz w:val="18"/>
                <w:szCs w:val="18"/>
              </w:rPr>
            </w:pPr>
            <w:r w:rsidRPr="002B6124">
              <w:rPr>
                <w:rFonts w:asciiTheme="minorHAnsi" w:hAnsiTheme="minorHAnsi" w:cstheme="minorHAnsi"/>
                <w:color w:val="000000"/>
                <w:sz w:val="18"/>
                <w:szCs w:val="18"/>
              </w:rPr>
              <w:t>Direct investment from abroad</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624,7</w:t>
            </w:r>
          </w:p>
        </w:tc>
        <w:tc>
          <w:tcPr>
            <w:tcW w:w="1276" w:type="dxa"/>
            <w:tcBorders>
              <w:top w:val="nil"/>
              <w:left w:val="single" w:sz="4" w:space="0" w:color="5B9BD5" w:themeColor="accent1"/>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2 316,5</w:t>
            </w:r>
          </w:p>
        </w:tc>
        <w:tc>
          <w:tcPr>
            <w:tcW w:w="98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221,3</w:t>
            </w:r>
          </w:p>
        </w:tc>
        <w:tc>
          <w:tcPr>
            <w:tcW w:w="99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832,1</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448,9</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814,2</w:t>
            </w:r>
          </w:p>
        </w:tc>
        <w:tc>
          <w:tcPr>
            <w:tcW w:w="128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1 725,7</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267,1</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478,1</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369,7</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610,8</w:t>
            </w:r>
          </w:p>
        </w:tc>
      </w:tr>
      <w:tr w:rsidR="00B55CAC" w:rsidRPr="002B6124" w:rsidTr="00B55CAC">
        <w:trPr>
          <w:gridAfter w:val="1"/>
          <w:wAfter w:w="25" w:type="dxa"/>
          <w:trHeight w:val="283"/>
        </w:trPr>
        <w:tc>
          <w:tcPr>
            <w:tcW w:w="3119" w:type="dxa"/>
            <w:tcBorders>
              <w:top w:val="nil"/>
              <w:left w:val="single" w:sz="4" w:space="0" w:color="5B9BD5"/>
              <w:bottom w:val="single" w:sz="4" w:space="0" w:color="5B9BD5"/>
              <w:right w:val="single" w:sz="4" w:space="0" w:color="5B9BD5" w:themeColor="accent1"/>
            </w:tcBorders>
            <w:shd w:val="clear" w:color="auto" w:fill="auto"/>
            <w:noWrap/>
            <w:vAlign w:val="center"/>
            <w:hideMark/>
          </w:tcPr>
          <w:p w:rsidR="00B55CAC" w:rsidRPr="002B6124" w:rsidRDefault="00B55CAC" w:rsidP="00B55CAC">
            <w:pPr>
              <w:rPr>
                <w:rFonts w:asciiTheme="minorHAnsi" w:hAnsiTheme="minorHAnsi" w:cstheme="minorHAnsi"/>
                <w:color w:val="000000"/>
                <w:sz w:val="18"/>
                <w:szCs w:val="18"/>
              </w:rPr>
            </w:pPr>
            <w:r w:rsidRPr="002B6124">
              <w:rPr>
                <w:rFonts w:asciiTheme="minorHAnsi" w:hAnsiTheme="minorHAnsi" w:cstheme="minorHAnsi"/>
                <w:color w:val="000000"/>
                <w:sz w:val="18"/>
                <w:szCs w:val="18"/>
              </w:rPr>
              <w:t>Portfolio investment</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13,0</w:t>
            </w:r>
          </w:p>
        </w:tc>
        <w:tc>
          <w:tcPr>
            <w:tcW w:w="1276" w:type="dxa"/>
            <w:tcBorders>
              <w:top w:val="nil"/>
              <w:left w:val="single" w:sz="4" w:space="0" w:color="5B9BD5" w:themeColor="accent1"/>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1 345,7</w:t>
            </w:r>
          </w:p>
        </w:tc>
        <w:tc>
          <w:tcPr>
            <w:tcW w:w="98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1 009,7</w:t>
            </w:r>
          </w:p>
        </w:tc>
        <w:tc>
          <w:tcPr>
            <w:tcW w:w="99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25,5</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-8,9</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319,5</w:t>
            </w:r>
          </w:p>
        </w:tc>
        <w:tc>
          <w:tcPr>
            <w:tcW w:w="128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1 389,4</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1,4</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11,2</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-4,1</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1 380,9</w:t>
            </w:r>
          </w:p>
        </w:tc>
      </w:tr>
      <w:tr w:rsidR="00B55CAC" w:rsidRPr="002B6124" w:rsidTr="00B55CAC">
        <w:trPr>
          <w:gridAfter w:val="1"/>
          <w:wAfter w:w="25" w:type="dxa"/>
          <w:trHeight w:val="283"/>
        </w:trPr>
        <w:tc>
          <w:tcPr>
            <w:tcW w:w="3119" w:type="dxa"/>
            <w:tcBorders>
              <w:top w:val="nil"/>
              <w:left w:val="single" w:sz="4" w:space="0" w:color="5B9BD5"/>
              <w:bottom w:val="single" w:sz="4" w:space="0" w:color="5B9BD5"/>
              <w:right w:val="single" w:sz="4" w:space="0" w:color="5B9BD5" w:themeColor="accent1"/>
            </w:tcBorders>
            <w:shd w:val="clear" w:color="auto" w:fill="auto"/>
            <w:noWrap/>
            <w:vAlign w:val="center"/>
            <w:hideMark/>
          </w:tcPr>
          <w:p w:rsidR="00B55CAC" w:rsidRPr="002B6124" w:rsidRDefault="00B55CAC" w:rsidP="00B55CAC">
            <w:pPr>
              <w:rPr>
                <w:rFonts w:asciiTheme="minorHAnsi" w:hAnsiTheme="minorHAnsi" w:cstheme="minorHAnsi"/>
                <w:color w:val="000000"/>
                <w:sz w:val="18"/>
                <w:szCs w:val="18"/>
              </w:rPr>
            </w:pPr>
            <w:r w:rsidRPr="002B6124">
              <w:rPr>
                <w:rFonts w:asciiTheme="minorHAnsi" w:hAnsiTheme="minorHAnsi" w:cstheme="minorHAnsi"/>
                <w:color w:val="000000"/>
                <w:sz w:val="18"/>
                <w:szCs w:val="18"/>
              </w:rPr>
              <w:t>Financial derivatives</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-1,3</w:t>
            </w:r>
          </w:p>
        </w:tc>
        <w:tc>
          <w:tcPr>
            <w:tcW w:w="1276" w:type="dxa"/>
            <w:tcBorders>
              <w:top w:val="nil"/>
              <w:left w:val="single" w:sz="4" w:space="0" w:color="5B9BD5" w:themeColor="accent1"/>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-4,3</w:t>
            </w:r>
          </w:p>
        </w:tc>
        <w:tc>
          <w:tcPr>
            <w:tcW w:w="98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-0,4</w:t>
            </w:r>
          </w:p>
        </w:tc>
        <w:tc>
          <w:tcPr>
            <w:tcW w:w="99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-1,7</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-0,3</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-1,8</w:t>
            </w:r>
          </w:p>
        </w:tc>
        <w:tc>
          <w:tcPr>
            <w:tcW w:w="128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-6,4</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-0,3</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-1,7</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-1,1</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-3,2</w:t>
            </w:r>
          </w:p>
        </w:tc>
      </w:tr>
      <w:tr w:rsidR="00B55CAC" w:rsidRPr="002B6124" w:rsidTr="00B55CAC">
        <w:trPr>
          <w:gridAfter w:val="1"/>
          <w:wAfter w:w="25" w:type="dxa"/>
          <w:trHeight w:val="283"/>
        </w:trPr>
        <w:tc>
          <w:tcPr>
            <w:tcW w:w="3119" w:type="dxa"/>
            <w:tcBorders>
              <w:top w:val="nil"/>
              <w:left w:val="single" w:sz="4" w:space="0" w:color="5B9BD5"/>
              <w:bottom w:val="single" w:sz="4" w:space="0" w:color="5B9BD5"/>
              <w:right w:val="single" w:sz="4" w:space="0" w:color="5B9BD5" w:themeColor="accent1"/>
            </w:tcBorders>
            <w:shd w:val="clear" w:color="auto" w:fill="auto"/>
            <w:noWrap/>
            <w:vAlign w:val="center"/>
            <w:hideMark/>
          </w:tcPr>
          <w:p w:rsidR="00B55CAC" w:rsidRPr="002B6124" w:rsidRDefault="00B55CAC" w:rsidP="00B55CAC">
            <w:pPr>
              <w:rPr>
                <w:rFonts w:asciiTheme="minorHAnsi" w:hAnsiTheme="minorHAnsi" w:cstheme="minorHAnsi"/>
                <w:color w:val="000000"/>
                <w:sz w:val="18"/>
                <w:szCs w:val="18"/>
              </w:rPr>
            </w:pPr>
            <w:r w:rsidRPr="002B6124">
              <w:rPr>
                <w:rFonts w:asciiTheme="minorHAnsi" w:hAnsiTheme="minorHAnsi" w:cstheme="minorHAnsi"/>
                <w:color w:val="000000"/>
                <w:sz w:val="18"/>
                <w:szCs w:val="18"/>
              </w:rPr>
              <w:t>Other investments</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2 230,1</w:t>
            </w:r>
          </w:p>
        </w:tc>
        <w:tc>
          <w:tcPr>
            <w:tcW w:w="1276" w:type="dxa"/>
            <w:tcBorders>
              <w:top w:val="nil"/>
              <w:left w:val="single" w:sz="4" w:space="0" w:color="5B9BD5" w:themeColor="accent1"/>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5 444,0</w:t>
            </w:r>
          </w:p>
        </w:tc>
        <w:tc>
          <w:tcPr>
            <w:tcW w:w="98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1 078,6</w:t>
            </w:r>
          </w:p>
        </w:tc>
        <w:tc>
          <w:tcPr>
            <w:tcW w:w="99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1 112,5</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612,9</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2 640,1</w:t>
            </w:r>
          </w:p>
        </w:tc>
        <w:tc>
          <w:tcPr>
            <w:tcW w:w="128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7 944,1</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1 699,3</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1 683,6</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1 538,8</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3 022,4</w:t>
            </w:r>
          </w:p>
        </w:tc>
      </w:tr>
      <w:tr w:rsidR="00B55CAC" w:rsidRPr="002B6124" w:rsidTr="002B6124">
        <w:trPr>
          <w:gridAfter w:val="1"/>
          <w:wAfter w:w="25" w:type="dxa"/>
          <w:trHeight w:val="232"/>
        </w:trPr>
        <w:tc>
          <w:tcPr>
            <w:tcW w:w="3119" w:type="dxa"/>
            <w:tcBorders>
              <w:top w:val="nil"/>
              <w:left w:val="single" w:sz="4" w:space="0" w:color="5B9BD5"/>
              <w:bottom w:val="single" w:sz="4" w:space="0" w:color="5B9BD5"/>
              <w:right w:val="single" w:sz="4" w:space="0" w:color="5B9BD5"/>
            </w:tcBorders>
            <w:shd w:val="clear" w:color="auto" w:fill="auto"/>
            <w:vAlign w:val="center"/>
            <w:hideMark/>
          </w:tcPr>
          <w:p w:rsidR="00B55CAC" w:rsidRPr="002B6124" w:rsidRDefault="00B55CAC" w:rsidP="00B55CAC">
            <w:pPr>
              <w:ind w:left="175"/>
              <w:rPr>
                <w:rFonts w:asciiTheme="minorHAnsi" w:hAnsiTheme="minorHAnsi" w:cstheme="minorHAnsi"/>
                <w:color w:val="000000"/>
                <w:sz w:val="18"/>
                <w:szCs w:val="18"/>
              </w:rPr>
            </w:pPr>
            <w:r w:rsidRPr="002B6124">
              <w:rPr>
                <w:rFonts w:asciiTheme="minorHAnsi" w:hAnsiTheme="minorHAnsi" w:cstheme="minorHAnsi"/>
                <w:i/>
                <w:iCs/>
                <w:color w:val="000000"/>
                <w:sz w:val="18"/>
                <w:szCs w:val="18"/>
              </w:rPr>
              <w:t xml:space="preserve">of which </w:t>
            </w:r>
          </w:p>
        </w:tc>
        <w:tc>
          <w:tcPr>
            <w:tcW w:w="1275" w:type="dxa"/>
            <w:tcBorders>
              <w:top w:val="nil"/>
              <w:left w:val="single" w:sz="4" w:space="0" w:color="5B9BD5"/>
              <w:bottom w:val="single" w:sz="4" w:space="0" w:color="5B9BD5"/>
              <w:right w:val="single" w:sz="4" w:space="0" w:color="5B9BD5"/>
            </w:tcBorders>
            <w:shd w:val="clear" w:color="auto" w:fill="auto"/>
            <w:vAlign w:val="center"/>
          </w:tcPr>
          <w:p w:rsidR="00B55CAC" w:rsidRPr="002B6124" w:rsidRDefault="00B55CAC" w:rsidP="00B55CAC">
            <w:pPr>
              <w:jc w:val="center"/>
              <w:rPr>
                <w:rFonts w:asciiTheme="minorHAnsi" w:hAnsiTheme="minorHAnsi" w:cstheme="minorHAnsi"/>
                <w:color w:val="000000"/>
                <w:sz w:val="18"/>
                <w:szCs w:val="18"/>
              </w:rPr>
            </w:pPr>
          </w:p>
        </w:tc>
        <w:tc>
          <w:tcPr>
            <w:tcW w:w="1276" w:type="dxa"/>
            <w:tcBorders>
              <w:top w:val="nil"/>
              <w:left w:val="single" w:sz="4" w:space="0" w:color="5B9BD5"/>
              <w:bottom w:val="single" w:sz="4" w:space="0" w:color="5B9BD5"/>
              <w:right w:val="single" w:sz="4" w:space="0" w:color="5B9BD5"/>
            </w:tcBorders>
            <w:shd w:val="clear" w:color="auto" w:fill="auto"/>
            <w:vAlign w:val="center"/>
          </w:tcPr>
          <w:p w:rsidR="00B55CAC" w:rsidRPr="002B6124" w:rsidRDefault="00B55CAC" w:rsidP="00B55CAC">
            <w:pPr>
              <w:jc w:val="center"/>
              <w:rPr>
                <w:rFonts w:asciiTheme="minorHAnsi" w:hAnsiTheme="minorHAnsi" w:cstheme="minorHAnsi"/>
                <w:color w:val="000000"/>
                <w:sz w:val="18"/>
                <w:szCs w:val="18"/>
              </w:rPr>
            </w:pPr>
          </w:p>
        </w:tc>
        <w:tc>
          <w:tcPr>
            <w:tcW w:w="982" w:type="dxa"/>
            <w:tcBorders>
              <w:top w:val="nil"/>
              <w:left w:val="single" w:sz="4" w:space="0" w:color="5B9BD5"/>
              <w:bottom w:val="single" w:sz="4" w:space="0" w:color="5B9BD5"/>
              <w:right w:val="single" w:sz="4" w:space="0" w:color="5B9BD5"/>
            </w:tcBorders>
            <w:shd w:val="clear" w:color="auto" w:fill="auto"/>
            <w:vAlign w:val="center"/>
          </w:tcPr>
          <w:p w:rsidR="00B55CAC" w:rsidRPr="002B6124" w:rsidRDefault="00B55CAC" w:rsidP="00B55CAC">
            <w:pPr>
              <w:jc w:val="center"/>
              <w:rPr>
                <w:rFonts w:asciiTheme="minorHAnsi" w:hAnsiTheme="minorHAnsi" w:cstheme="minorHAnsi"/>
                <w:color w:val="000000"/>
                <w:sz w:val="18"/>
                <w:szCs w:val="18"/>
              </w:rPr>
            </w:pPr>
          </w:p>
        </w:tc>
        <w:tc>
          <w:tcPr>
            <w:tcW w:w="994" w:type="dxa"/>
            <w:tcBorders>
              <w:top w:val="nil"/>
              <w:left w:val="single" w:sz="4" w:space="0" w:color="5B9BD5"/>
              <w:bottom w:val="single" w:sz="4" w:space="0" w:color="5B9BD5"/>
              <w:right w:val="single" w:sz="4" w:space="0" w:color="5B9BD5"/>
            </w:tcBorders>
            <w:shd w:val="clear" w:color="auto" w:fill="auto"/>
            <w:vAlign w:val="center"/>
          </w:tcPr>
          <w:p w:rsidR="00B55CAC" w:rsidRPr="002B6124" w:rsidRDefault="00B55CAC" w:rsidP="00B55CAC">
            <w:pPr>
              <w:jc w:val="center"/>
              <w:rPr>
                <w:rFonts w:asciiTheme="minorHAnsi" w:hAnsiTheme="minorHAnsi" w:cstheme="minorHAnsi"/>
                <w:color w:val="000000"/>
                <w:sz w:val="18"/>
                <w:szCs w:val="18"/>
              </w:rPr>
            </w:pPr>
          </w:p>
        </w:tc>
        <w:tc>
          <w:tcPr>
            <w:tcW w:w="992" w:type="dxa"/>
            <w:tcBorders>
              <w:top w:val="nil"/>
              <w:left w:val="single" w:sz="4" w:space="0" w:color="5B9BD5"/>
              <w:bottom w:val="single" w:sz="4" w:space="0" w:color="5B9BD5"/>
              <w:right w:val="single" w:sz="4" w:space="0" w:color="5B9BD5"/>
            </w:tcBorders>
            <w:shd w:val="clear" w:color="auto" w:fill="auto"/>
            <w:vAlign w:val="center"/>
          </w:tcPr>
          <w:p w:rsidR="00B55CAC" w:rsidRPr="002B6124" w:rsidRDefault="00B55CAC" w:rsidP="00B55CAC">
            <w:pPr>
              <w:jc w:val="center"/>
              <w:rPr>
                <w:rFonts w:asciiTheme="minorHAnsi" w:hAnsiTheme="minorHAnsi" w:cstheme="minorHAnsi"/>
                <w:color w:val="000000"/>
                <w:sz w:val="18"/>
                <w:szCs w:val="18"/>
              </w:rPr>
            </w:pPr>
          </w:p>
        </w:tc>
        <w:tc>
          <w:tcPr>
            <w:tcW w:w="993" w:type="dxa"/>
            <w:tcBorders>
              <w:top w:val="nil"/>
              <w:left w:val="single" w:sz="4" w:space="0" w:color="5B9BD5"/>
              <w:bottom w:val="single" w:sz="4" w:space="0" w:color="5B9BD5"/>
              <w:right w:val="single" w:sz="4" w:space="0" w:color="5B9BD5"/>
            </w:tcBorders>
            <w:shd w:val="clear" w:color="auto" w:fill="auto"/>
            <w:vAlign w:val="center"/>
          </w:tcPr>
          <w:p w:rsidR="00B55CAC" w:rsidRPr="002B6124" w:rsidRDefault="00B55CAC" w:rsidP="00B55CAC">
            <w:pPr>
              <w:jc w:val="center"/>
              <w:rPr>
                <w:rFonts w:asciiTheme="minorHAnsi" w:hAnsiTheme="minorHAnsi" w:cstheme="minorHAnsi"/>
                <w:color w:val="000000"/>
                <w:sz w:val="18"/>
                <w:szCs w:val="18"/>
              </w:rPr>
            </w:pPr>
          </w:p>
        </w:tc>
        <w:tc>
          <w:tcPr>
            <w:tcW w:w="1284" w:type="dxa"/>
            <w:tcBorders>
              <w:top w:val="nil"/>
              <w:left w:val="single" w:sz="4" w:space="0" w:color="5B9BD5"/>
              <w:bottom w:val="single" w:sz="4" w:space="0" w:color="5B9BD5"/>
              <w:right w:val="single" w:sz="4" w:space="0" w:color="5B9BD5"/>
            </w:tcBorders>
            <w:shd w:val="clear" w:color="auto" w:fill="auto"/>
            <w:vAlign w:val="center"/>
          </w:tcPr>
          <w:p w:rsidR="00B55CAC" w:rsidRPr="002B6124" w:rsidRDefault="00B55CAC" w:rsidP="00B55CAC">
            <w:pPr>
              <w:jc w:val="center"/>
              <w:rPr>
                <w:rFonts w:asciiTheme="minorHAnsi" w:hAnsiTheme="minorHAnsi" w:cstheme="minorHAnsi"/>
                <w:color w:val="000000"/>
                <w:sz w:val="18"/>
                <w:szCs w:val="18"/>
              </w:rPr>
            </w:pPr>
          </w:p>
        </w:tc>
        <w:tc>
          <w:tcPr>
            <w:tcW w:w="992" w:type="dxa"/>
            <w:tcBorders>
              <w:top w:val="nil"/>
              <w:left w:val="single" w:sz="4" w:space="0" w:color="5B9BD5"/>
              <w:bottom w:val="single" w:sz="4" w:space="0" w:color="5B9BD5"/>
              <w:right w:val="single" w:sz="4" w:space="0" w:color="5B9BD5"/>
            </w:tcBorders>
            <w:shd w:val="clear" w:color="auto" w:fill="auto"/>
            <w:vAlign w:val="center"/>
          </w:tcPr>
          <w:p w:rsidR="00B55CAC" w:rsidRPr="002B6124" w:rsidRDefault="00B55CAC" w:rsidP="00B55CAC">
            <w:pPr>
              <w:jc w:val="center"/>
              <w:rPr>
                <w:rFonts w:asciiTheme="minorHAnsi" w:hAnsiTheme="minorHAnsi" w:cstheme="minorHAnsi"/>
                <w:color w:val="000000"/>
                <w:sz w:val="18"/>
                <w:szCs w:val="18"/>
              </w:rPr>
            </w:pPr>
          </w:p>
        </w:tc>
        <w:tc>
          <w:tcPr>
            <w:tcW w:w="992" w:type="dxa"/>
            <w:tcBorders>
              <w:top w:val="nil"/>
              <w:left w:val="single" w:sz="4" w:space="0" w:color="5B9BD5"/>
              <w:bottom w:val="single" w:sz="4" w:space="0" w:color="5B9BD5"/>
              <w:right w:val="single" w:sz="4" w:space="0" w:color="5B9BD5"/>
            </w:tcBorders>
            <w:shd w:val="clear" w:color="auto" w:fill="auto"/>
            <w:vAlign w:val="center"/>
          </w:tcPr>
          <w:p w:rsidR="00B55CAC" w:rsidRPr="002B6124" w:rsidRDefault="00B55CAC" w:rsidP="00B55CAC">
            <w:pPr>
              <w:jc w:val="center"/>
              <w:rPr>
                <w:rFonts w:asciiTheme="minorHAnsi" w:hAnsiTheme="minorHAnsi" w:cstheme="minorHAnsi"/>
                <w:color w:val="000000"/>
                <w:sz w:val="18"/>
                <w:szCs w:val="18"/>
              </w:rPr>
            </w:pPr>
          </w:p>
        </w:tc>
        <w:tc>
          <w:tcPr>
            <w:tcW w:w="992" w:type="dxa"/>
            <w:tcBorders>
              <w:top w:val="nil"/>
              <w:left w:val="single" w:sz="4" w:space="0" w:color="5B9BD5"/>
              <w:bottom w:val="single" w:sz="4" w:space="0" w:color="5B9BD5"/>
              <w:right w:val="single" w:sz="4" w:space="0" w:color="5B9BD5"/>
            </w:tcBorders>
            <w:shd w:val="clear" w:color="auto" w:fill="auto"/>
            <w:vAlign w:val="center"/>
          </w:tcPr>
          <w:p w:rsidR="00B55CAC" w:rsidRPr="002B6124" w:rsidRDefault="00B55CAC" w:rsidP="00B55CAC">
            <w:pPr>
              <w:jc w:val="center"/>
              <w:rPr>
                <w:rFonts w:asciiTheme="minorHAnsi" w:hAnsiTheme="minorHAnsi" w:cstheme="minorHAnsi"/>
                <w:color w:val="000000"/>
                <w:sz w:val="18"/>
                <w:szCs w:val="18"/>
              </w:rPr>
            </w:pPr>
          </w:p>
        </w:tc>
        <w:tc>
          <w:tcPr>
            <w:tcW w:w="993" w:type="dxa"/>
            <w:tcBorders>
              <w:top w:val="nil"/>
              <w:left w:val="single" w:sz="4" w:space="0" w:color="5B9BD5"/>
              <w:bottom w:val="single" w:sz="4" w:space="0" w:color="5B9BD5"/>
              <w:right w:val="single" w:sz="4" w:space="0" w:color="5B9BD5"/>
            </w:tcBorders>
            <w:shd w:val="clear" w:color="auto" w:fill="auto"/>
            <w:vAlign w:val="center"/>
          </w:tcPr>
          <w:p w:rsidR="00B55CAC" w:rsidRPr="002B6124" w:rsidRDefault="00B55CAC" w:rsidP="00B55CAC">
            <w:pPr>
              <w:jc w:val="center"/>
              <w:rPr>
                <w:rFonts w:asciiTheme="minorHAnsi" w:hAnsiTheme="minorHAnsi" w:cstheme="minorHAnsi"/>
                <w:color w:val="000000"/>
                <w:sz w:val="18"/>
                <w:szCs w:val="18"/>
              </w:rPr>
            </w:pPr>
          </w:p>
        </w:tc>
      </w:tr>
      <w:tr w:rsidR="00B55CAC" w:rsidRPr="002B6124" w:rsidTr="00B55CAC">
        <w:trPr>
          <w:gridAfter w:val="1"/>
          <w:wAfter w:w="25" w:type="dxa"/>
          <w:trHeight w:val="283"/>
        </w:trPr>
        <w:tc>
          <w:tcPr>
            <w:tcW w:w="3119" w:type="dxa"/>
            <w:tcBorders>
              <w:top w:val="nil"/>
              <w:left w:val="single" w:sz="4" w:space="0" w:color="5B9BD5"/>
              <w:bottom w:val="single" w:sz="4" w:space="0" w:color="5B9BD5"/>
              <w:right w:val="single" w:sz="4" w:space="0" w:color="5B9BD5" w:themeColor="accent1"/>
            </w:tcBorders>
            <w:shd w:val="clear" w:color="auto" w:fill="auto"/>
            <w:vAlign w:val="center"/>
            <w:hideMark/>
          </w:tcPr>
          <w:p w:rsidR="00B55CAC" w:rsidRPr="002B6124" w:rsidRDefault="00B55CAC" w:rsidP="00B55CAC">
            <w:pPr>
              <w:ind w:firstLineChars="200" w:firstLine="360"/>
              <w:rPr>
                <w:rFonts w:asciiTheme="minorHAnsi" w:hAnsiTheme="minorHAnsi" w:cstheme="minorHAnsi"/>
                <w:i/>
                <w:iCs/>
                <w:color w:val="000000"/>
                <w:sz w:val="18"/>
                <w:szCs w:val="18"/>
              </w:rPr>
            </w:pPr>
            <w:r w:rsidRPr="002B6124">
              <w:rPr>
                <w:rFonts w:asciiTheme="minorHAnsi" w:hAnsiTheme="minorHAnsi" w:cstheme="minorHAnsi"/>
                <w:i/>
                <w:iCs/>
                <w:color w:val="000000"/>
                <w:sz w:val="18"/>
                <w:szCs w:val="18"/>
              </w:rPr>
              <w:t>loans</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2 050,7</w:t>
            </w:r>
          </w:p>
        </w:tc>
        <w:tc>
          <w:tcPr>
            <w:tcW w:w="1276" w:type="dxa"/>
            <w:tcBorders>
              <w:top w:val="nil"/>
              <w:left w:val="single" w:sz="4" w:space="0" w:color="5B9BD5" w:themeColor="accent1"/>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5 866,9</w:t>
            </w:r>
          </w:p>
        </w:tc>
        <w:tc>
          <w:tcPr>
            <w:tcW w:w="98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927,7</w:t>
            </w:r>
          </w:p>
        </w:tc>
        <w:tc>
          <w:tcPr>
            <w:tcW w:w="99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1 577,8</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715,9</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2 645,4</w:t>
            </w:r>
          </w:p>
        </w:tc>
        <w:tc>
          <w:tcPr>
            <w:tcW w:w="128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7 081,2</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1 224,8</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1 823,9</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1 318,7</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2 713,8</w:t>
            </w:r>
          </w:p>
        </w:tc>
      </w:tr>
      <w:tr w:rsidR="00B55CAC" w:rsidRPr="002B6124" w:rsidTr="00B55CAC">
        <w:trPr>
          <w:gridAfter w:val="1"/>
          <w:wAfter w:w="25" w:type="dxa"/>
          <w:trHeight w:val="283"/>
        </w:trPr>
        <w:tc>
          <w:tcPr>
            <w:tcW w:w="3119" w:type="dxa"/>
            <w:tcBorders>
              <w:top w:val="nil"/>
              <w:left w:val="single" w:sz="4" w:space="0" w:color="5B9BD5"/>
              <w:bottom w:val="single" w:sz="4" w:space="0" w:color="5B9BD5"/>
              <w:right w:val="single" w:sz="4" w:space="0" w:color="5B9BD5" w:themeColor="accent1"/>
            </w:tcBorders>
            <w:shd w:val="clear" w:color="auto" w:fill="auto"/>
            <w:vAlign w:val="center"/>
            <w:hideMark/>
          </w:tcPr>
          <w:p w:rsidR="00B55CAC" w:rsidRPr="002B6124" w:rsidRDefault="00B55CAC" w:rsidP="00B55CAC">
            <w:pPr>
              <w:ind w:firstLineChars="200" w:firstLine="360"/>
              <w:rPr>
                <w:rFonts w:asciiTheme="minorHAnsi" w:hAnsiTheme="minorHAnsi" w:cstheme="minorHAnsi"/>
                <w:i/>
                <w:iCs/>
                <w:color w:val="000000"/>
                <w:sz w:val="18"/>
                <w:szCs w:val="18"/>
              </w:rPr>
            </w:pPr>
            <w:r w:rsidRPr="002B6124">
              <w:rPr>
                <w:rFonts w:asciiTheme="minorHAnsi" w:hAnsiTheme="minorHAnsi" w:cstheme="minorHAnsi"/>
                <w:i/>
                <w:iCs/>
                <w:color w:val="000000"/>
                <w:sz w:val="18"/>
                <w:szCs w:val="18"/>
              </w:rPr>
              <w:t>trade credits and advances</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331,0</w:t>
            </w:r>
          </w:p>
        </w:tc>
        <w:tc>
          <w:tcPr>
            <w:tcW w:w="1276" w:type="dxa"/>
            <w:tcBorders>
              <w:top w:val="nil"/>
              <w:left w:val="single" w:sz="4" w:space="0" w:color="5B9BD5" w:themeColor="accent1"/>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-560,8</w:t>
            </w:r>
          </w:p>
        </w:tc>
        <w:tc>
          <w:tcPr>
            <w:tcW w:w="98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117,2</w:t>
            </w:r>
          </w:p>
        </w:tc>
        <w:tc>
          <w:tcPr>
            <w:tcW w:w="99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-597,5</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-223,6</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143,0</w:t>
            </w:r>
          </w:p>
        </w:tc>
        <w:tc>
          <w:tcPr>
            <w:tcW w:w="128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568,5</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400,4</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-191,5</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135,5</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224,2</w:t>
            </w:r>
          </w:p>
        </w:tc>
      </w:tr>
      <w:tr w:rsidR="00B55CAC" w:rsidRPr="002B6124" w:rsidTr="00B55CAC">
        <w:trPr>
          <w:gridAfter w:val="1"/>
          <w:wAfter w:w="25" w:type="dxa"/>
          <w:trHeight w:val="283"/>
        </w:trPr>
        <w:tc>
          <w:tcPr>
            <w:tcW w:w="3119" w:type="dxa"/>
            <w:tcBorders>
              <w:top w:val="nil"/>
              <w:left w:val="single" w:sz="4" w:space="0" w:color="5B9BD5"/>
              <w:bottom w:val="single" w:sz="4" w:space="0" w:color="5B9BD5"/>
              <w:right w:val="single" w:sz="4" w:space="0" w:color="5B9BD5" w:themeColor="accent1"/>
            </w:tcBorders>
            <w:shd w:val="clear" w:color="auto" w:fill="auto"/>
            <w:vAlign w:val="center"/>
            <w:hideMark/>
          </w:tcPr>
          <w:p w:rsidR="00B55CAC" w:rsidRPr="002B6124" w:rsidRDefault="00B55CAC" w:rsidP="00B55CAC">
            <w:pPr>
              <w:ind w:firstLineChars="200" w:firstLine="360"/>
              <w:rPr>
                <w:rFonts w:asciiTheme="minorHAnsi" w:hAnsiTheme="minorHAnsi" w:cstheme="minorHAnsi"/>
                <w:i/>
                <w:iCs/>
                <w:color w:val="000000"/>
                <w:sz w:val="18"/>
                <w:szCs w:val="18"/>
              </w:rPr>
            </w:pPr>
            <w:r w:rsidRPr="002B6124">
              <w:rPr>
                <w:rFonts w:asciiTheme="minorHAnsi" w:hAnsiTheme="minorHAnsi" w:cstheme="minorHAnsi"/>
                <w:i/>
                <w:iCs/>
                <w:color w:val="000000"/>
                <w:sz w:val="18"/>
                <w:szCs w:val="18"/>
              </w:rPr>
              <w:t>other payables</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-148,7</w:t>
            </w:r>
          </w:p>
        </w:tc>
        <w:tc>
          <w:tcPr>
            <w:tcW w:w="1276" w:type="dxa"/>
            <w:tcBorders>
              <w:top w:val="nil"/>
              <w:left w:val="single" w:sz="4" w:space="0" w:color="5B9BD5" w:themeColor="accent1"/>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80,4</w:t>
            </w:r>
          </w:p>
        </w:tc>
        <w:tc>
          <w:tcPr>
            <w:tcW w:w="98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61,0</w:t>
            </w:r>
          </w:p>
        </w:tc>
        <w:tc>
          <w:tcPr>
            <w:tcW w:w="99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111,7</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94,7</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-187,0</w:t>
            </w:r>
          </w:p>
        </w:tc>
        <w:tc>
          <w:tcPr>
            <w:tcW w:w="1284"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93,4</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54,9</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30,6</w:t>
            </w:r>
          </w:p>
        </w:tc>
        <w:tc>
          <w:tcPr>
            <w:tcW w:w="992"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19,9</w:t>
            </w:r>
          </w:p>
        </w:tc>
        <w:tc>
          <w:tcPr>
            <w:tcW w:w="993" w:type="dxa"/>
            <w:tcBorders>
              <w:top w:val="nil"/>
              <w:left w:val="nil"/>
              <w:bottom w:val="single" w:sz="4" w:space="0" w:color="5B9BD5"/>
              <w:right w:val="single" w:sz="4" w:space="0" w:color="5B9BD5"/>
            </w:tcBorders>
            <w:shd w:val="clear" w:color="auto" w:fill="auto"/>
            <w:noWrap/>
            <w:vAlign w:val="center"/>
          </w:tcPr>
          <w:p w:rsidR="00B55CAC" w:rsidRPr="002B6124" w:rsidRDefault="00B55CAC" w:rsidP="00B55CAC">
            <w:pPr>
              <w:jc w:val="center"/>
              <w:rPr>
                <w:rFonts w:asciiTheme="minorHAnsi" w:hAnsiTheme="minorHAnsi" w:cstheme="minorHAnsi"/>
                <w:color w:val="000000"/>
                <w:sz w:val="18"/>
                <w:szCs w:val="18"/>
              </w:rPr>
            </w:pPr>
            <w:r w:rsidRPr="002B6124">
              <w:rPr>
                <w:rFonts w:asciiTheme="minorHAnsi" w:hAnsiTheme="minorHAnsi" w:cstheme="minorHAnsi"/>
                <w:color w:val="000000"/>
                <w:sz w:val="18"/>
                <w:szCs w:val="18"/>
              </w:rPr>
              <w:t>-12,0</w:t>
            </w:r>
          </w:p>
        </w:tc>
      </w:tr>
    </w:tbl>
    <w:p w:rsidR="00D6442D" w:rsidRDefault="00D6442D" w:rsidP="00D6442D">
      <w:pPr>
        <w:tabs>
          <w:tab w:val="left" w:pos="1560"/>
        </w:tabs>
        <w:spacing w:before="120" w:line="288" w:lineRule="auto"/>
        <w:ind w:firstLine="709"/>
        <w:jc w:val="both"/>
        <w:rPr>
          <w:noProof/>
          <w:sz w:val="26"/>
          <w:szCs w:val="26"/>
          <w:highlight w:val="yellow"/>
        </w:rPr>
        <w:sectPr w:rsidR="00D6442D" w:rsidSect="00A00A1D">
          <w:pgSz w:w="16838" w:h="11906" w:orient="landscape" w:code="9"/>
          <w:pgMar w:top="851" w:right="851" w:bottom="1134" w:left="1134" w:header="709" w:footer="0" w:gutter="0"/>
          <w:cols w:space="708"/>
          <w:titlePg/>
          <w:docGrid w:linePitch="360"/>
        </w:sectPr>
      </w:pPr>
    </w:p>
    <w:p w:rsidR="00C92924" w:rsidRPr="00A53013" w:rsidRDefault="00C92924" w:rsidP="00C92924">
      <w:pPr>
        <w:tabs>
          <w:tab w:val="left" w:pos="1560"/>
        </w:tabs>
        <w:spacing w:before="120" w:line="288" w:lineRule="auto"/>
        <w:ind w:firstLine="709"/>
        <w:jc w:val="both"/>
        <w:rPr>
          <w:noProof/>
          <w:sz w:val="26"/>
          <w:szCs w:val="26"/>
          <w:highlight w:val="yellow"/>
          <w:lang w:val="en-US"/>
        </w:rPr>
      </w:pPr>
    </w:p>
    <w:p w:rsidR="002F68DF" w:rsidRPr="00A53013" w:rsidRDefault="002F68DF" w:rsidP="00C92924">
      <w:pPr>
        <w:tabs>
          <w:tab w:val="left" w:pos="1560"/>
        </w:tabs>
        <w:spacing w:before="120" w:line="288" w:lineRule="auto"/>
        <w:ind w:firstLine="709"/>
        <w:jc w:val="both"/>
        <w:rPr>
          <w:noProof/>
          <w:sz w:val="26"/>
          <w:szCs w:val="26"/>
          <w:highlight w:val="yellow"/>
          <w:lang w:val="en-US"/>
        </w:rPr>
        <w:sectPr w:rsidR="002F68DF" w:rsidRPr="00A53013" w:rsidSect="00710D78">
          <w:pgSz w:w="11906" w:h="16838" w:code="9"/>
          <w:pgMar w:top="1134" w:right="851" w:bottom="851" w:left="1134" w:header="709" w:footer="0" w:gutter="0"/>
          <w:cols w:space="708"/>
          <w:titlePg/>
          <w:docGrid w:linePitch="360"/>
        </w:sectPr>
      </w:pPr>
    </w:p>
    <w:p w:rsidR="00655C2A" w:rsidRPr="00F45A80" w:rsidRDefault="00613F69" w:rsidP="00B447CB">
      <w:pPr>
        <w:pStyle w:val="21"/>
        <w:spacing w:before="0"/>
        <w:ind w:left="709"/>
        <w:rPr>
          <w:rFonts w:ascii="Calibri" w:hAnsi="Calibri"/>
          <w:noProof/>
          <w:lang w:val="en-US"/>
        </w:rPr>
      </w:pPr>
      <w:bookmarkStart w:id="9" w:name="_Toc67050793"/>
      <w:r w:rsidRPr="00F45A80">
        <w:rPr>
          <w:rFonts w:ascii="Calibri" w:hAnsi="Calibri"/>
          <w:noProof/>
          <w:lang w:val="en-US"/>
        </w:rPr>
        <w:lastRenderedPageBreak/>
        <w:t>DIRECT AND PORTFOLIO INVESTMENT</w:t>
      </w:r>
      <w:bookmarkEnd w:id="9"/>
    </w:p>
    <w:p w:rsidR="005906C1" w:rsidRPr="00304DAF" w:rsidRDefault="005906C1" w:rsidP="005906C1">
      <w:pPr>
        <w:spacing w:before="240" w:line="288" w:lineRule="auto"/>
        <w:ind w:firstLine="709"/>
        <w:jc w:val="both"/>
        <w:rPr>
          <w:sz w:val="26"/>
          <w:szCs w:val="26"/>
          <w:lang w:val="en-US"/>
        </w:rPr>
      </w:pPr>
      <w:r w:rsidRPr="00304DAF">
        <w:rPr>
          <w:sz w:val="26"/>
          <w:szCs w:val="26"/>
          <w:lang w:val="en-US"/>
        </w:rPr>
        <w:t>Net inflows of foreign direct investment</w:t>
      </w:r>
      <w:r w:rsidRPr="00304DAF">
        <w:rPr>
          <w:rStyle w:val="a9"/>
          <w:sz w:val="26"/>
          <w:szCs w:val="26"/>
          <w:lang w:val="en-US"/>
        </w:rPr>
        <w:footnoteReference w:id="4"/>
      </w:r>
      <w:r w:rsidRPr="00304DAF">
        <w:rPr>
          <w:sz w:val="26"/>
          <w:szCs w:val="26"/>
          <w:lang w:val="en-US"/>
        </w:rPr>
        <w:t xml:space="preserve"> </w:t>
      </w:r>
      <w:r w:rsidR="009E3D6B">
        <w:rPr>
          <w:sz w:val="26"/>
          <w:szCs w:val="26"/>
          <w:lang w:val="en-US"/>
        </w:rPr>
        <w:t>for</w:t>
      </w:r>
      <w:r>
        <w:rPr>
          <w:sz w:val="26"/>
          <w:szCs w:val="26"/>
          <w:lang w:val="en-US"/>
        </w:rPr>
        <w:t xml:space="preserve"> 2020</w:t>
      </w:r>
      <w:r w:rsidRPr="00304DAF">
        <w:rPr>
          <w:sz w:val="26"/>
          <w:szCs w:val="26"/>
          <w:lang w:val="en-US"/>
        </w:rPr>
        <w:t xml:space="preserve"> amounted to </w:t>
      </w:r>
      <w:r>
        <w:rPr>
          <w:sz w:val="26"/>
          <w:szCs w:val="26"/>
          <w:lang w:val="en-US"/>
        </w:rPr>
        <w:br/>
      </w:r>
      <w:r w:rsidRPr="00304DAF">
        <w:rPr>
          <w:sz w:val="26"/>
          <w:szCs w:val="26"/>
          <w:lang w:val="en-US"/>
        </w:rPr>
        <w:t>USD </w:t>
      </w:r>
      <w:r w:rsidR="009E3D6B">
        <w:rPr>
          <w:sz w:val="26"/>
          <w:szCs w:val="26"/>
          <w:lang w:val="en-US"/>
        </w:rPr>
        <w:t>1.</w:t>
      </w:r>
      <w:r w:rsidR="00A53013">
        <w:rPr>
          <w:sz w:val="26"/>
          <w:szCs w:val="26"/>
          <w:lang w:val="en-US"/>
        </w:rPr>
        <w:t>7</w:t>
      </w:r>
      <w:r w:rsidRPr="00304DAF">
        <w:rPr>
          <w:sz w:val="26"/>
          <w:szCs w:val="26"/>
          <w:lang w:val="en-US"/>
        </w:rPr>
        <w:t xml:space="preserve"> </w:t>
      </w:r>
      <w:r w:rsidR="009E3D6B">
        <w:rPr>
          <w:sz w:val="26"/>
          <w:szCs w:val="26"/>
          <w:lang w:val="en-US"/>
        </w:rPr>
        <w:t>b</w:t>
      </w:r>
      <w:r>
        <w:rPr>
          <w:sz w:val="26"/>
          <w:szCs w:val="26"/>
          <w:lang w:val="en-US"/>
        </w:rPr>
        <w:t>illion</w:t>
      </w:r>
      <w:r w:rsidRPr="00304DAF">
        <w:rPr>
          <w:sz w:val="26"/>
          <w:szCs w:val="26"/>
          <w:lang w:val="en-US"/>
        </w:rPr>
        <w:t xml:space="preserve">. </w:t>
      </w:r>
      <w:r w:rsidRPr="004070E5">
        <w:rPr>
          <w:sz w:val="26"/>
          <w:szCs w:val="26"/>
          <w:lang w:val="en-US"/>
        </w:rPr>
        <w:t xml:space="preserve">The attraction of foreign direct investment to the country was to some extent offset by the repatriation of </w:t>
      </w:r>
      <w:r>
        <w:rPr>
          <w:sz w:val="26"/>
          <w:szCs w:val="26"/>
          <w:lang w:val="en-US"/>
        </w:rPr>
        <w:t>parts</w:t>
      </w:r>
      <w:r w:rsidRPr="004070E5">
        <w:rPr>
          <w:sz w:val="26"/>
          <w:szCs w:val="26"/>
          <w:lang w:val="en-US"/>
        </w:rPr>
        <w:t xml:space="preserve"> of the investments made under pro</w:t>
      </w:r>
      <w:r>
        <w:rPr>
          <w:sz w:val="26"/>
          <w:szCs w:val="26"/>
          <w:lang w:val="en-US"/>
        </w:rPr>
        <w:t>duction sharing agreements (PSA</w:t>
      </w:r>
      <w:r w:rsidRPr="004070E5">
        <w:rPr>
          <w:sz w:val="26"/>
          <w:szCs w:val="26"/>
          <w:lang w:val="en-US"/>
        </w:rPr>
        <w:t xml:space="preserve">). Against the backdrop of the crisis in the global economy, net foreign investment in capital decreased by </w:t>
      </w:r>
      <w:r w:rsidR="00A53013">
        <w:rPr>
          <w:sz w:val="26"/>
          <w:szCs w:val="26"/>
          <w:lang w:val="en-US"/>
        </w:rPr>
        <w:t>1.6</w:t>
      </w:r>
      <w:r w:rsidRPr="004070E5">
        <w:rPr>
          <w:sz w:val="26"/>
          <w:szCs w:val="26"/>
          <w:lang w:val="en-US"/>
        </w:rPr>
        <w:t xml:space="preserve"> times</w:t>
      </w:r>
      <w:r w:rsidR="00A53013">
        <w:rPr>
          <w:sz w:val="26"/>
          <w:szCs w:val="26"/>
          <w:lang w:val="en-US"/>
        </w:rPr>
        <w:t xml:space="preserve"> and amounted to USD 1.3 billion</w:t>
      </w:r>
      <w:r w:rsidRPr="004070E5">
        <w:rPr>
          <w:sz w:val="26"/>
          <w:szCs w:val="26"/>
          <w:lang w:val="en-US"/>
        </w:rPr>
        <w:t xml:space="preserve">, while the volume of reinvestment of income by foreign investors </w:t>
      </w:r>
      <w:r w:rsidR="00A53013">
        <w:rPr>
          <w:sz w:val="26"/>
          <w:szCs w:val="26"/>
          <w:lang w:val="en-US"/>
        </w:rPr>
        <w:t>reduced by 1.3 times</w:t>
      </w:r>
      <w:r w:rsidRPr="004070E5">
        <w:rPr>
          <w:sz w:val="26"/>
          <w:szCs w:val="26"/>
          <w:lang w:val="en-US"/>
        </w:rPr>
        <w:t>.</w:t>
      </w:r>
      <w:r w:rsidRPr="00304DAF">
        <w:rPr>
          <w:color w:val="2E74B5"/>
          <w:sz w:val="26"/>
          <w:szCs w:val="26"/>
          <w:lang w:val="en-US"/>
        </w:rPr>
        <w:t xml:space="preserve"> </w:t>
      </w:r>
    </w:p>
    <w:p w:rsidR="00304DAF" w:rsidRPr="00F45A80" w:rsidRDefault="005906C1" w:rsidP="005906C1">
      <w:pPr>
        <w:spacing w:before="120" w:line="288" w:lineRule="auto"/>
        <w:ind w:firstLine="709"/>
        <w:jc w:val="both"/>
        <w:rPr>
          <w:sz w:val="26"/>
          <w:szCs w:val="26"/>
          <w:lang w:val="en-US"/>
        </w:rPr>
      </w:pPr>
      <w:r w:rsidRPr="004070E5">
        <w:rPr>
          <w:sz w:val="26"/>
          <w:szCs w:val="26"/>
          <w:lang w:val="en-US"/>
        </w:rPr>
        <w:t xml:space="preserve">In the structure of liabilities on direct investments, </w:t>
      </w:r>
      <w:r w:rsidR="0021662C">
        <w:rPr>
          <w:sz w:val="26"/>
          <w:szCs w:val="26"/>
          <w:lang w:val="en-US"/>
        </w:rPr>
        <w:t xml:space="preserve">investments in loan instruments </w:t>
      </w:r>
      <w:r w:rsidR="002B7EBB">
        <w:rPr>
          <w:sz w:val="26"/>
          <w:szCs w:val="26"/>
          <w:lang w:val="en-US"/>
        </w:rPr>
        <w:t>remain at the same level</w:t>
      </w:r>
      <w:r w:rsidRPr="004070E5">
        <w:rPr>
          <w:sz w:val="26"/>
          <w:szCs w:val="26"/>
          <w:lang w:val="en-US"/>
        </w:rPr>
        <w:t xml:space="preserve"> </w:t>
      </w:r>
      <w:r w:rsidR="002B7EBB">
        <w:rPr>
          <w:sz w:val="26"/>
          <w:szCs w:val="26"/>
          <w:lang w:val="en-US"/>
        </w:rPr>
        <w:t>of previous year</w:t>
      </w:r>
      <w:r w:rsidRPr="004070E5">
        <w:rPr>
          <w:sz w:val="26"/>
          <w:szCs w:val="26"/>
          <w:lang w:val="en-US"/>
        </w:rPr>
        <w:t xml:space="preserve">. Thus, during the coronavirus pandemic, financial support in the form of loans from parent companies amounted to </w:t>
      </w:r>
      <w:r>
        <w:rPr>
          <w:sz w:val="26"/>
          <w:szCs w:val="26"/>
          <w:lang w:val="en-US"/>
        </w:rPr>
        <w:t>USD</w:t>
      </w:r>
      <w:r w:rsidRPr="004070E5">
        <w:rPr>
          <w:sz w:val="26"/>
          <w:szCs w:val="26"/>
          <w:lang w:val="en-US"/>
        </w:rPr>
        <w:t xml:space="preserve"> </w:t>
      </w:r>
      <w:r w:rsidR="002B7EBB">
        <w:rPr>
          <w:sz w:val="26"/>
          <w:szCs w:val="26"/>
          <w:lang w:val="en-US"/>
        </w:rPr>
        <w:t>1</w:t>
      </w:r>
      <w:r w:rsidR="00175EDD">
        <w:rPr>
          <w:sz w:val="26"/>
          <w:szCs w:val="26"/>
          <w:lang w:val="en-US"/>
        </w:rPr>
        <w:t>5</w:t>
      </w:r>
      <w:r w:rsidR="002B7EBB">
        <w:rPr>
          <w:sz w:val="26"/>
          <w:szCs w:val="26"/>
          <w:lang w:val="en-US"/>
        </w:rPr>
        <w:t>3</w:t>
      </w:r>
      <w:r w:rsidRPr="004070E5">
        <w:rPr>
          <w:sz w:val="26"/>
          <w:szCs w:val="26"/>
          <w:lang w:val="en-US"/>
        </w:rPr>
        <w:t xml:space="preserve"> million.</w:t>
      </w:r>
      <w:r>
        <w:rPr>
          <w:sz w:val="26"/>
          <w:szCs w:val="26"/>
          <w:lang w:val="en-US"/>
        </w:rPr>
        <w:t xml:space="preserve"> </w:t>
      </w:r>
      <w:r w:rsidRPr="004070E5">
        <w:rPr>
          <w:sz w:val="26"/>
          <w:szCs w:val="26"/>
          <w:lang w:val="en-US"/>
        </w:rPr>
        <w:t xml:space="preserve">At the same time, due to a decrease in natural gas production, net payments under the PSA amounted to just under </w:t>
      </w:r>
      <w:r>
        <w:rPr>
          <w:sz w:val="26"/>
          <w:szCs w:val="26"/>
          <w:lang w:val="en-US"/>
        </w:rPr>
        <w:t>USD</w:t>
      </w:r>
      <w:r w:rsidRPr="004070E5">
        <w:rPr>
          <w:sz w:val="26"/>
          <w:szCs w:val="26"/>
          <w:lang w:val="en-US"/>
        </w:rPr>
        <w:t xml:space="preserve"> </w:t>
      </w:r>
      <w:r w:rsidR="002B7EBB">
        <w:rPr>
          <w:sz w:val="26"/>
          <w:szCs w:val="26"/>
          <w:lang w:val="en-US"/>
        </w:rPr>
        <w:t>2</w:t>
      </w:r>
      <w:r w:rsidR="00175EDD">
        <w:rPr>
          <w:sz w:val="26"/>
          <w:szCs w:val="26"/>
          <w:lang w:val="en-US"/>
        </w:rPr>
        <w:t>76</w:t>
      </w:r>
      <w:r w:rsidRPr="004070E5">
        <w:rPr>
          <w:sz w:val="26"/>
          <w:szCs w:val="26"/>
          <w:lang w:val="en-US"/>
        </w:rPr>
        <w:t xml:space="preserve"> million.</w:t>
      </w:r>
      <w:r w:rsidRPr="00304DAF">
        <w:rPr>
          <w:sz w:val="26"/>
          <w:szCs w:val="26"/>
          <w:lang w:val="en-US"/>
        </w:rPr>
        <w:t xml:space="preserve"> </w:t>
      </w:r>
      <w:r w:rsidRPr="00FD0350">
        <w:rPr>
          <w:rFonts w:cs="Calibri"/>
          <w:color w:val="0070C0"/>
          <w:sz w:val="26"/>
          <w:szCs w:val="26"/>
          <w:lang w:val="en-US"/>
        </w:rPr>
        <w:t>(Figure 1</w:t>
      </w:r>
      <w:r w:rsidR="00AD4257">
        <w:rPr>
          <w:rFonts w:cs="Calibri"/>
          <w:color w:val="0070C0"/>
          <w:sz w:val="26"/>
          <w:szCs w:val="26"/>
          <w:lang w:val="en-US"/>
        </w:rPr>
        <w:t>5</w:t>
      </w:r>
      <w:r w:rsidRPr="00FD0350">
        <w:rPr>
          <w:rFonts w:cs="Calibri"/>
          <w:color w:val="0070C0"/>
          <w:sz w:val="26"/>
          <w:szCs w:val="26"/>
          <w:lang w:val="en-US"/>
        </w:rPr>
        <w:t>).</w:t>
      </w:r>
      <w:r w:rsidR="00304DAF">
        <w:rPr>
          <w:sz w:val="26"/>
          <w:szCs w:val="26"/>
          <w:lang w:val="en-US"/>
        </w:rPr>
        <w:t xml:space="preserve"> </w:t>
      </w:r>
    </w:p>
    <w:p w:rsidR="00147844" w:rsidRDefault="00147844" w:rsidP="00E7024F">
      <w:pPr>
        <w:jc w:val="right"/>
        <w:rPr>
          <w:lang w:val="en-US"/>
        </w:rPr>
      </w:pPr>
    </w:p>
    <w:p w:rsidR="00655C2A" w:rsidRPr="00F45A80" w:rsidRDefault="00B23450" w:rsidP="00E7024F">
      <w:pPr>
        <w:jc w:val="right"/>
        <w:rPr>
          <w:lang w:val="en-US"/>
        </w:rPr>
      </w:pPr>
      <w:r>
        <w:rPr>
          <w:lang w:val="en-US"/>
        </w:rPr>
        <w:t>Figure</w:t>
      </w:r>
      <w:r w:rsidR="00785AF4">
        <w:rPr>
          <w:lang w:val="en-US"/>
        </w:rPr>
        <w:t xml:space="preserve"> 1</w:t>
      </w:r>
      <w:r w:rsidR="00AD4257">
        <w:rPr>
          <w:lang w:val="en-US"/>
        </w:rPr>
        <w:t>5</w:t>
      </w:r>
    </w:p>
    <w:p w:rsidR="003F284B" w:rsidRPr="00B75F3E" w:rsidRDefault="006A6A2D" w:rsidP="005906C1">
      <w:pPr>
        <w:spacing w:before="120" w:after="120"/>
        <w:jc w:val="center"/>
        <w:rPr>
          <w:b/>
          <w:sz w:val="28"/>
          <w:szCs w:val="28"/>
          <w:lang w:val="en-US"/>
        </w:rPr>
      </w:pPr>
      <w:r w:rsidRPr="00B75F3E">
        <w:rPr>
          <w:b/>
          <w:sz w:val="28"/>
          <w:szCs w:val="28"/>
          <w:lang w:val="en-US"/>
        </w:rPr>
        <w:t>CHANGE IN DIRECT INVESTMENT COMPONENTS</w:t>
      </w:r>
      <w:r w:rsidR="0029212E" w:rsidRPr="0029212E">
        <w:rPr>
          <w:rStyle w:val="a9"/>
          <w:sz w:val="28"/>
          <w:szCs w:val="28"/>
          <w:lang w:val="en-US"/>
        </w:rPr>
        <w:footnoteReference w:id="5"/>
      </w:r>
    </w:p>
    <w:p w:rsidR="003F284B" w:rsidRDefault="003F284B" w:rsidP="003F284B">
      <w:pPr>
        <w:jc w:val="right"/>
        <w:rPr>
          <w:i/>
          <w:sz w:val="20"/>
          <w:szCs w:val="20"/>
          <w:lang w:val="en-US"/>
        </w:rPr>
      </w:pPr>
      <w:r w:rsidRPr="00F45A80">
        <w:rPr>
          <w:i/>
          <w:sz w:val="20"/>
          <w:szCs w:val="20"/>
          <w:lang w:val="en-US"/>
        </w:rPr>
        <w:t>(</w:t>
      </w:r>
      <w:r w:rsidR="005B43E3" w:rsidRPr="00F45A80">
        <w:rPr>
          <w:i/>
          <w:sz w:val="20"/>
          <w:szCs w:val="20"/>
          <w:lang w:val="en-US"/>
        </w:rPr>
        <w:t>mln. USD</w:t>
      </w:r>
      <w:r w:rsidRPr="00F45A80">
        <w:rPr>
          <w:i/>
          <w:sz w:val="20"/>
          <w:szCs w:val="20"/>
          <w:lang w:val="en-US"/>
        </w:rPr>
        <w:t>)</w:t>
      </w:r>
    </w:p>
    <w:p w:rsidR="00EC3A30" w:rsidRPr="000E6D5F" w:rsidRDefault="003E0A12" w:rsidP="00F45A80">
      <w:pPr>
        <w:jc w:val="right"/>
        <w:rPr>
          <w:noProof/>
          <w:sz w:val="2"/>
          <w:szCs w:val="2"/>
          <w:lang w:val="en-US"/>
        </w:rPr>
      </w:pPr>
      <w:r>
        <w:rPr>
          <w:noProof/>
        </w:rPr>
        <w:drawing>
          <wp:inline distT="0" distB="0" distL="0" distR="0" wp14:anchorId="02DADFFC" wp14:editId="3F63E545">
            <wp:extent cx="6353175" cy="4370120"/>
            <wp:effectExtent l="0" t="0" r="9525" b="11430"/>
            <wp:docPr id="55" name="Диаграмма 55">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906C1" w:rsidRPr="000E6D5F" w:rsidRDefault="005906C1">
      <w:pPr>
        <w:rPr>
          <w:sz w:val="2"/>
          <w:szCs w:val="2"/>
          <w:lang w:val="uz-Cyrl-UZ"/>
        </w:rPr>
      </w:pPr>
      <w:r>
        <w:rPr>
          <w:sz w:val="26"/>
          <w:szCs w:val="26"/>
          <w:lang w:val="uz-Cyrl-UZ"/>
        </w:rPr>
        <w:br w:type="page"/>
      </w:r>
    </w:p>
    <w:p w:rsidR="003E0A12" w:rsidRPr="00B55CAC" w:rsidRDefault="003E0A12" w:rsidP="000848FA">
      <w:pPr>
        <w:spacing w:before="120" w:line="288" w:lineRule="auto"/>
        <w:ind w:firstLine="709"/>
        <w:jc w:val="both"/>
        <w:rPr>
          <w:spacing w:val="-2"/>
          <w:sz w:val="26"/>
          <w:szCs w:val="26"/>
          <w:lang w:val="en-US"/>
        </w:rPr>
      </w:pPr>
      <w:r w:rsidRPr="00B55CAC">
        <w:rPr>
          <w:spacing w:val="-2"/>
          <w:sz w:val="26"/>
          <w:szCs w:val="26"/>
          <w:lang w:val="en-US"/>
        </w:rPr>
        <w:lastRenderedPageBreak/>
        <w:t>For 2020 significant</w:t>
      </w:r>
      <w:r w:rsidR="005906C1" w:rsidRPr="00B55CAC">
        <w:rPr>
          <w:spacing w:val="-2"/>
          <w:sz w:val="26"/>
          <w:szCs w:val="26"/>
          <w:lang w:val="en-US"/>
        </w:rPr>
        <w:t xml:space="preserve"> net increase</w:t>
      </w:r>
      <w:r w:rsidRPr="00B55CAC">
        <w:rPr>
          <w:spacing w:val="-2"/>
          <w:sz w:val="26"/>
          <w:szCs w:val="26"/>
          <w:lang w:val="en-US"/>
        </w:rPr>
        <w:t xml:space="preserve"> was recorded in structure</w:t>
      </w:r>
      <w:r w:rsidR="005906C1" w:rsidRPr="00B55CAC">
        <w:rPr>
          <w:spacing w:val="-2"/>
          <w:sz w:val="26"/>
          <w:szCs w:val="26"/>
          <w:lang w:val="en-US"/>
        </w:rPr>
        <w:t xml:space="preserve"> in portfolio investment liabilities</w:t>
      </w:r>
      <w:r w:rsidRPr="00B55CAC">
        <w:rPr>
          <w:spacing w:val="-2"/>
          <w:sz w:val="26"/>
          <w:szCs w:val="26"/>
          <w:lang w:val="en-US"/>
        </w:rPr>
        <w:t>. The reason for th</w:t>
      </w:r>
      <w:r w:rsidR="004A5468">
        <w:rPr>
          <w:spacing w:val="-2"/>
          <w:sz w:val="26"/>
          <w:szCs w:val="26"/>
          <w:lang w:val="en-US"/>
        </w:rPr>
        <w:t>is increase was successful issuance</w:t>
      </w:r>
      <w:r w:rsidRPr="00B55CAC">
        <w:rPr>
          <w:spacing w:val="-2"/>
          <w:sz w:val="26"/>
          <w:szCs w:val="26"/>
          <w:lang w:val="en-US"/>
        </w:rPr>
        <w:t xml:space="preserve"> of two international bonds of the Republic of Uzbekistan at the end of the year in the amount of USD 555 million and </w:t>
      </w:r>
      <w:r w:rsidR="00B55CAC" w:rsidRPr="00B55CAC">
        <w:rPr>
          <w:spacing w:val="-2"/>
          <w:sz w:val="26"/>
          <w:szCs w:val="26"/>
          <w:lang w:val="en-US"/>
        </w:rPr>
        <w:br/>
      </w:r>
      <w:r w:rsidRPr="00B55CAC">
        <w:rPr>
          <w:spacing w:val="-2"/>
          <w:sz w:val="26"/>
          <w:szCs w:val="26"/>
          <w:lang w:val="en-US"/>
        </w:rPr>
        <w:t xml:space="preserve">UZS 2 billion. At the same time, Eurobonds </w:t>
      </w:r>
      <w:r w:rsidR="008D5A2F" w:rsidRPr="00B55CAC">
        <w:rPr>
          <w:spacing w:val="-2"/>
          <w:sz w:val="26"/>
          <w:szCs w:val="26"/>
          <w:lang w:val="en-US"/>
        </w:rPr>
        <w:t xml:space="preserve">were placed on world capital market by the National bank and Ipoteka bank for a total amount of USD 600 million. As a result, the balance of portfolio investment operations at the end of 2020 was negative in the amount of </w:t>
      </w:r>
      <w:r w:rsidR="00B55CAC" w:rsidRPr="00B55CAC">
        <w:rPr>
          <w:spacing w:val="-2"/>
          <w:sz w:val="26"/>
          <w:szCs w:val="26"/>
          <w:lang w:val="en-US"/>
        </w:rPr>
        <w:t>USD 1.4 billion.</w:t>
      </w:r>
    </w:p>
    <w:p w:rsidR="003F284B" w:rsidRPr="00F45A80" w:rsidRDefault="00B81616" w:rsidP="003F284B">
      <w:pPr>
        <w:pStyle w:val="21"/>
        <w:rPr>
          <w:rFonts w:ascii="Calibri" w:hAnsi="Calibri"/>
          <w:lang w:val="en-US"/>
        </w:rPr>
      </w:pPr>
      <w:bookmarkStart w:id="10" w:name="_Toc4780088"/>
      <w:bookmarkStart w:id="11" w:name="_Toc67050794"/>
      <w:r w:rsidRPr="00F45A80">
        <w:rPr>
          <w:rFonts w:ascii="Calibri" w:hAnsi="Calibri"/>
          <w:lang w:val="en-US"/>
        </w:rPr>
        <w:t>OTHER INVESTMENTS</w:t>
      </w:r>
      <w:bookmarkEnd w:id="10"/>
      <w:bookmarkEnd w:id="11"/>
    </w:p>
    <w:p w:rsidR="00BE2184" w:rsidRPr="00BE2184" w:rsidRDefault="00BE2184" w:rsidP="00BE2184">
      <w:pPr>
        <w:spacing w:before="120" w:line="288" w:lineRule="auto"/>
        <w:ind w:firstLine="709"/>
        <w:jc w:val="both"/>
        <w:rPr>
          <w:sz w:val="26"/>
          <w:szCs w:val="26"/>
          <w:u w:val="single"/>
          <w:lang w:val="en-US"/>
        </w:rPr>
      </w:pPr>
      <w:r w:rsidRPr="00BE2184">
        <w:rPr>
          <w:sz w:val="26"/>
          <w:szCs w:val="26"/>
          <w:u w:val="single"/>
          <w:lang w:val="en-US"/>
        </w:rPr>
        <w:t>Assets</w:t>
      </w:r>
    </w:p>
    <w:p w:rsidR="005906C1" w:rsidRPr="00BE2184" w:rsidRDefault="005906C1" w:rsidP="005906C1">
      <w:pPr>
        <w:spacing w:before="120" w:line="288" w:lineRule="auto"/>
        <w:ind w:firstLine="709"/>
        <w:jc w:val="both"/>
        <w:rPr>
          <w:sz w:val="26"/>
          <w:szCs w:val="26"/>
          <w:u w:val="single"/>
          <w:lang w:val="en-US"/>
        </w:rPr>
      </w:pPr>
      <w:r w:rsidRPr="00BE2184">
        <w:rPr>
          <w:sz w:val="26"/>
          <w:szCs w:val="26"/>
          <w:lang w:val="en-US"/>
        </w:rPr>
        <w:t>Net inc</w:t>
      </w:r>
      <w:r>
        <w:rPr>
          <w:sz w:val="26"/>
          <w:szCs w:val="26"/>
          <w:lang w:val="en-US"/>
        </w:rPr>
        <w:t xml:space="preserve">rease of assets in the item </w:t>
      </w:r>
      <w:r w:rsidRPr="00FE0005">
        <w:rPr>
          <w:sz w:val="26"/>
          <w:szCs w:val="26"/>
          <w:lang w:val="en-US"/>
        </w:rPr>
        <w:t>«</w:t>
      </w:r>
      <w:r w:rsidRPr="00BE2184">
        <w:rPr>
          <w:sz w:val="26"/>
          <w:szCs w:val="26"/>
          <w:lang w:val="en-US"/>
        </w:rPr>
        <w:t xml:space="preserve">Other </w:t>
      </w:r>
      <w:r>
        <w:rPr>
          <w:sz w:val="26"/>
          <w:szCs w:val="26"/>
          <w:lang w:val="en-US"/>
        </w:rPr>
        <w:t>investments</w:t>
      </w:r>
      <w:r w:rsidRPr="00FE0005">
        <w:rPr>
          <w:sz w:val="26"/>
          <w:szCs w:val="26"/>
          <w:lang w:val="en-US"/>
        </w:rPr>
        <w:t>»</w:t>
      </w:r>
      <w:r>
        <w:rPr>
          <w:sz w:val="26"/>
          <w:szCs w:val="26"/>
          <w:lang w:val="en-US"/>
        </w:rPr>
        <w:t xml:space="preserve"> amounted to USD </w:t>
      </w:r>
      <w:r w:rsidR="00570991">
        <w:rPr>
          <w:sz w:val="26"/>
          <w:szCs w:val="26"/>
          <w:lang w:val="en-US"/>
        </w:rPr>
        <w:t>5</w:t>
      </w:r>
      <w:r>
        <w:rPr>
          <w:sz w:val="26"/>
          <w:szCs w:val="26"/>
          <w:lang w:val="en-US"/>
        </w:rPr>
        <w:t>.</w:t>
      </w:r>
      <w:r w:rsidR="002B7EBB">
        <w:rPr>
          <w:sz w:val="26"/>
          <w:szCs w:val="26"/>
          <w:lang w:val="en-US"/>
        </w:rPr>
        <w:t>3</w:t>
      </w:r>
      <w:r w:rsidRPr="00BE2184">
        <w:rPr>
          <w:sz w:val="26"/>
          <w:szCs w:val="26"/>
          <w:lang w:val="en-US"/>
        </w:rPr>
        <w:t xml:space="preserve"> </w:t>
      </w:r>
      <w:r>
        <w:rPr>
          <w:sz w:val="26"/>
          <w:szCs w:val="26"/>
          <w:lang w:val="en-US"/>
        </w:rPr>
        <w:t>billion</w:t>
      </w:r>
      <w:r w:rsidRPr="00BE2184">
        <w:rPr>
          <w:sz w:val="26"/>
          <w:szCs w:val="26"/>
          <w:lang w:val="en-US"/>
        </w:rPr>
        <w:t xml:space="preserve"> </w:t>
      </w:r>
      <w:r w:rsidR="004A5468">
        <w:rPr>
          <w:sz w:val="26"/>
          <w:szCs w:val="26"/>
          <w:lang w:val="en-US"/>
        </w:rPr>
        <w:br/>
        <w:t>in</w:t>
      </w:r>
      <w:r>
        <w:rPr>
          <w:sz w:val="26"/>
          <w:szCs w:val="26"/>
          <w:lang w:val="en-US"/>
        </w:rPr>
        <w:t xml:space="preserve"> 2020</w:t>
      </w:r>
      <w:r w:rsidRPr="00BE2184">
        <w:rPr>
          <w:sz w:val="26"/>
          <w:szCs w:val="26"/>
          <w:lang w:val="en-US"/>
        </w:rPr>
        <w:t xml:space="preserve">. Main components of the </w:t>
      </w:r>
      <w:r>
        <w:rPr>
          <w:sz w:val="26"/>
          <w:szCs w:val="26"/>
          <w:lang w:val="en-US"/>
        </w:rPr>
        <w:t>item</w:t>
      </w:r>
      <w:r w:rsidRPr="00BE2184">
        <w:rPr>
          <w:sz w:val="26"/>
          <w:szCs w:val="26"/>
          <w:lang w:val="en-US"/>
        </w:rPr>
        <w:t xml:space="preserve"> </w:t>
      </w:r>
      <w:r w:rsidRPr="00FE0005">
        <w:rPr>
          <w:sz w:val="26"/>
          <w:szCs w:val="26"/>
          <w:lang w:val="en-US"/>
        </w:rPr>
        <w:t>«</w:t>
      </w:r>
      <w:r w:rsidRPr="00BE2184">
        <w:rPr>
          <w:sz w:val="26"/>
          <w:szCs w:val="26"/>
          <w:lang w:val="en-US"/>
        </w:rPr>
        <w:t xml:space="preserve">Other </w:t>
      </w:r>
      <w:r>
        <w:rPr>
          <w:sz w:val="26"/>
          <w:szCs w:val="26"/>
          <w:lang w:val="en-US"/>
        </w:rPr>
        <w:t>investments</w:t>
      </w:r>
      <w:r w:rsidRPr="00FE0005">
        <w:rPr>
          <w:sz w:val="26"/>
          <w:szCs w:val="26"/>
          <w:lang w:val="en-US"/>
        </w:rPr>
        <w:t>»</w:t>
      </w:r>
      <w:r w:rsidRPr="00BE2184">
        <w:rPr>
          <w:sz w:val="26"/>
          <w:szCs w:val="26"/>
          <w:lang w:val="en-US"/>
        </w:rPr>
        <w:t xml:space="preserve"> were currency and deposits of residents, as well as trade credits and advances </w:t>
      </w:r>
      <w:r w:rsidRPr="00BE2184">
        <w:rPr>
          <w:i/>
          <w:sz w:val="26"/>
          <w:szCs w:val="26"/>
          <w:lang w:val="en-US"/>
        </w:rPr>
        <w:t>(</w:t>
      </w:r>
      <w:r>
        <w:rPr>
          <w:i/>
          <w:sz w:val="26"/>
          <w:szCs w:val="26"/>
          <w:lang w:val="en-US"/>
        </w:rPr>
        <w:t>accounts receivable</w:t>
      </w:r>
      <w:r w:rsidRPr="00BE2184">
        <w:rPr>
          <w:i/>
          <w:sz w:val="26"/>
          <w:szCs w:val="26"/>
          <w:lang w:val="en-US"/>
        </w:rPr>
        <w:t>)</w:t>
      </w:r>
      <w:r>
        <w:rPr>
          <w:sz w:val="26"/>
          <w:szCs w:val="26"/>
          <w:lang w:val="en-US"/>
        </w:rPr>
        <w:t xml:space="preserve">, which grew by </w:t>
      </w:r>
      <w:r w:rsidR="007371D3">
        <w:rPr>
          <w:sz w:val="26"/>
          <w:szCs w:val="26"/>
          <w:lang w:val="en-US"/>
        </w:rPr>
        <w:br/>
      </w:r>
      <w:r w:rsidRPr="00BE2184">
        <w:rPr>
          <w:sz w:val="26"/>
          <w:szCs w:val="26"/>
          <w:lang w:val="en-US"/>
        </w:rPr>
        <w:t xml:space="preserve">USD </w:t>
      </w:r>
      <w:r w:rsidR="00570991">
        <w:rPr>
          <w:sz w:val="26"/>
          <w:szCs w:val="26"/>
          <w:lang w:val="en-US"/>
        </w:rPr>
        <w:t>3</w:t>
      </w:r>
      <w:r w:rsidR="002B7EBB">
        <w:rPr>
          <w:sz w:val="26"/>
          <w:szCs w:val="26"/>
          <w:lang w:val="en-US"/>
        </w:rPr>
        <w:t>.</w:t>
      </w:r>
      <w:r w:rsidR="00570991">
        <w:rPr>
          <w:sz w:val="26"/>
          <w:szCs w:val="26"/>
          <w:lang w:val="en-US"/>
        </w:rPr>
        <w:t>2</w:t>
      </w:r>
      <w:r>
        <w:rPr>
          <w:sz w:val="26"/>
          <w:szCs w:val="26"/>
          <w:lang w:val="en-US"/>
        </w:rPr>
        <w:t xml:space="preserve"> </w:t>
      </w:r>
      <w:r w:rsidR="002B7EBB">
        <w:rPr>
          <w:sz w:val="26"/>
          <w:szCs w:val="26"/>
          <w:lang w:val="en-US"/>
        </w:rPr>
        <w:t>b</w:t>
      </w:r>
      <w:r>
        <w:rPr>
          <w:sz w:val="26"/>
          <w:szCs w:val="26"/>
          <w:lang w:val="en-US"/>
        </w:rPr>
        <w:t xml:space="preserve">illion and USD </w:t>
      </w:r>
      <w:r w:rsidR="00570991">
        <w:rPr>
          <w:sz w:val="26"/>
          <w:szCs w:val="26"/>
          <w:lang w:val="en-US"/>
        </w:rPr>
        <w:t>2</w:t>
      </w:r>
      <w:r w:rsidR="002B7EBB">
        <w:rPr>
          <w:sz w:val="26"/>
          <w:szCs w:val="26"/>
          <w:lang w:val="en-US"/>
        </w:rPr>
        <w:t>.</w:t>
      </w:r>
      <w:r w:rsidR="00570991">
        <w:rPr>
          <w:sz w:val="26"/>
          <w:szCs w:val="26"/>
          <w:lang w:val="en-US"/>
        </w:rPr>
        <w:t>1</w:t>
      </w:r>
      <w:r w:rsidRPr="00BE2184">
        <w:rPr>
          <w:sz w:val="26"/>
          <w:szCs w:val="26"/>
          <w:lang w:val="en-US"/>
        </w:rPr>
        <w:t xml:space="preserve"> </w:t>
      </w:r>
      <w:r w:rsidR="002B7EBB">
        <w:rPr>
          <w:sz w:val="26"/>
          <w:szCs w:val="26"/>
          <w:lang w:val="en-US"/>
        </w:rPr>
        <w:t>b</w:t>
      </w:r>
      <w:r>
        <w:rPr>
          <w:sz w:val="26"/>
          <w:szCs w:val="26"/>
          <w:lang w:val="en-US"/>
        </w:rPr>
        <w:t>illion</w:t>
      </w:r>
      <w:r w:rsidRPr="00BE2184">
        <w:rPr>
          <w:sz w:val="26"/>
          <w:szCs w:val="26"/>
          <w:lang w:val="en-US"/>
        </w:rPr>
        <w:t xml:space="preserve"> respectively.</w:t>
      </w:r>
    </w:p>
    <w:p w:rsidR="00BE2184" w:rsidRPr="00184D1D" w:rsidRDefault="005906C1" w:rsidP="005906C1">
      <w:pPr>
        <w:spacing w:before="120" w:line="288" w:lineRule="auto"/>
        <w:ind w:firstLine="709"/>
        <w:jc w:val="both"/>
        <w:rPr>
          <w:rFonts w:cs="Calibri"/>
          <w:color w:val="0070C0"/>
          <w:sz w:val="26"/>
          <w:szCs w:val="26"/>
          <w:lang w:val="en-US"/>
        </w:rPr>
      </w:pPr>
      <w:r>
        <w:rPr>
          <w:sz w:val="26"/>
          <w:szCs w:val="26"/>
          <w:lang w:val="en-US"/>
        </w:rPr>
        <w:t xml:space="preserve">The analysis of the </w:t>
      </w:r>
      <w:r w:rsidRPr="00BE2184">
        <w:rPr>
          <w:sz w:val="26"/>
          <w:szCs w:val="26"/>
          <w:lang w:val="en-US"/>
        </w:rPr>
        <w:t xml:space="preserve">component </w:t>
      </w:r>
      <w:r w:rsidRPr="00FE0005">
        <w:rPr>
          <w:sz w:val="26"/>
          <w:szCs w:val="26"/>
          <w:lang w:val="en-US"/>
        </w:rPr>
        <w:t>«</w:t>
      </w:r>
      <w:r w:rsidRPr="00BE2184">
        <w:rPr>
          <w:sz w:val="26"/>
          <w:szCs w:val="26"/>
          <w:lang w:val="en-US"/>
        </w:rPr>
        <w:t>Currency and deposits</w:t>
      </w:r>
      <w:r w:rsidRPr="00FE0005">
        <w:rPr>
          <w:sz w:val="26"/>
          <w:szCs w:val="26"/>
          <w:lang w:val="en-US"/>
        </w:rPr>
        <w:t>»</w:t>
      </w:r>
      <w:r w:rsidRPr="00BE2184">
        <w:rPr>
          <w:sz w:val="26"/>
          <w:szCs w:val="26"/>
          <w:lang w:val="en-US"/>
        </w:rPr>
        <w:t xml:space="preserve"> by sectors of the economy showed that </w:t>
      </w:r>
      <w:r>
        <w:rPr>
          <w:sz w:val="26"/>
          <w:szCs w:val="26"/>
          <w:lang w:val="en-US"/>
        </w:rPr>
        <w:t xml:space="preserve">the </w:t>
      </w:r>
      <w:r w:rsidRPr="00BE2184">
        <w:rPr>
          <w:sz w:val="26"/>
          <w:szCs w:val="26"/>
          <w:lang w:val="en-US"/>
        </w:rPr>
        <w:t xml:space="preserve">main volume of operations falls on other sectors, since growth of the population savings in foreign currency are taken into account in this sector. </w:t>
      </w:r>
      <w:r w:rsidRPr="004070E5">
        <w:rPr>
          <w:sz w:val="26"/>
          <w:szCs w:val="26"/>
          <w:lang w:val="en-US"/>
        </w:rPr>
        <w:t xml:space="preserve">At the same time, if the assets of the population in foreign currency are constantly increasing due to the repatriation (return) of incomes of citizens of the Republic of Uzbekistan working abroad, then the volume of </w:t>
      </w:r>
      <w:r w:rsidR="004A5468" w:rsidRPr="004070E5">
        <w:rPr>
          <w:sz w:val="26"/>
          <w:szCs w:val="26"/>
          <w:lang w:val="en-US"/>
        </w:rPr>
        <w:t xml:space="preserve">expenditures </w:t>
      </w:r>
      <w:r w:rsidR="006A081E">
        <w:rPr>
          <w:sz w:val="26"/>
          <w:szCs w:val="26"/>
          <w:lang w:val="en-US"/>
        </w:rPr>
        <w:t xml:space="preserve">increased </w:t>
      </w:r>
      <w:r w:rsidR="004A5468" w:rsidRPr="004070E5">
        <w:rPr>
          <w:sz w:val="26"/>
          <w:szCs w:val="26"/>
          <w:lang w:val="en-US"/>
        </w:rPr>
        <w:t xml:space="preserve">receipts </w:t>
      </w:r>
      <w:r w:rsidRPr="004070E5">
        <w:rPr>
          <w:sz w:val="26"/>
          <w:szCs w:val="26"/>
          <w:lang w:val="en-US"/>
        </w:rPr>
        <w:t xml:space="preserve">of funds </w:t>
      </w:r>
      <w:r w:rsidR="004A5468">
        <w:rPr>
          <w:sz w:val="26"/>
          <w:szCs w:val="26"/>
          <w:lang w:val="en-US"/>
        </w:rPr>
        <w:t>to</w:t>
      </w:r>
      <w:r w:rsidRPr="004070E5">
        <w:rPr>
          <w:sz w:val="26"/>
          <w:szCs w:val="26"/>
          <w:lang w:val="en-US"/>
        </w:rPr>
        <w:t xml:space="preserve"> the foreign accounts of residents - legal entities </w:t>
      </w:r>
      <w:r w:rsidR="004A5468">
        <w:rPr>
          <w:sz w:val="26"/>
          <w:szCs w:val="26"/>
          <w:lang w:val="en-US"/>
        </w:rPr>
        <w:t>in</w:t>
      </w:r>
      <w:r w:rsidRPr="004070E5">
        <w:rPr>
          <w:sz w:val="26"/>
          <w:szCs w:val="26"/>
          <w:lang w:val="en-US"/>
        </w:rPr>
        <w:t xml:space="preserve"> 2020.</w:t>
      </w:r>
      <w:r>
        <w:rPr>
          <w:rFonts w:asciiTheme="minorHAnsi" w:hAnsiTheme="minorHAnsi" w:cstheme="minorHAnsi"/>
          <w:sz w:val="26"/>
          <w:szCs w:val="26"/>
          <w:lang w:val="en-US"/>
        </w:rPr>
        <w:t xml:space="preserve"> </w:t>
      </w:r>
      <w:r w:rsidRPr="00184D1D">
        <w:rPr>
          <w:rFonts w:cs="Calibri"/>
          <w:color w:val="0070C0"/>
          <w:sz w:val="26"/>
          <w:szCs w:val="26"/>
          <w:lang w:val="en-US"/>
        </w:rPr>
        <w:t>(Figure 1</w:t>
      </w:r>
      <w:r w:rsidR="00AD4257">
        <w:rPr>
          <w:rFonts w:cs="Calibri"/>
          <w:color w:val="0070C0"/>
          <w:sz w:val="26"/>
          <w:szCs w:val="26"/>
          <w:lang w:val="en-US"/>
        </w:rPr>
        <w:t>6</w:t>
      </w:r>
      <w:r w:rsidRPr="00184D1D">
        <w:rPr>
          <w:rFonts w:cs="Calibri"/>
          <w:color w:val="0070C0"/>
          <w:sz w:val="26"/>
          <w:szCs w:val="26"/>
          <w:lang w:val="en-US"/>
        </w:rPr>
        <w:t>).</w:t>
      </w:r>
    </w:p>
    <w:p w:rsidR="00120228" w:rsidRPr="00F45A80" w:rsidRDefault="00B23450" w:rsidP="00B75F3E">
      <w:pPr>
        <w:spacing w:beforeLines="50" w:before="120"/>
        <w:ind w:firstLine="709"/>
        <w:jc w:val="right"/>
        <w:rPr>
          <w:lang w:val="en-US"/>
        </w:rPr>
      </w:pPr>
      <w:r>
        <w:rPr>
          <w:lang w:val="en-US"/>
        </w:rPr>
        <w:t>Figure</w:t>
      </w:r>
      <w:r w:rsidR="00487198">
        <w:rPr>
          <w:lang w:val="en-US"/>
        </w:rPr>
        <w:t xml:space="preserve"> 1</w:t>
      </w:r>
      <w:r w:rsidR="00AD4257">
        <w:rPr>
          <w:lang w:val="en-US"/>
        </w:rPr>
        <w:t>6</w:t>
      </w:r>
    </w:p>
    <w:p w:rsidR="00120228" w:rsidRPr="00B75F3E" w:rsidRDefault="00ED2D7D" w:rsidP="00B75F3E">
      <w:pPr>
        <w:spacing w:beforeLines="50" w:before="120"/>
        <w:ind w:firstLine="708"/>
        <w:jc w:val="center"/>
        <w:rPr>
          <w:rFonts w:cs="Calibri"/>
          <w:b/>
          <w:sz w:val="28"/>
          <w:szCs w:val="28"/>
          <w:lang w:val="en-US"/>
        </w:rPr>
      </w:pPr>
      <w:r w:rsidRPr="00B75F3E">
        <w:rPr>
          <w:rFonts w:cs="Calibri"/>
          <w:b/>
          <w:sz w:val="28"/>
          <w:szCs w:val="28"/>
          <w:lang w:val="en-US"/>
        </w:rPr>
        <w:t>NET CHANGES IN THE COMPONENT “CURRENCY AND DEPOSITS”</w:t>
      </w:r>
    </w:p>
    <w:p w:rsidR="00655C2A" w:rsidRPr="00F45A80" w:rsidRDefault="001C00A9" w:rsidP="00B75F3E">
      <w:pPr>
        <w:spacing w:beforeLines="50" w:before="120"/>
        <w:ind w:firstLine="708"/>
        <w:jc w:val="right"/>
        <w:rPr>
          <w:i/>
          <w:sz w:val="20"/>
          <w:szCs w:val="20"/>
          <w:lang w:val="en-US"/>
        </w:rPr>
      </w:pPr>
      <w:r w:rsidRPr="00F45A80">
        <w:rPr>
          <w:i/>
          <w:sz w:val="20"/>
          <w:szCs w:val="20"/>
          <w:lang w:val="en-US"/>
        </w:rPr>
        <w:t>(</w:t>
      </w:r>
      <w:r w:rsidR="005B43E3" w:rsidRPr="00F45A80">
        <w:rPr>
          <w:i/>
          <w:sz w:val="20"/>
          <w:szCs w:val="20"/>
          <w:lang w:val="en-US"/>
        </w:rPr>
        <w:t xml:space="preserve">mln. </w:t>
      </w:r>
      <w:r w:rsidRPr="00F45A80">
        <w:rPr>
          <w:i/>
          <w:sz w:val="20"/>
          <w:szCs w:val="20"/>
          <w:lang w:val="en-US"/>
        </w:rPr>
        <w:t>USD)</w:t>
      </w:r>
      <w:r w:rsidR="00570991" w:rsidRPr="00B527B7">
        <w:rPr>
          <w:noProof/>
          <w:lang w:val="en-US"/>
        </w:rPr>
        <w:t xml:space="preserve"> </w:t>
      </w:r>
      <w:r w:rsidR="00570991">
        <w:rPr>
          <w:noProof/>
        </w:rPr>
        <w:drawing>
          <wp:inline distT="0" distB="0" distL="0" distR="0" wp14:anchorId="146C6182" wp14:editId="2807812D">
            <wp:extent cx="6299835" cy="3403600"/>
            <wp:effectExtent l="0" t="0" r="5715" b="6350"/>
            <wp:docPr id="56" name="Диаграмма 56">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906C1" w:rsidRPr="004F3A65" w:rsidRDefault="005906C1" w:rsidP="005906C1">
      <w:pPr>
        <w:spacing w:before="120" w:line="288" w:lineRule="auto"/>
        <w:ind w:firstLine="709"/>
        <w:jc w:val="both"/>
        <w:rPr>
          <w:sz w:val="26"/>
          <w:szCs w:val="26"/>
          <w:lang w:val="en-US"/>
        </w:rPr>
      </w:pPr>
      <w:r w:rsidRPr="00803956">
        <w:rPr>
          <w:sz w:val="26"/>
          <w:szCs w:val="26"/>
          <w:lang w:val="en-US"/>
        </w:rPr>
        <w:lastRenderedPageBreak/>
        <w:t>Net changes in the currency and d</w:t>
      </w:r>
      <w:r>
        <w:rPr>
          <w:sz w:val="26"/>
          <w:szCs w:val="26"/>
          <w:lang w:val="en-US"/>
        </w:rPr>
        <w:t>eposits of the banking sector (</w:t>
      </w:r>
      <w:r w:rsidRPr="00803956">
        <w:rPr>
          <w:rFonts w:asciiTheme="minorHAnsi" w:hAnsiTheme="minorHAnsi" w:cstheme="minorHAnsi"/>
          <w:sz w:val="26"/>
          <w:szCs w:val="26"/>
          <w:lang w:val="en-US"/>
        </w:rPr>
        <w:t xml:space="preserve">balances </w:t>
      </w:r>
      <w:r w:rsidR="00147844">
        <w:rPr>
          <w:rFonts w:asciiTheme="minorHAnsi" w:hAnsiTheme="minorHAnsi" w:cstheme="minorHAnsi"/>
          <w:sz w:val="26"/>
          <w:szCs w:val="26"/>
          <w:lang w:val="en-US"/>
        </w:rPr>
        <w:br/>
      </w:r>
      <w:r w:rsidRPr="00803956">
        <w:rPr>
          <w:rFonts w:asciiTheme="minorHAnsi" w:hAnsiTheme="minorHAnsi" w:cstheme="minorHAnsi"/>
          <w:sz w:val="26"/>
          <w:szCs w:val="26"/>
          <w:lang w:val="en-US"/>
        </w:rPr>
        <w:t>of correspondent accounts and cash departments</w:t>
      </w:r>
      <w:r w:rsidRPr="00803956">
        <w:rPr>
          <w:sz w:val="26"/>
          <w:szCs w:val="26"/>
          <w:lang w:val="en-US"/>
        </w:rPr>
        <w:t xml:space="preserve">) were mainly formed as a result of the need to make payments on import operations of residents. </w:t>
      </w:r>
      <w:r w:rsidRPr="004070E5">
        <w:rPr>
          <w:sz w:val="26"/>
          <w:szCs w:val="26"/>
          <w:lang w:val="en-US"/>
        </w:rPr>
        <w:t xml:space="preserve">As a result, </w:t>
      </w:r>
      <w:r w:rsidR="005F1374">
        <w:rPr>
          <w:sz w:val="26"/>
          <w:szCs w:val="26"/>
          <w:lang w:val="en-US"/>
        </w:rPr>
        <w:t xml:space="preserve">for </w:t>
      </w:r>
      <w:r w:rsidRPr="004070E5">
        <w:rPr>
          <w:sz w:val="26"/>
          <w:szCs w:val="26"/>
          <w:lang w:val="en-US"/>
        </w:rPr>
        <w:t xml:space="preserve">2020, net assets of Uzbek banks in foreign currency and deposits </w:t>
      </w:r>
      <w:r w:rsidR="006545CC">
        <w:rPr>
          <w:sz w:val="26"/>
          <w:szCs w:val="26"/>
          <w:lang w:val="en-US"/>
        </w:rPr>
        <w:t>in</w:t>
      </w:r>
      <w:r w:rsidRPr="004070E5">
        <w:rPr>
          <w:sz w:val="26"/>
          <w:szCs w:val="26"/>
          <w:lang w:val="en-US"/>
        </w:rPr>
        <w:t xml:space="preserve">creased by </w:t>
      </w:r>
      <w:r>
        <w:rPr>
          <w:sz w:val="26"/>
          <w:szCs w:val="26"/>
          <w:lang w:val="en-US"/>
        </w:rPr>
        <w:t xml:space="preserve">USD </w:t>
      </w:r>
      <w:r w:rsidR="00E43B00">
        <w:rPr>
          <w:sz w:val="26"/>
          <w:szCs w:val="26"/>
          <w:lang w:val="en-US"/>
        </w:rPr>
        <w:t>617</w:t>
      </w:r>
      <w:r>
        <w:rPr>
          <w:sz w:val="26"/>
          <w:szCs w:val="26"/>
          <w:lang w:val="en-US"/>
        </w:rPr>
        <w:t xml:space="preserve"> </w:t>
      </w:r>
      <w:r w:rsidRPr="004070E5">
        <w:rPr>
          <w:sz w:val="26"/>
          <w:szCs w:val="26"/>
          <w:lang w:val="en-US"/>
        </w:rPr>
        <w:t>million.</w:t>
      </w:r>
      <w:r w:rsidR="004F3A65" w:rsidRPr="004F3A65">
        <w:rPr>
          <w:sz w:val="26"/>
          <w:szCs w:val="26"/>
          <w:lang w:val="en-US"/>
        </w:rPr>
        <w:t xml:space="preserve"> </w:t>
      </w:r>
      <w:r w:rsidR="00D35368">
        <w:rPr>
          <w:sz w:val="26"/>
          <w:szCs w:val="26"/>
          <w:lang w:val="en-US"/>
        </w:rPr>
        <w:t xml:space="preserve">The </w:t>
      </w:r>
      <w:r w:rsidR="00FA2BD5">
        <w:rPr>
          <w:sz w:val="26"/>
          <w:szCs w:val="26"/>
          <w:lang w:val="en-US"/>
        </w:rPr>
        <w:t xml:space="preserve">main </w:t>
      </w:r>
      <w:r w:rsidR="00D35368">
        <w:rPr>
          <w:sz w:val="26"/>
          <w:szCs w:val="26"/>
          <w:lang w:val="en-US"/>
        </w:rPr>
        <w:t xml:space="preserve">reason </w:t>
      </w:r>
      <w:r w:rsidR="00FA2BD5">
        <w:rPr>
          <w:sz w:val="26"/>
          <w:szCs w:val="26"/>
          <w:lang w:val="en-US"/>
        </w:rPr>
        <w:t>for</w:t>
      </w:r>
      <w:r w:rsidR="00D35368">
        <w:rPr>
          <w:sz w:val="26"/>
          <w:szCs w:val="26"/>
          <w:lang w:val="en-US"/>
        </w:rPr>
        <w:t xml:space="preserve"> </w:t>
      </w:r>
      <w:r w:rsidR="00FA2BD5">
        <w:rPr>
          <w:sz w:val="26"/>
          <w:szCs w:val="26"/>
          <w:lang w:val="en-US"/>
        </w:rPr>
        <w:t xml:space="preserve">that was </w:t>
      </w:r>
      <w:r w:rsidR="00FA2BD5">
        <w:rPr>
          <w:sz w:val="26"/>
          <w:szCs w:val="26"/>
          <w:lang w:val="en-US"/>
        </w:rPr>
        <w:t xml:space="preserve">net assets increase </w:t>
      </w:r>
      <w:r w:rsidR="00FA2BD5">
        <w:rPr>
          <w:sz w:val="26"/>
          <w:szCs w:val="26"/>
          <w:lang w:val="en-US"/>
        </w:rPr>
        <w:t xml:space="preserve">observed </w:t>
      </w:r>
      <w:r w:rsidR="00FA2BD5">
        <w:rPr>
          <w:sz w:val="26"/>
          <w:szCs w:val="26"/>
          <w:lang w:val="en-US"/>
        </w:rPr>
        <w:t>in the IV quarter of 2020</w:t>
      </w:r>
      <w:r w:rsidR="00FA2BD5">
        <w:rPr>
          <w:sz w:val="26"/>
          <w:szCs w:val="26"/>
          <w:lang w:val="en-US"/>
        </w:rPr>
        <w:t xml:space="preserve"> in the amount of</w:t>
      </w:r>
      <w:r w:rsidR="0002059F">
        <w:rPr>
          <w:sz w:val="26"/>
          <w:szCs w:val="26"/>
          <w:lang w:val="en-US"/>
        </w:rPr>
        <w:t xml:space="preserve"> </w:t>
      </w:r>
      <w:r w:rsidR="004F3A65">
        <w:rPr>
          <w:sz w:val="26"/>
          <w:szCs w:val="26"/>
          <w:lang w:val="en-US"/>
        </w:rPr>
        <w:t>USD 982 million.</w:t>
      </w:r>
    </w:p>
    <w:p w:rsidR="00C029D5" w:rsidRDefault="005906C1" w:rsidP="005906C1">
      <w:pPr>
        <w:spacing w:before="120" w:line="288" w:lineRule="auto"/>
        <w:ind w:firstLine="709"/>
        <w:jc w:val="both"/>
        <w:rPr>
          <w:sz w:val="26"/>
          <w:szCs w:val="26"/>
          <w:lang w:val="en-US"/>
        </w:rPr>
      </w:pPr>
      <w:r w:rsidRPr="00803956">
        <w:rPr>
          <w:sz w:val="26"/>
          <w:szCs w:val="26"/>
          <w:lang w:val="en-US"/>
        </w:rPr>
        <w:t xml:space="preserve">The balance of operations on trade </w:t>
      </w:r>
      <w:r>
        <w:rPr>
          <w:sz w:val="26"/>
          <w:szCs w:val="26"/>
          <w:lang w:val="en-US"/>
        </w:rPr>
        <w:t>credits</w:t>
      </w:r>
      <w:r w:rsidRPr="00803956">
        <w:rPr>
          <w:sz w:val="26"/>
          <w:szCs w:val="26"/>
          <w:lang w:val="en-US"/>
        </w:rPr>
        <w:t xml:space="preserve"> and advances provided to non-residents under foreign trade contracts was positive and amounted to </w:t>
      </w:r>
      <w:r>
        <w:rPr>
          <w:sz w:val="26"/>
          <w:szCs w:val="26"/>
          <w:lang w:val="en-US"/>
        </w:rPr>
        <w:t xml:space="preserve">USD </w:t>
      </w:r>
      <w:r w:rsidR="004F3A65">
        <w:rPr>
          <w:sz w:val="26"/>
          <w:szCs w:val="26"/>
          <w:lang w:val="en-US"/>
        </w:rPr>
        <w:t>2</w:t>
      </w:r>
      <w:r w:rsidR="005F1374">
        <w:rPr>
          <w:sz w:val="26"/>
          <w:szCs w:val="26"/>
          <w:lang w:val="en-US"/>
        </w:rPr>
        <w:t>.</w:t>
      </w:r>
      <w:r w:rsidR="004F3A65">
        <w:rPr>
          <w:sz w:val="26"/>
          <w:szCs w:val="26"/>
          <w:lang w:val="en-US"/>
        </w:rPr>
        <w:t>1</w:t>
      </w:r>
      <w:r w:rsidRPr="00803956">
        <w:rPr>
          <w:sz w:val="26"/>
          <w:szCs w:val="26"/>
          <w:lang w:val="en-US"/>
        </w:rPr>
        <w:t xml:space="preserve"> </w:t>
      </w:r>
      <w:r w:rsidR="005F1374">
        <w:rPr>
          <w:sz w:val="26"/>
          <w:szCs w:val="26"/>
          <w:lang w:val="en-US"/>
        </w:rPr>
        <w:t>b</w:t>
      </w:r>
      <w:r w:rsidRPr="00803956">
        <w:rPr>
          <w:sz w:val="26"/>
          <w:szCs w:val="26"/>
          <w:lang w:val="en-US"/>
        </w:rPr>
        <w:t xml:space="preserve">illion. This increase </w:t>
      </w:r>
      <w:r w:rsidR="00147844">
        <w:rPr>
          <w:sz w:val="26"/>
          <w:szCs w:val="26"/>
          <w:lang w:val="en-US"/>
        </w:rPr>
        <w:br/>
      </w:r>
      <w:r w:rsidRPr="00803956">
        <w:rPr>
          <w:sz w:val="26"/>
          <w:szCs w:val="26"/>
          <w:lang w:val="en-US"/>
        </w:rPr>
        <w:t xml:space="preserve">in </w:t>
      </w:r>
      <w:r>
        <w:rPr>
          <w:sz w:val="26"/>
          <w:szCs w:val="26"/>
          <w:lang w:val="en-US"/>
        </w:rPr>
        <w:t>accounts receivable</w:t>
      </w:r>
      <w:r w:rsidRPr="00803956">
        <w:rPr>
          <w:sz w:val="26"/>
          <w:szCs w:val="26"/>
          <w:lang w:val="en-US"/>
        </w:rPr>
        <w:t xml:space="preserve"> may be due to delays in production associated with the </w:t>
      </w:r>
      <w:r>
        <w:rPr>
          <w:sz w:val="26"/>
          <w:szCs w:val="26"/>
          <w:lang w:val="en-US"/>
        </w:rPr>
        <w:t xml:space="preserve">introduced </w:t>
      </w:r>
      <w:r w:rsidRPr="00803956">
        <w:rPr>
          <w:sz w:val="26"/>
          <w:szCs w:val="26"/>
          <w:lang w:val="en-US"/>
        </w:rPr>
        <w:t>quarantine measures.</w:t>
      </w:r>
    </w:p>
    <w:p w:rsidR="00CB2867" w:rsidRPr="00803956" w:rsidRDefault="00CB2867" w:rsidP="005906C1">
      <w:pPr>
        <w:spacing w:before="120" w:line="288" w:lineRule="auto"/>
        <w:ind w:firstLine="709"/>
        <w:jc w:val="both"/>
        <w:rPr>
          <w:sz w:val="26"/>
          <w:szCs w:val="26"/>
          <w:lang w:val="en-US"/>
        </w:rPr>
      </w:pPr>
    </w:p>
    <w:p w:rsidR="00C029D5" w:rsidRPr="00C029D5" w:rsidRDefault="00C029D5" w:rsidP="00C029D5">
      <w:pPr>
        <w:spacing w:before="120" w:line="288" w:lineRule="auto"/>
        <w:ind w:firstLine="709"/>
        <w:jc w:val="both"/>
        <w:rPr>
          <w:rFonts w:asciiTheme="minorHAnsi" w:hAnsiTheme="minorHAnsi" w:cstheme="minorHAnsi"/>
          <w:sz w:val="26"/>
          <w:szCs w:val="26"/>
          <w:u w:val="single"/>
          <w:lang w:val="en-US"/>
        </w:rPr>
      </w:pPr>
      <w:r w:rsidRPr="00C029D5">
        <w:rPr>
          <w:rFonts w:asciiTheme="minorHAnsi" w:hAnsiTheme="minorHAnsi" w:cstheme="minorHAnsi"/>
          <w:sz w:val="26"/>
          <w:szCs w:val="26"/>
          <w:u w:val="single"/>
          <w:lang w:val="en-US"/>
        </w:rPr>
        <w:t>Liabilities</w:t>
      </w:r>
    </w:p>
    <w:p w:rsidR="005906C1" w:rsidRPr="00C029D5" w:rsidRDefault="00FB29F2" w:rsidP="005906C1">
      <w:pPr>
        <w:spacing w:before="120" w:line="288" w:lineRule="auto"/>
        <w:ind w:firstLine="709"/>
        <w:jc w:val="both"/>
        <w:rPr>
          <w:rFonts w:asciiTheme="minorHAnsi" w:hAnsiTheme="minorHAnsi" w:cstheme="minorHAnsi"/>
          <w:sz w:val="26"/>
          <w:szCs w:val="26"/>
          <w:lang w:val="en-US"/>
        </w:rPr>
      </w:pPr>
      <w:r>
        <w:rPr>
          <w:rFonts w:asciiTheme="minorHAnsi" w:hAnsiTheme="minorHAnsi" w:cstheme="minorHAnsi"/>
          <w:sz w:val="26"/>
          <w:szCs w:val="26"/>
          <w:lang w:val="en-US"/>
        </w:rPr>
        <w:t xml:space="preserve">For </w:t>
      </w:r>
      <w:r w:rsidR="005906C1">
        <w:rPr>
          <w:rFonts w:asciiTheme="minorHAnsi" w:hAnsiTheme="minorHAnsi" w:cstheme="minorHAnsi"/>
          <w:sz w:val="26"/>
          <w:szCs w:val="26"/>
          <w:lang w:val="en-US"/>
        </w:rPr>
        <w:t>2020,</w:t>
      </w:r>
      <w:r w:rsidR="005906C1" w:rsidRPr="00C029D5">
        <w:rPr>
          <w:rFonts w:asciiTheme="minorHAnsi" w:hAnsiTheme="minorHAnsi" w:cstheme="minorHAnsi"/>
          <w:sz w:val="26"/>
          <w:szCs w:val="26"/>
          <w:lang w:val="en-US"/>
        </w:rPr>
        <w:t xml:space="preserve"> </w:t>
      </w:r>
      <w:r w:rsidR="005906C1">
        <w:rPr>
          <w:rFonts w:asciiTheme="minorHAnsi" w:hAnsiTheme="minorHAnsi" w:cstheme="minorHAnsi"/>
          <w:sz w:val="26"/>
          <w:szCs w:val="26"/>
          <w:lang w:val="en-US"/>
        </w:rPr>
        <w:t xml:space="preserve">net increase of liabilities of </w:t>
      </w:r>
      <w:r w:rsidR="005906C1" w:rsidRPr="00BD569F">
        <w:rPr>
          <w:rFonts w:asciiTheme="minorHAnsi" w:hAnsiTheme="minorHAnsi" w:cstheme="minorHAnsi"/>
          <w:sz w:val="26"/>
          <w:szCs w:val="26"/>
          <w:lang w:val="en-US"/>
        </w:rPr>
        <w:t>«</w:t>
      </w:r>
      <w:r w:rsidR="005906C1" w:rsidRPr="00C029D5">
        <w:rPr>
          <w:rFonts w:asciiTheme="minorHAnsi" w:hAnsiTheme="minorHAnsi" w:cstheme="minorHAnsi"/>
          <w:sz w:val="26"/>
          <w:szCs w:val="26"/>
          <w:lang w:val="en-US"/>
        </w:rPr>
        <w:t>other inve</w:t>
      </w:r>
      <w:r w:rsidR="005906C1">
        <w:rPr>
          <w:rFonts w:asciiTheme="minorHAnsi" w:hAnsiTheme="minorHAnsi" w:cstheme="minorHAnsi"/>
          <w:sz w:val="26"/>
          <w:szCs w:val="26"/>
          <w:lang w:val="en-US"/>
        </w:rPr>
        <w:t>stments</w:t>
      </w:r>
      <w:r w:rsidR="005906C1" w:rsidRPr="00BD569F">
        <w:rPr>
          <w:rFonts w:asciiTheme="minorHAnsi" w:hAnsiTheme="minorHAnsi" w:cstheme="minorHAnsi"/>
          <w:sz w:val="26"/>
          <w:szCs w:val="26"/>
          <w:lang w:val="en-US"/>
        </w:rPr>
        <w:t>»</w:t>
      </w:r>
      <w:r w:rsidR="005906C1">
        <w:rPr>
          <w:rFonts w:asciiTheme="minorHAnsi" w:hAnsiTheme="minorHAnsi" w:cstheme="minorHAnsi"/>
          <w:sz w:val="26"/>
          <w:szCs w:val="26"/>
          <w:lang w:val="en-US"/>
        </w:rPr>
        <w:t xml:space="preserve"> section accounted for </w:t>
      </w:r>
      <w:r w:rsidR="005906C1" w:rsidRPr="00C029D5">
        <w:rPr>
          <w:rFonts w:asciiTheme="minorHAnsi" w:hAnsiTheme="minorHAnsi" w:cstheme="minorHAnsi"/>
          <w:sz w:val="26"/>
          <w:szCs w:val="26"/>
          <w:lang w:val="en-US"/>
        </w:rPr>
        <w:t xml:space="preserve">USD </w:t>
      </w:r>
      <w:r w:rsidR="004F3A65">
        <w:rPr>
          <w:rFonts w:asciiTheme="minorHAnsi" w:hAnsiTheme="minorHAnsi" w:cstheme="minorHAnsi"/>
          <w:sz w:val="26"/>
          <w:szCs w:val="26"/>
          <w:lang w:val="en-US"/>
        </w:rPr>
        <w:t>7.9</w:t>
      </w:r>
      <w:r w:rsidR="005906C1" w:rsidRPr="00C029D5">
        <w:rPr>
          <w:rFonts w:asciiTheme="minorHAnsi" w:hAnsiTheme="minorHAnsi" w:cstheme="minorHAnsi"/>
          <w:sz w:val="26"/>
          <w:szCs w:val="26"/>
          <w:lang w:val="en-US"/>
        </w:rPr>
        <w:t xml:space="preserve"> billion (</w:t>
      </w:r>
      <w:r w:rsidR="005906C1" w:rsidRPr="00836534">
        <w:rPr>
          <w:rFonts w:asciiTheme="minorHAnsi" w:hAnsiTheme="minorHAnsi" w:cstheme="minorHAnsi"/>
          <w:i/>
          <w:sz w:val="26"/>
          <w:szCs w:val="26"/>
          <w:lang w:val="en-US"/>
        </w:rPr>
        <w:t xml:space="preserve">increased by USD </w:t>
      </w:r>
      <w:r>
        <w:rPr>
          <w:rFonts w:asciiTheme="minorHAnsi" w:hAnsiTheme="minorHAnsi" w:cstheme="minorHAnsi"/>
          <w:i/>
          <w:sz w:val="26"/>
          <w:szCs w:val="26"/>
          <w:lang w:val="en-US"/>
        </w:rPr>
        <w:t>2.</w:t>
      </w:r>
      <w:r w:rsidR="004F3A65">
        <w:rPr>
          <w:rFonts w:asciiTheme="minorHAnsi" w:hAnsiTheme="minorHAnsi" w:cstheme="minorHAnsi"/>
          <w:i/>
          <w:sz w:val="26"/>
          <w:szCs w:val="26"/>
          <w:lang w:val="en-US"/>
        </w:rPr>
        <w:t>5</w:t>
      </w:r>
      <w:r w:rsidR="005906C1" w:rsidRPr="00836534">
        <w:rPr>
          <w:rFonts w:asciiTheme="minorHAnsi" w:hAnsiTheme="minorHAnsi" w:cstheme="minorHAnsi"/>
          <w:i/>
          <w:sz w:val="26"/>
          <w:szCs w:val="26"/>
          <w:lang w:val="en-US"/>
        </w:rPr>
        <w:t xml:space="preserve"> </w:t>
      </w:r>
      <w:r>
        <w:rPr>
          <w:rFonts w:asciiTheme="minorHAnsi" w:hAnsiTheme="minorHAnsi" w:cstheme="minorHAnsi"/>
          <w:i/>
          <w:sz w:val="26"/>
          <w:szCs w:val="26"/>
          <w:lang w:val="en-US"/>
        </w:rPr>
        <w:t>b</w:t>
      </w:r>
      <w:r w:rsidR="005906C1" w:rsidRPr="00836534">
        <w:rPr>
          <w:rFonts w:asciiTheme="minorHAnsi" w:hAnsiTheme="minorHAnsi" w:cstheme="minorHAnsi"/>
          <w:i/>
          <w:sz w:val="26"/>
          <w:szCs w:val="26"/>
          <w:lang w:val="en-US"/>
        </w:rPr>
        <w:t>illion</w:t>
      </w:r>
      <w:r w:rsidR="005906C1" w:rsidRPr="00C029D5">
        <w:rPr>
          <w:rFonts w:asciiTheme="minorHAnsi" w:hAnsiTheme="minorHAnsi" w:cstheme="minorHAnsi"/>
          <w:sz w:val="26"/>
          <w:szCs w:val="26"/>
          <w:lang w:val="en-US"/>
        </w:rPr>
        <w:t xml:space="preserve">). </w:t>
      </w:r>
      <w:r w:rsidR="005906C1" w:rsidRPr="004070E5">
        <w:rPr>
          <w:sz w:val="26"/>
          <w:szCs w:val="26"/>
          <w:lang w:val="en-US"/>
        </w:rPr>
        <w:t xml:space="preserve">This growth was largely driven by a sharp increase in the </w:t>
      </w:r>
      <w:r w:rsidR="005906C1" w:rsidRPr="006D4468">
        <w:rPr>
          <w:sz w:val="26"/>
          <w:szCs w:val="26"/>
          <w:lang w:val="en-US"/>
        </w:rPr>
        <w:t>«</w:t>
      </w:r>
      <w:r w:rsidR="005906C1" w:rsidRPr="004070E5">
        <w:rPr>
          <w:sz w:val="26"/>
          <w:szCs w:val="26"/>
          <w:lang w:val="en-US"/>
        </w:rPr>
        <w:t xml:space="preserve">Loans and </w:t>
      </w:r>
      <w:r w:rsidR="005906C1">
        <w:rPr>
          <w:sz w:val="26"/>
          <w:szCs w:val="26"/>
          <w:lang w:val="en-US"/>
        </w:rPr>
        <w:t>borrowings</w:t>
      </w:r>
      <w:r w:rsidR="005906C1" w:rsidRPr="006D4468">
        <w:rPr>
          <w:sz w:val="26"/>
          <w:szCs w:val="26"/>
          <w:lang w:val="en-US"/>
        </w:rPr>
        <w:t>»</w:t>
      </w:r>
      <w:r w:rsidR="005906C1" w:rsidRPr="004070E5">
        <w:rPr>
          <w:sz w:val="26"/>
          <w:szCs w:val="26"/>
          <w:lang w:val="en-US"/>
        </w:rPr>
        <w:t xml:space="preserve"> </w:t>
      </w:r>
      <w:r w:rsidR="005906C1" w:rsidRPr="00FB29F2">
        <w:rPr>
          <w:sz w:val="26"/>
          <w:szCs w:val="26"/>
          <w:lang w:val="en-US"/>
        </w:rPr>
        <w:t>component,</w:t>
      </w:r>
      <w:r w:rsidRPr="00FB29F2">
        <w:rPr>
          <w:sz w:val="26"/>
          <w:szCs w:val="26"/>
          <w:lang w:val="en-US"/>
        </w:rPr>
        <w:t xml:space="preserve"> as well as trade credit </w:t>
      </w:r>
      <w:r>
        <w:rPr>
          <w:sz w:val="26"/>
          <w:szCs w:val="26"/>
          <w:lang w:val="en-US"/>
        </w:rPr>
        <w:t>and advances.</w:t>
      </w:r>
    </w:p>
    <w:p w:rsidR="005906C1" w:rsidRDefault="005906C1" w:rsidP="005906C1">
      <w:pPr>
        <w:spacing w:before="120" w:line="288" w:lineRule="auto"/>
        <w:ind w:firstLine="709"/>
        <w:jc w:val="both"/>
        <w:rPr>
          <w:rFonts w:asciiTheme="minorHAnsi" w:hAnsiTheme="minorHAnsi" w:cstheme="minorHAnsi"/>
          <w:sz w:val="26"/>
          <w:szCs w:val="26"/>
          <w:lang w:val="en-US"/>
        </w:rPr>
      </w:pPr>
      <w:r w:rsidRPr="00800E40">
        <w:rPr>
          <w:rFonts w:asciiTheme="minorHAnsi" w:hAnsiTheme="minorHAnsi" w:cstheme="minorHAnsi"/>
          <w:sz w:val="26"/>
          <w:szCs w:val="26"/>
          <w:lang w:val="en-US"/>
        </w:rPr>
        <w:t>An analysis of the «</w:t>
      </w:r>
      <w:r>
        <w:rPr>
          <w:rFonts w:asciiTheme="minorHAnsi" w:hAnsiTheme="minorHAnsi" w:cstheme="minorHAnsi"/>
          <w:sz w:val="26"/>
          <w:szCs w:val="26"/>
          <w:lang w:val="en-US"/>
        </w:rPr>
        <w:t xml:space="preserve">loans </w:t>
      </w:r>
      <w:r w:rsidRPr="006D4468">
        <w:rPr>
          <w:rFonts w:asciiTheme="minorHAnsi" w:hAnsiTheme="minorHAnsi" w:cstheme="minorHAnsi"/>
          <w:sz w:val="26"/>
          <w:szCs w:val="26"/>
          <w:lang w:val="en-US"/>
        </w:rPr>
        <w:t>and borrowings</w:t>
      </w:r>
      <w:r w:rsidRPr="00800E40">
        <w:rPr>
          <w:rFonts w:asciiTheme="minorHAnsi" w:hAnsiTheme="minorHAnsi" w:cstheme="minorHAnsi"/>
          <w:sz w:val="26"/>
          <w:szCs w:val="26"/>
          <w:lang w:val="en-US"/>
        </w:rPr>
        <w:t>» component by secto</w:t>
      </w:r>
      <w:r w:rsidR="004F3A65">
        <w:rPr>
          <w:rFonts w:asciiTheme="minorHAnsi" w:hAnsiTheme="minorHAnsi" w:cstheme="minorHAnsi"/>
          <w:sz w:val="26"/>
          <w:szCs w:val="26"/>
          <w:lang w:val="en-US"/>
        </w:rPr>
        <w:t xml:space="preserve">r of the economy showed that since 2018, the rate of accumulation of borrowings by the general government sector has maintained a tendency of </w:t>
      </w:r>
      <w:r w:rsidR="00CB2867">
        <w:rPr>
          <w:rFonts w:asciiTheme="minorHAnsi" w:hAnsiTheme="minorHAnsi" w:cstheme="minorHAnsi"/>
          <w:sz w:val="26"/>
          <w:szCs w:val="26"/>
          <w:lang w:val="en-US"/>
        </w:rPr>
        <w:t xml:space="preserve">sharply </w:t>
      </w:r>
      <w:r w:rsidR="004F3A65">
        <w:rPr>
          <w:rFonts w:asciiTheme="minorHAnsi" w:hAnsiTheme="minorHAnsi" w:cstheme="minorHAnsi"/>
          <w:sz w:val="26"/>
          <w:szCs w:val="26"/>
          <w:lang w:val="en-US"/>
        </w:rPr>
        <w:t>increasing liabilities.</w:t>
      </w:r>
      <w:r w:rsidRPr="00800E40">
        <w:rPr>
          <w:rFonts w:asciiTheme="minorHAnsi" w:hAnsiTheme="minorHAnsi" w:cstheme="minorHAnsi"/>
          <w:sz w:val="26"/>
          <w:szCs w:val="26"/>
          <w:lang w:val="en-US"/>
        </w:rPr>
        <w:t xml:space="preserve"> Thus, the net acceptance of </w:t>
      </w:r>
      <w:r>
        <w:rPr>
          <w:rFonts w:asciiTheme="minorHAnsi" w:hAnsiTheme="minorHAnsi" w:cstheme="minorHAnsi"/>
          <w:sz w:val="26"/>
          <w:szCs w:val="26"/>
          <w:lang w:val="en-US"/>
        </w:rPr>
        <w:t>liabilities</w:t>
      </w:r>
      <w:r w:rsidRPr="00800E40">
        <w:rPr>
          <w:rFonts w:asciiTheme="minorHAnsi" w:hAnsiTheme="minorHAnsi" w:cstheme="minorHAnsi"/>
          <w:sz w:val="26"/>
          <w:szCs w:val="26"/>
          <w:lang w:val="en-US"/>
        </w:rPr>
        <w:t xml:space="preserve"> on external loans of the </w:t>
      </w:r>
      <w:r>
        <w:rPr>
          <w:rFonts w:asciiTheme="minorHAnsi" w:hAnsiTheme="minorHAnsi" w:cstheme="minorHAnsi"/>
          <w:sz w:val="26"/>
          <w:szCs w:val="26"/>
          <w:lang w:val="en-US"/>
        </w:rPr>
        <w:t>government sector</w:t>
      </w:r>
      <w:r w:rsidRPr="00800E40">
        <w:rPr>
          <w:rFonts w:asciiTheme="minorHAnsi" w:hAnsiTheme="minorHAnsi" w:cstheme="minorHAnsi"/>
          <w:sz w:val="26"/>
          <w:szCs w:val="26"/>
          <w:lang w:val="en-US"/>
        </w:rPr>
        <w:t xml:space="preserve"> amounted to </w:t>
      </w:r>
      <w:r>
        <w:rPr>
          <w:rFonts w:asciiTheme="minorHAnsi" w:hAnsiTheme="minorHAnsi" w:cstheme="minorHAnsi"/>
          <w:sz w:val="26"/>
          <w:szCs w:val="26"/>
          <w:lang w:val="en-US"/>
        </w:rPr>
        <w:t>USD</w:t>
      </w:r>
      <w:r w:rsidRPr="00800E40">
        <w:rPr>
          <w:rFonts w:asciiTheme="minorHAnsi" w:hAnsiTheme="minorHAnsi" w:cstheme="minorHAnsi"/>
          <w:sz w:val="26"/>
          <w:szCs w:val="26"/>
          <w:lang w:val="en-US"/>
        </w:rPr>
        <w:t xml:space="preserve"> </w:t>
      </w:r>
      <w:r w:rsidR="004F3A65">
        <w:rPr>
          <w:rFonts w:asciiTheme="minorHAnsi" w:hAnsiTheme="minorHAnsi" w:cstheme="minorHAnsi"/>
          <w:sz w:val="26"/>
          <w:szCs w:val="26"/>
          <w:lang w:val="en-US"/>
        </w:rPr>
        <w:t>3</w:t>
      </w:r>
      <w:r>
        <w:rPr>
          <w:rFonts w:asciiTheme="minorHAnsi" w:hAnsiTheme="minorHAnsi" w:cstheme="minorHAnsi"/>
          <w:sz w:val="26"/>
          <w:szCs w:val="26"/>
          <w:lang w:val="en-US"/>
        </w:rPr>
        <w:t>.</w:t>
      </w:r>
      <w:r w:rsidR="004F3A65">
        <w:rPr>
          <w:rFonts w:asciiTheme="minorHAnsi" w:hAnsiTheme="minorHAnsi" w:cstheme="minorHAnsi"/>
          <w:sz w:val="26"/>
          <w:szCs w:val="26"/>
          <w:lang w:val="en-US"/>
        </w:rPr>
        <w:t>3</w:t>
      </w:r>
      <w:r>
        <w:rPr>
          <w:rFonts w:asciiTheme="minorHAnsi" w:hAnsiTheme="minorHAnsi" w:cstheme="minorHAnsi"/>
          <w:sz w:val="26"/>
          <w:szCs w:val="26"/>
          <w:lang w:val="en-US"/>
        </w:rPr>
        <w:t xml:space="preserve"> b</w:t>
      </w:r>
      <w:r w:rsidRPr="00800E40">
        <w:rPr>
          <w:rFonts w:asciiTheme="minorHAnsi" w:hAnsiTheme="minorHAnsi" w:cstheme="minorHAnsi"/>
          <w:sz w:val="26"/>
          <w:szCs w:val="26"/>
          <w:lang w:val="en-US"/>
        </w:rPr>
        <w:t>illion</w:t>
      </w:r>
      <w:r>
        <w:rPr>
          <w:rFonts w:asciiTheme="minorHAnsi" w:hAnsiTheme="minorHAnsi" w:cstheme="minorHAnsi"/>
          <w:sz w:val="26"/>
          <w:szCs w:val="26"/>
          <w:lang w:val="en-US"/>
        </w:rPr>
        <w:t xml:space="preserve"> </w:t>
      </w:r>
      <w:r w:rsidRPr="006D4468">
        <w:rPr>
          <w:rFonts w:asciiTheme="minorHAnsi" w:hAnsiTheme="minorHAnsi" w:cstheme="minorHAnsi"/>
          <w:sz w:val="26"/>
          <w:szCs w:val="26"/>
          <w:lang w:val="en-US"/>
        </w:rPr>
        <w:t>(USD 2,</w:t>
      </w:r>
      <w:r w:rsidR="004F3A65">
        <w:rPr>
          <w:rFonts w:asciiTheme="minorHAnsi" w:hAnsiTheme="minorHAnsi" w:cstheme="minorHAnsi"/>
          <w:sz w:val="26"/>
          <w:szCs w:val="26"/>
          <w:lang w:val="en-US"/>
        </w:rPr>
        <w:t>8</w:t>
      </w:r>
      <w:r w:rsidRPr="006D4468">
        <w:rPr>
          <w:rFonts w:asciiTheme="minorHAnsi" w:hAnsiTheme="minorHAnsi" w:cstheme="minorHAnsi"/>
          <w:sz w:val="26"/>
          <w:szCs w:val="26"/>
          <w:lang w:val="en-US"/>
        </w:rPr>
        <w:t xml:space="preserve"> billion a year earlier)</w:t>
      </w:r>
      <w:r w:rsidRPr="00800E40">
        <w:rPr>
          <w:rFonts w:asciiTheme="minorHAnsi" w:hAnsiTheme="minorHAnsi" w:cstheme="minorHAnsi"/>
          <w:sz w:val="26"/>
          <w:szCs w:val="26"/>
          <w:lang w:val="en-US"/>
        </w:rPr>
        <w:t>. These funds are intended to be used to mitigate the effects of the global pandemic</w:t>
      </w:r>
      <w:r w:rsidR="001005D0">
        <w:rPr>
          <w:rFonts w:asciiTheme="minorHAnsi" w:hAnsiTheme="minorHAnsi" w:cstheme="minorHAnsi"/>
          <w:sz w:val="26"/>
          <w:szCs w:val="26"/>
          <w:lang w:val="en-US"/>
        </w:rPr>
        <w:t>, health-care system support</w:t>
      </w:r>
      <w:r w:rsidRPr="00800E40">
        <w:rPr>
          <w:rFonts w:asciiTheme="minorHAnsi" w:hAnsiTheme="minorHAnsi" w:cstheme="minorHAnsi"/>
          <w:sz w:val="26"/>
          <w:szCs w:val="26"/>
          <w:lang w:val="en-US"/>
        </w:rPr>
        <w:t xml:space="preserve"> and to further finance state targeted programs for the development of industries and regions</w:t>
      </w:r>
      <w:r>
        <w:rPr>
          <w:rFonts w:asciiTheme="minorHAnsi" w:hAnsiTheme="minorHAnsi" w:cstheme="minorHAnsi"/>
          <w:sz w:val="26"/>
          <w:szCs w:val="26"/>
          <w:lang w:val="en-US"/>
        </w:rPr>
        <w:t xml:space="preserve"> (infrastructure projects)</w:t>
      </w:r>
      <w:r w:rsidRPr="00800E40">
        <w:rPr>
          <w:rFonts w:asciiTheme="minorHAnsi" w:hAnsiTheme="minorHAnsi" w:cstheme="minorHAnsi"/>
          <w:sz w:val="26"/>
          <w:szCs w:val="26"/>
          <w:lang w:val="en-US"/>
        </w:rPr>
        <w:t>.</w:t>
      </w:r>
      <w:r w:rsidRPr="00C029D5">
        <w:rPr>
          <w:rFonts w:asciiTheme="minorHAnsi" w:hAnsiTheme="minorHAnsi" w:cstheme="minorHAnsi"/>
          <w:sz w:val="26"/>
          <w:szCs w:val="26"/>
          <w:lang w:val="en-US"/>
        </w:rPr>
        <w:t xml:space="preserve"> </w:t>
      </w:r>
      <w:r>
        <w:rPr>
          <w:rFonts w:asciiTheme="minorHAnsi" w:hAnsiTheme="minorHAnsi" w:cstheme="minorHAnsi"/>
          <w:color w:val="0070C0"/>
          <w:sz w:val="26"/>
          <w:szCs w:val="26"/>
          <w:lang w:val="en-US"/>
        </w:rPr>
        <w:t>(Figure 1</w:t>
      </w:r>
      <w:r w:rsidR="00AD4257">
        <w:rPr>
          <w:rFonts w:asciiTheme="minorHAnsi" w:hAnsiTheme="minorHAnsi" w:cstheme="minorHAnsi"/>
          <w:color w:val="0070C0"/>
          <w:sz w:val="26"/>
          <w:szCs w:val="26"/>
          <w:lang w:val="en-US"/>
        </w:rPr>
        <w:t>7</w:t>
      </w:r>
      <w:r w:rsidRPr="00C029D5">
        <w:rPr>
          <w:rFonts w:asciiTheme="minorHAnsi" w:hAnsiTheme="minorHAnsi" w:cstheme="minorHAnsi"/>
          <w:color w:val="0070C0"/>
          <w:sz w:val="26"/>
          <w:szCs w:val="26"/>
          <w:lang w:val="en-US"/>
        </w:rPr>
        <w:t>)</w:t>
      </w:r>
      <w:r w:rsidRPr="00C029D5">
        <w:rPr>
          <w:rFonts w:asciiTheme="minorHAnsi" w:hAnsiTheme="minorHAnsi" w:cstheme="minorHAnsi"/>
          <w:sz w:val="26"/>
          <w:szCs w:val="26"/>
          <w:lang w:val="en-US"/>
        </w:rPr>
        <w:t>.</w:t>
      </w:r>
    </w:p>
    <w:p w:rsidR="005906C1" w:rsidRPr="00C029D5" w:rsidRDefault="005906C1" w:rsidP="005906C1">
      <w:pPr>
        <w:spacing w:before="120" w:line="288" w:lineRule="auto"/>
        <w:ind w:firstLine="709"/>
        <w:jc w:val="both"/>
        <w:rPr>
          <w:rFonts w:asciiTheme="minorHAnsi" w:hAnsiTheme="minorHAnsi" w:cstheme="minorHAnsi"/>
          <w:sz w:val="26"/>
          <w:szCs w:val="26"/>
          <w:lang w:val="en-US"/>
        </w:rPr>
      </w:pPr>
      <w:r w:rsidRPr="004070E5">
        <w:rPr>
          <w:sz w:val="26"/>
          <w:szCs w:val="26"/>
          <w:lang w:val="en-US"/>
        </w:rPr>
        <w:t xml:space="preserve">The net growth of liabilities on loans and borrowings of the banking sector </w:t>
      </w:r>
      <w:r w:rsidR="004F3A65">
        <w:rPr>
          <w:sz w:val="26"/>
          <w:szCs w:val="26"/>
          <w:lang w:val="en-US"/>
        </w:rPr>
        <w:t>for</w:t>
      </w:r>
      <w:r>
        <w:rPr>
          <w:sz w:val="26"/>
          <w:szCs w:val="26"/>
          <w:lang w:val="en-US"/>
        </w:rPr>
        <w:t xml:space="preserve"> </w:t>
      </w:r>
      <w:r w:rsidRPr="004070E5">
        <w:rPr>
          <w:sz w:val="26"/>
          <w:szCs w:val="26"/>
          <w:lang w:val="en-US"/>
        </w:rPr>
        <w:t xml:space="preserve">2020 </w:t>
      </w:r>
      <w:r w:rsidR="00CB2867">
        <w:rPr>
          <w:sz w:val="26"/>
          <w:szCs w:val="26"/>
          <w:lang w:val="en-US"/>
        </w:rPr>
        <w:br/>
      </w:r>
      <w:r w:rsidRPr="004070E5">
        <w:rPr>
          <w:sz w:val="26"/>
          <w:szCs w:val="26"/>
          <w:lang w:val="en-US"/>
        </w:rPr>
        <w:t xml:space="preserve">was equal to </w:t>
      </w:r>
      <w:r>
        <w:rPr>
          <w:sz w:val="26"/>
          <w:szCs w:val="26"/>
          <w:lang w:val="en-US"/>
        </w:rPr>
        <w:t>USD</w:t>
      </w:r>
      <w:r w:rsidRPr="004070E5">
        <w:rPr>
          <w:sz w:val="26"/>
          <w:szCs w:val="26"/>
          <w:lang w:val="en-US"/>
        </w:rPr>
        <w:t xml:space="preserve"> </w:t>
      </w:r>
      <w:r w:rsidR="004F3A65">
        <w:rPr>
          <w:sz w:val="26"/>
          <w:szCs w:val="26"/>
          <w:lang w:val="en-US"/>
        </w:rPr>
        <w:t>2</w:t>
      </w:r>
      <w:r w:rsidRPr="004070E5">
        <w:rPr>
          <w:sz w:val="26"/>
          <w:szCs w:val="26"/>
          <w:lang w:val="en-US"/>
        </w:rPr>
        <w:t>.</w:t>
      </w:r>
      <w:r w:rsidR="004F3A65">
        <w:rPr>
          <w:sz w:val="26"/>
          <w:szCs w:val="26"/>
          <w:lang w:val="en-US"/>
        </w:rPr>
        <w:t>5</w:t>
      </w:r>
      <w:r w:rsidRPr="004070E5">
        <w:rPr>
          <w:sz w:val="26"/>
          <w:szCs w:val="26"/>
          <w:lang w:val="en-US"/>
        </w:rPr>
        <w:t xml:space="preserve"> billion, which is </w:t>
      </w:r>
      <w:r w:rsidR="004F3A65">
        <w:rPr>
          <w:sz w:val="26"/>
          <w:szCs w:val="26"/>
          <w:lang w:val="en-US"/>
        </w:rPr>
        <w:t>1.5</w:t>
      </w:r>
      <w:r w:rsidRPr="004070E5">
        <w:rPr>
          <w:sz w:val="26"/>
          <w:szCs w:val="26"/>
          <w:lang w:val="en-US"/>
        </w:rPr>
        <w:t xml:space="preserve"> times more compared to the same indicator in 2019. </w:t>
      </w:r>
      <w:r w:rsidR="00CB2867">
        <w:rPr>
          <w:sz w:val="26"/>
          <w:szCs w:val="26"/>
          <w:lang w:val="en-US"/>
        </w:rPr>
        <w:br/>
      </w:r>
      <w:r w:rsidRPr="004070E5">
        <w:rPr>
          <w:sz w:val="26"/>
          <w:szCs w:val="26"/>
          <w:lang w:val="en-US"/>
        </w:rPr>
        <w:t xml:space="preserve">This growth </w:t>
      </w:r>
      <w:r>
        <w:rPr>
          <w:sz w:val="26"/>
          <w:szCs w:val="26"/>
          <w:lang w:val="en-US"/>
        </w:rPr>
        <w:t>wa</w:t>
      </w:r>
      <w:r w:rsidRPr="004070E5">
        <w:rPr>
          <w:sz w:val="26"/>
          <w:szCs w:val="26"/>
          <w:lang w:val="en-US"/>
        </w:rPr>
        <w:t>s associated with the intensification of the activities of domestic banks to attract funds from foreign banks and international financial institutions for subsequent refinancing.</w:t>
      </w:r>
      <w:r w:rsidRPr="00C029D5">
        <w:rPr>
          <w:rFonts w:asciiTheme="minorHAnsi" w:hAnsiTheme="minorHAnsi" w:cstheme="minorHAnsi"/>
          <w:sz w:val="26"/>
          <w:szCs w:val="26"/>
          <w:lang w:val="en-US"/>
        </w:rPr>
        <w:t xml:space="preserve"> </w:t>
      </w:r>
    </w:p>
    <w:p w:rsidR="005906C1" w:rsidRPr="00C029D5" w:rsidRDefault="005906C1" w:rsidP="005906C1">
      <w:pPr>
        <w:spacing w:before="120" w:line="288" w:lineRule="auto"/>
        <w:ind w:firstLine="709"/>
        <w:jc w:val="both"/>
        <w:rPr>
          <w:rFonts w:asciiTheme="minorHAnsi" w:hAnsiTheme="minorHAnsi" w:cstheme="minorHAnsi"/>
          <w:sz w:val="26"/>
          <w:szCs w:val="26"/>
          <w:lang w:val="en-US"/>
        </w:rPr>
      </w:pPr>
      <w:r w:rsidRPr="00C029D5">
        <w:rPr>
          <w:rFonts w:asciiTheme="minorHAnsi" w:hAnsiTheme="minorHAnsi" w:cstheme="minorHAnsi"/>
          <w:sz w:val="26"/>
          <w:szCs w:val="26"/>
          <w:lang w:val="en-US"/>
        </w:rPr>
        <w:t xml:space="preserve">The balance of foreign borrowing operations of other sectors </w:t>
      </w:r>
      <w:r w:rsidRPr="000D1BB7">
        <w:rPr>
          <w:rFonts w:asciiTheme="minorHAnsi" w:hAnsiTheme="minorHAnsi" w:cstheme="minorHAnsi"/>
          <w:sz w:val="26"/>
          <w:szCs w:val="26"/>
          <w:lang w:val="en-US"/>
        </w:rPr>
        <w:t xml:space="preserve">remained </w:t>
      </w:r>
      <w:r w:rsidR="000D1BB7" w:rsidRPr="000D1BB7">
        <w:rPr>
          <w:rFonts w:asciiTheme="minorHAnsi" w:hAnsiTheme="minorHAnsi" w:cstheme="minorHAnsi"/>
          <w:sz w:val="26"/>
          <w:szCs w:val="26"/>
          <w:lang w:val="en-US"/>
        </w:rPr>
        <w:t>at the level of the corresponding period of previous year</w:t>
      </w:r>
      <w:r w:rsidR="004F5163">
        <w:rPr>
          <w:rFonts w:asciiTheme="minorHAnsi" w:hAnsiTheme="minorHAnsi" w:cstheme="minorHAnsi"/>
          <w:sz w:val="26"/>
          <w:szCs w:val="26"/>
          <w:lang w:val="en-US"/>
        </w:rPr>
        <w:t xml:space="preserve"> </w:t>
      </w:r>
      <w:r w:rsidRPr="000D1BB7">
        <w:rPr>
          <w:rFonts w:asciiTheme="minorHAnsi" w:hAnsiTheme="minorHAnsi" w:cstheme="minorHAnsi"/>
          <w:sz w:val="26"/>
          <w:szCs w:val="26"/>
          <w:lang w:val="en-US"/>
        </w:rPr>
        <w:t>(</w:t>
      </w:r>
      <w:r w:rsidRPr="000D1BB7">
        <w:rPr>
          <w:rFonts w:asciiTheme="minorHAnsi" w:hAnsiTheme="minorHAnsi" w:cstheme="minorHAnsi"/>
          <w:i/>
          <w:sz w:val="26"/>
          <w:szCs w:val="26"/>
          <w:lang w:val="en-US"/>
        </w:rPr>
        <w:t xml:space="preserve">USD </w:t>
      </w:r>
      <w:r w:rsidR="004F3A65" w:rsidRPr="000D1BB7">
        <w:rPr>
          <w:rFonts w:asciiTheme="minorHAnsi" w:hAnsiTheme="minorHAnsi" w:cstheme="minorHAnsi"/>
          <w:i/>
          <w:sz w:val="26"/>
          <w:szCs w:val="26"/>
          <w:lang w:val="en-US"/>
        </w:rPr>
        <w:t>1.2</w:t>
      </w:r>
      <w:r w:rsidRPr="000D1BB7">
        <w:rPr>
          <w:rFonts w:asciiTheme="minorHAnsi" w:hAnsiTheme="minorHAnsi" w:cstheme="minorHAnsi"/>
          <w:i/>
          <w:sz w:val="26"/>
          <w:szCs w:val="26"/>
          <w:lang w:val="en-US"/>
        </w:rPr>
        <w:t xml:space="preserve"> </w:t>
      </w:r>
      <w:r w:rsidR="004F3A65" w:rsidRPr="000D1BB7">
        <w:rPr>
          <w:rFonts w:asciiTheme="minorHAnsi" w:hAnsiTheme="minorHAnsi" w:cstheme="minorHAnsi"/>
          <w:i/>
          <w:sz w:val="26"/>
          <w:szCs w:val="26"/>
          <w:lang w:val="en-US"/>
        </w:rPr>
        <w:t>b</w:t>
      </w:r>
      <w:r w:rsidRPr="000D1BB7">
        <w:rPr>
          <w:rFonts w:asciiTheme="minorHAnsi" w:hAnsiTheme="minorHAnsi" w:cstheme="minorHAnsi"/>
          <w:i/>
          <w:sz w:val="26"/>
          <w:szCs w:val="26"/>
          <w:lang w:val="en-US"/>
        </w:rPr>
        <w:t>illion</w:t>
      </w:r>
      <w:r w:rsidRPr="000D1BB7">
        <w:rPr>
          <w:rFonts w:asciiTheme="minorHAnsi" w:hAnsiTheme="minorHAnsi" w:cstheme="minorHAnsi"/>
          <w:sz w:val="26"/>
          <w:szCs w:val="26"/>
          <w:lang w:val="en-US"/>
        </w:rPr>
        <w:t>), which is expl</w:t>
      </w:r>
      <w:r w:rsidRPr="00C029D5">
        <w:rPr>
          <w:rFonts w:asciiTheme="minorHAnsi" w:hAnsiTheme="minorHAnsi" w:cstheme="minorHAnsi"/>
          <w:sz w:val="26"/>
          <w:szCs w:val="26"/>
          <w:lang w:val="en-US"/>
        </w:rPr>
        <w:t xml:space="preserve">ained by the onset of maturity of large loans received by enterprises in </w:t>
      </w:r>
      <w:r w:rsidR="004F5163">
        <w:rPr>
          <w:rFonts w:asciiTheme="minorHAnsi" w:hAnsiTheme="minorHAnsi" w:cstheme="minorHAnsi"/>
          <w:sz w:val="26"/>
          <w:szCs w:val="26"/>
          <w:lang w:val="en-US"/>
        </w:rPr>
        <w:t xml:space="preserve">energy </w:t>
      </w:r>
      <w:r w:rsidRPr="00C029D5">
        <w:rPr>
          <w:rFonts w:asciiTheme="minorHAnsi" w:hAnsiTheme="minorHAnsi" w:cstheme="minorHAnsi"/>
          <w:sz w:val="26"/>
          <w:szCs w:val="26"/>
          <w:lang w:val="en-US"/>
        </w:rPr>
        <w:t xml:space="preserve">sector. </w:t>
      </w:r>
    </w:p>
    <w:p w:rsidR="005906C1" w:rsidRDefault="005906C1" w:rsidP="005906C1">
      <w:pPr>
        <w:spacing w:before="120" w:line="288" w:lineRule="auto"/>
        <w:ind w:firstLine="709"/>
        <w:jc w:val="both"/>
        <w:rPr>
          <w:sz w:val="26"/>
          <w:szCs w:val="26"/>
          <w:lang w:val="en-US"/>
        </w:rPr>
      </w:pPr>
      <w:r w:rsidRPr="004070E5">
        <w:rPr>
          <w:sz w:val="26"/>
          <w:szCs w:val="26"/>
          <w:lang w:val="en-US"/>
        </w:rPr>
        <w:t xml:space="preserve">The net increase in liabilities </w:t>
      </w:r>
      <w:r>
        <w:rPr>
          <w:sz w:val="26"/>
          <w:szCs w:val="26"/>
          <w:lang w:val="en-US"/>
        </w:rPr>
        <w:t>on</w:t>
      </w:r>
      <w:r w:rsidRPr="004070E5">
        <w:rPr>
          <w:sz w:val="26"/>
          <w:szCs w:val="26"/>
          <w:lang w:val="en-US"/>
        </w:rPr>
        <w:t xml:space="preserve"> the item "Trade </w:t>
      </w:r>
      <w:r>
        <w:rPr>
          <w:sz w:val="26"/>
          <w:szCs w:val="26"/>
          <w:lang w:val="en-US"/>
        </w:rPr>
        <w:t>credits</w:t>
      </w:r>
      <w:r w:rsidRPr="004070E5">
        <w:rPr>
          <w:sz w:val="26"/>
          <w:szCs w:val="26"/>
          <w:lang w:val="en-US"/>
        </w:rPr>
        <w:t xml:space="preserve"> and advances" (</w:t>
      </w:r>
      <w:r>
        <w:rPr>
          <w:sz w:val="26"/>
          <w:szCs w:val="26"/>
          <w:lang w:val="en-US"/>
        </w:rPr>
        <w:t xml:space="preserve">accounts </w:t>
      </w:r>
      <w:r w:rsidRPr="004070E5">
        <w:rPr>
          <w:sz w:val="26"/>
          <w:szCs w:val="26"/>
          <w:lang w:val="en-US"/>
        </w:rPr>
        <w:t xml:space="preserve">payables) for 2020 amounted to </w:t>
      </w:r>
      <w:r>
        <w:rPr>
          <w:sz w:val="26"/>
          <w:szCs w:val="26"/>
          <w:lang w:val="en-US"/>
        </w:rPr>
        <w:t>USD</w:t>
      </w:r>
      <w:r w:rsidRPr="004070E5">
        <w:rPr>
          <w:sz w:val="26"/>
          <w:szCs w:val="26"/>
          <w:lang w:val="en-US"/>
        </w:rPr>
        <w:t xml:space="preserve"> </w:t>
      </w:r>
      <w:r w:rsidR="00FB29F2">
        <w:rPr>
          <w:sz w:val="26"/>
          <w:szCs w:val="26"/>
          <w:lang w:val="en-US"/>
        </w:rPr>
        <w:t>5</w:t>
      </w:r>
      <w:r w:rsidR="004F3A65">
        <w:rPr>
          <w:sz w:val="26"/>
          <w:szCs w:val="26"/>
          <w:lang w:val="en-US"/>
        </w:rPr>
        <w:t>69</w:t>
      </w:r>
      <w:r w:rsidRPr="004070E5">
        <w:rPr>
          <w:sz w:val="26"/>
          <w:szCs w:val="26"/>
          <w:lang w:val="en-US"/>
        </w:rPr>
        <w:t xml:space="preserve"> million.</w:t>
      </w:r>
    </w:p>
    <w:p w:rsidR="00C029D5" w:rsidRDefault="005906C1" w:rsidP="005906C1">
      <w:pPr>
        <w:spacing w:before="120" w:line="288" w:lineRule="auto"/>
        <w:ind w:firstLine="709"/>
        <w:jc w:val="both"/>
        <w:rPr>
          <w:sz w:val="26"/>
          <w:szCs w:val="26"/>
          <w:lang w:val="en-US"/>
        </w:rPr>
      </w:pPr>
      <w:r w:rsidRPr="004070E5">
        <w:rPr>
          <w:sz w:val="26"/>
          <w:szCs w:val="26"/>
          <w:lang w:val="en-US"/>
        </w:rPr>
        <w:t xml:space="preserve">This is due to the fact that despite the decrease in foreign trade turnover and the repayment of a significant part of the debt to non-residents in the </w:t>
      </w:r>
      <w:r w:rsidR="00BA7180">
        <w:rPr>
          <w:sz w:val="26"/>
          <w:szCs w:val="26"/>
          <w:lang w:val="en-US"/>
        </w:rPr>
        <w:t>second</w:t>
      </w:r>
      <w:r w:rsidRPr="004070E5">
        <w:rPr>
          <w:sz w:val="26"/>
          <w:szCs w:val="26"/>
          <w:lang w:val="en-US"/>
        </w:rPr>
        <w:t xml:space="preserve"> quarter of this year, during the period of </w:t>
      </w:r>
      <w:r w:rsidR="0042124B">
        <w:rPr>
          <w:sz w:val="26"/>
          <w:szCs w:val="26"/>
          <w:lang w:val="en-US"/>
        </w:rPr>
        <w:t>introduction</w:t>
      </w:r>
      <w:r w:rsidRPr="004070E5">
        <w:rPr>
          <w:sz w:val="26"/>
          <w:szCs w:val="26"/>
          <w:lang w:val="en-US"/>
        </w:rPr>
        <w:t xml:space="preserve"> of quarantine measures, residents </w:t>
      </w:r>
      <w:r w:rsidR="0042124B" w:rsidRPr="004070E5">
        <w:rPr>
          <w:sz w:val="26"/>
          <w:szCs w:val="26"/>
          <w:lang w:val="en-US"/>
        </w:rPr>
        <w:t xml:space="preserve">could accumulate </w:t>
      </w:r>
      <w:r w:rsidRPr="004070E5">
        <w:rPr>
          <w:sz w:val="26"/>
          <w:szCs w:val="26"/>
          <w:lang w:val="en-US"/>
        </w:rPr>
        <w:t xml:space="preserve">advance payments under export contracts and </w:t>
      </w:r>
      <w:r>
        <w:rPr>
          <w:sz w:val="26"/>
          <w:szCs w:val="26"/>
          <w:lang w:val="en-US"/>
        </w:rPr>
        <w:t>liabilities</w:t>
      </w:r>
      <w:r w:rsidRPr="004070E5">
        <w:rPr>
          <w:sz w:val="26"/>
          <w:szCs w:val="26"/>
          <w:lang w:val="en-US"/>
        </w:rPr>
        <w:t xml:space="preserve"> payable under import contracts.</w:t>
      </w:r>
    </w:p>
    <w:p w:rsidR="000F401A" w:rsidRDefault="000F401A" w:rsidP="000F401A">
      <w:pPr>
        <w:spacing w:before="120" w:line="288" w:lineRule="auto"/>
        <w:ind w:firstLine="709"/>
        <w:jc w:val="both"/>
        <w:rPr>
          <w:rFonts w:asciiTheme="minorHAnsi" w:hAnsiTheme="minorHAnsi" w:cstheme="minorHAnsi"/>
          <w:sz w:val="26"/>
          <w:szCs w:val="26"/>
          <w:lang w:val="en-US"/>
        </w:rPr>
      </w:pPr>
      <w:r w:rsidRPr="00C029D5">
        <w:rPr>
          <w:rFonts w:asciiTheme="minorHAnsi" w:hAnsiTheme="minorHAnsi" w:cstheme="minorHAnsi"/>
          <w:sz w:val="26"/>
          <w:szCs w:val="26"/>
          <w:lang w:val="en-US"/>
        </w:rPr>
        <w:lastRenderedPageBreak/>
        <w:t xml:space="preserve">It </w:t>
      </w:r>
      <w:r>
        <w:rPr>
          <w:rFonts w:asciiTheme="minorHAnsi" w:hAnsiTheme="minorHAnsi" w:cstheme="minorHAnsi"/>
          <w:sz w:val="26"/>
          <w:szCs w:val="26"/>
          <w:lang w:val="en-US"/>
        </w:rPr>
        <w:t>is necessary to note</w:t>
      </w:r>
      <w:r w:rsidRPr="00C029D5">
        <w:rPr>
          <w:rFonts w:asciiTheme="minorHAnsi" w:hAnsiTheme="minorHAnsi" w:cstheme="minorHAnsi"/>
          <w:sz w:val="26"/>
          <w:szCs w:val="26"/>
          <w:lang w:val="en-US"/>
        </w:rPr>
        <w:t xml:space="preserve"> that the</w:t>
      </w:r>
      <w:r w:rsidR="006512E8">
        <w:rPr>
          <w:rFonts w:asciiTheme="minorHAnsi" w:hAnsiTheme="minorHAnsi" w:cstheme="minorHAnsi"/>
          <w:sz w:val="26"/>
          <w:szCs w:val="26"/>
          <w:lang w:val="en-US"/>
        </w:rPr>
        <w:t xml:space="preserve"> </w:t>
      </w:r>
      <w:r w:rsidR="006512E8" w:rsidRPr="00475586">
        <w:rPr>
          <w:rFonts w:asciiTheme="minorHAnsi" w:hAnsiTheme="minorHAnsi" w:cstheme="minorHAnsi"/>
          <w:sz w:val="26"/>
          <w:szCs w:val="26"/>
          <w:lang w:val="en-US"/>
        </w:rPr>
        <w:t>residuals</w:t>
      </w:r>
      <w:r w:rsidRPr="00C029D5">
        <w:rPr>
          <w:rFonts w:asciiTheme="minorHAnsi" w:hAnsiTheme="minorHAnsi" w:cstheme="minorHAnsi"/>
          <w:sz w:val="26"/>
          <w:szCs w:val="26"/>
          <w:lang w:val="en-US"/>
        </w:rPr>
        <w:t xml:space="preserve"> of trade credits and foreign currency savings of the population are partially compensated. </w:t>
      </w:r>
      <w:r>
        <w:rPr>
          <w:rFonts w:asciiTheme="minorHAnsi" w:hAnsiTheme="minorHAnsi" w:cstheme="minorHAnsi"/>
          <w:sz w:val="26"/>
          <w:szCs w:val="26"/>
          <w:lang w:val="en-US"/>
        </w:rPr>
        <w:t>For this reason</w:t>
      </w:r>
      <w:r w:rsidRPr="00C029D5">
        <w:rPr>
          <w:rFonts w:asciiTheme="minorHAnsi" w:hAnsiTheme="minorHAnsi" w:cstheme="minorHAnsi"/>
          <w:sz w:val="26"/>
          <w:szCs w:val="26"/>
          <w:lang w:val="en-US"/>
        </w:rPr>
        <w:t xml:space="preserve">, flows on trade credits and advances, as well as household savings in foreign currency are reflected taking into </w:t>
      </w:r>
      <w:r w:rsidR="004F5163" w:rsidRPr="00C029D5">
        <w:rPr>
          <w:rFonts w:asciiTheme="minorHAnsi" w:hAnsiTheme="minorHAnsi" w:cstheme="minorHAnsi"/>
          <w:sz w:val="26"/>
          <w:szCs w:val="26"/>
          <w:lang w:val="en-US"/>
        </w:rPr>
        <w:t xml:space="preserve">the </w:t>
      </w:r>
      <w:r w:rsidRPr="00C029D5">
        <w:rPr>
          <w:rFonts w:asciiTheme="minorHAnsi" w:hAnsiTheme="minorHAnsi" w:cstheme="minorHAnsi"/>
          <w:sz w:val="26"/>
          <w:szCs w:val="26"/>
          <w:lang w:val="en-US"/>
        </w:rPr>
        <w:t>account above</w:t>
      </w:r>
      <w:r w:rsidR="004F5163">
        <w:rPr>
          <w:rFonts w:asciiTheme="minorHAnsi" w:hAnsiTheme="minorHAnsi" w:cstheme="minorHAnsi"/>
          <w:sz w:val="26"/>
          <w:szCs w:val="26"/>
          <w:lang w:val="en-US"/>
        </w:rPr>
        <w:t xml:space="preserve"> </w:t>
      </w:r>
      <w:r>
        <w:rPr>
          <w:rFonts w:asciiTheme="minorHAnsi" w:hAnsiTheme="minorHAnsi" w:cstheme="minorHAnsi"/>
          <w:sz w:val="26"/>
          <w:szCs w:val="26"/>
          <w:lang w:val="en-US"/>
        </w:rPr>
        <w:t>mentioned</w:t>
      </w:r>
      <w:r w:rsidRPr="00C029D5">
        <w:rPr>
          <w:rFonts w:asciiTheme="minorHAnsi" w:hAnsiTheme="minorHAnsi" w:cstheme="minorHAnsi"/>
          <w:sz w:val="26"/>
          <w:szCs w:val="26"/>
          <w:lang w:val="en-US"/>
        </w:rPr>
        <w:t xml:space="preserve"> factors.</w:t>
      </w:r>
    </w:p>
    <w:p w:rsidR="00480EAE" w:rsidRPr="00F45A80" w:rsidRDefault="00B23450" w:rsidP="00147844">
      <w:pPr>
        <w:spacing w:before="80" w:line="360" w:lineRule="auto"/>
        <w:ind w:firstLine="709"/>
        <w:jc w:val="right"/>
        <w:rPr>
          <w:lang w:val="en-US"/>
        </w:rPr>
      </w:pPr>
      <w:r>
        <w:rPr>
          <w:lang w:val="en-US"/>
        </w:rPr>
        <w:t>Figure</w:t>
      </w:r>
      <w:r w:rsidR="00480EAE" w:rsidRPr="00F45A80">
        <w:rPr>
          <w:lang w:val="en-US"/>
        </w:rPr>
        <w:t xml:space="preserve"> 1</w:t>
      </w:r>
      <w:r w:rsidR="00AD4257">
        <w:rPr>
          <w:lang w:val="en-US"/>
        </w:rPr>
        <w:t>7</w:t>
      </w:r>
    </w:p>
    <w:p w:rsidR="00480EAE" w:rsidRPr="00B75F3E" w:rsidRDefault="00480EAE" w:rsidP="00147844">
      <w:pPr>
        <w:spacing w:before="80" w:line="360" w:lineRule="auto"/>
        <w:jc w:val="center"/>
        <w:rPr>
          <w:b/>
          <w:sz w:val="28"/>
          <w:szCs w:val="28"/>
          <w:lang w:val="en-US"/>
        </w:rPr>
      </w:pPr>
      <w:r w:rsidRPr="00B75F3E">
        <w:rPr>
          <w:b/>
          <w:sz w:val="28"/>
          <w:szCs w:val="28"/>
          <w:lang w:val="en-US"/>
        </w:rPr>
        <w:t>NET CHANGES IN THE COMPOSITION OF “LOANS</w:t>
      </w:r>
      <w:r>
        <w:rPr>
          <w:b/>
          <w:sz w:val="28"/>
          <w:szCs w:val="28"/>
          <w:lang w:val="en-US"/>
        </w:rPr>
        <w:t xml:space="preserve"> </w:t>
      </w:r>
      <w:r w:rsidRPr="00AB4B23">
        <w:rPr>
          <w:rFonts w:cs="Calibri"/>
          <w:b/>
          <w:sz w:val="26"/>
          <w:szCs w:val="26"/>
          <w:lang w:val="en-US"/>
        </w:rPr>
        <w:t>AND BORROWINGS</w:t>
      </w:r>
      <w:r w:rsidRPr="00B75F3E">
        <w:rPr>
          <w:b/>
          <w:sz w:val="28"/>
          <w:szCs w:val="28"/>
          <w:lang w:val="en-US"/>
        </w:rPr>
        <w:t>” COMPONENT</w:t>
      </w:r>
    </w:p>
    <w:p w:rsidR="00480EAE" w:rsidRPr="00F45A80" w:rsidRDefault="00480EAE" w:rsidP="00147844">
      <w:pPr>
        <w:spacing w:before="80" w:line="360" w:lineRule="auto"/>
        <w:ind w:firstLine="708"/>
        <w:jc w:val="right"/>
        <w:rPr>
          <w:i/>
          <w:sz w:val="20"/>
          <w:szCs w:val="20"/>
          <w:lang w:val="en-US"/>
        </w:rPr>
      </w:pPr>
      <w:r w:rsidRPr="00F45A80">
        <w:rPr>
          <w:i/>
          <w:sz w:val="20"/>
          <w:szCs w:val="20"/>
          <w:lang w:val="en-US"/>
        </w:rPr>
        <w:t>(mln. USD)</w:t>
      </w:r>
    </w:p>
    <w:p w:rsidR="00480EAE" w:rsidRPr="00F45A80" w:rsidRDefault="0014004C" w:rsidP="00480EAE">
      <w:pPr>
        <w:rPr>
          <w:noProof/>
          <w:lang w:val="en-US"/>
        </w:rPr>
      </w:pPr>
      <w:r>
        <w:rPr>
          <w:noProof/>
        </w:rPr>
        <w:drawing>
          <wp:inline distT="0" distB="0" distL="0" distR="0" wp14:anchorId="073B6F36" wp14:editId="77C3DFDC">
            <wp:extent cx="6369050" cy="4262755"/>
            <wp:effectExtent l="0" t="0" r="12700" b="4445"/>
            <wp:docPr id="58" name="Диаграмма 58">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53F38" w:rsidRPr="00F45A80" w:rsidRDefault="005C3C71" w:rsidP="000464BA">
      <w:pPr>
        <w:spacing w:before="120" w:after="120" w:line="288" w:lineRule="auto"/>
        <w:rPr>
          <w:noProof/>
          <w:lang w:val="en-US"/>
        </w:rPr>
      </w:pPr>
      <w:r w:rsidRPr="00F45A80">
        <w:rPr>
          <w:noProof/>
          <w:lang w:val="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1"/>
      </w:tblGrid>
      <w:tr w:rsidR="00553F38" w:rsidRPr="00D040FC" w:rsidTr="008A1174">
        <w:tc>
          <w:tcPr>
            <w:tcW w:w="9891" w:type="dxa"/>
            <w:tcBorders>
              <w:top w:val="double" w:sz="4" w:space="0" w:color="00B0F0"/>
              <w:left w:val="double" w:sz="4" w:space="0" w:color="00B0F0"/>
              <w:bottom w:val="double" w:sz="4" w:space="0" w:color="00B0F0"/>
              <w:right w:val="double" w:sz="4" w:space="0" w:color="00B0F0"/>
            </w:tcBorders>
            <w:shd w:val="clear" w:color="auto" w:fill="auto"/>
          </w:tcPr>
          <w:p w:rsidR="00553F38" w:rsidRPr="00F45A80" w:rsidRDefault="00553F38" w:rsidP="005C1D9A">
            <w:pPr>
              <w:spacing w:before="120" w:after="120" w:line="288" w:lineRule="auto"/>
              <w:ind w:left="306" w:right="298"/>
              <w:rPr>
                <w:b/>
                <w:lang w:val="en-US"/>
              </w:rPr>
            </w:pPr>
            <w:r w:rsidRPr="00F45A80">
              <w:rPr>
                <w:b/>
                <w:lang w:val="en-US"/>
              </w:rPr>
              <w:lastRenderedPageBreak/>
              <w:t>Insert 1. Operations on liabilities in financial account.</w:t>
            </w:r>
          </w:p>
          <w:p w:rsidR="005C1D9A" w:rsidRDefault="00553F38" w:rsidP="005C1D9A">
            <w:pPr>
              <w:spacing w:before="120" w:after="120" w:line="288" w:lineRule="auto"/>
              <w:ind w:left="306" w:right="298" w:firstLine="709"/>
              <w:jc w:val="both"/>
              <w:rPr>
                <w:lang w:val="en-US"/>
              </w:rPr>
            </w:pPr>
            <w:r w:rsidRPr="00F45A80">
              <w:rPr>
                <w:lang w:val="en-US"/>
              </w:rPr>
              <w:t xml:space="preserve">The analysis of operations on liabilities in the financial account showed that flows on liabilities mainly consist of </w:t>
            </w:r>
            <w:r w:rsidR="00CA63AA" w:rsidRPr="00CA63AA">
              <w:rPr>
                <w:lang w:val="en-US"/>
              </w:rPr>
              <w:t>«</w:t>
            </w:r>
            <w:r w:rsidR="00AE1601" w:rsidRPr="00F45A80">
              <w:rPr>
                <w:lang w:val="en-US"/>
              </w:rPr>
              <w:t>Loans and borrowings</w:t>
            </w:r>
            <w:r w:rsidR="00CA63AA" w:rsidRPr="00CA63AA">
              <w:rPr>
                <w:lang w:val="en-US"/>
              </w:rPr>
              <w:t>»</w:t>
            </w:r>
            <w:r w:rsidR="00AE1601">
              <w:rPr>
                <w:lang w:val="en-US"/>
              </w:rPr>
              <w:t xml:space="preserve"> and </w:t>
            </w:r>
            <w:r w:rsidR="00CA63AA" w:rsidRPr="00CA63AA">
              <w:rPr>
                <w:lang w:val="en-US"/>
              </w:rPr>
              <w:t>«</w:t>
            </w:r>
            <w:r w:rsidR="00480EAE">
              <w:rPr>
                <w:lang w:val="en-US"/>
              </w:rPr>
              <w:t>Foreign d</w:t>
            </w:r>
            <w:r w:rsidR="00CA63AA">
              <w:rPr>
                <w:lang w:val="en-US"/>
              </w:rPr>
              <w:t>irect investment</w:t>
            </w:r>
            <w:r w:rsidR="00CA63AA" w:rsidRPr="00CA63AA">
              <w:rPr>
                <w:lang w:val="en-US"/>
              </w:rPr>
              <w:t>»</w:t>
            </w:r>
            <w:r w:rsidRPr="00F45A80">
              <w:rPr>
                <w:lang w:val="en-US"/>
              </w:rPr>
              <w:t xml:space="preserve">. </w:t>
            </w:r>
          </w:p>
          <w:p w:rsidR="00553F38" w:rsidRPr="00F45A80" w:rsidRDefault="00CA63AA" w:rsidP="005C1D9A">
            <w:pPr>
              <w:spacing w:before="120" w:after="120" w:line="288" w:lineRule="auto"/>
              <w:ind w:left="306" w:right="298" w:firstLine="709"/>
              <w:jc w:val="both"/>
              <w:rPr>
                <w:lang w:val="en-US"/>
              </w:rPr>
            </w:pPr>
            <w:r w:rsidRPr="00CA63AA">
              <w:rPr>
                <w:lang w:val="en-US"/>
              </w:rPr>
              <w:t>For the period 2018-20</w:t>
            </w:r>
            <w:r w:rsidR="001166A5">
              <w:rPr>
                <w:lang w:val="en-US"/>
              </w:rPr>
              <w:t>20</w:t>
            </w:r>
            <w:r w:rsidR="00553F38" w:rsidRPr="00CA63AA">
              <w:rPr>
                <w:lang w:val="en-US"/>
              </w:rPr>
              <w:t>, share</w:t>
            </w:r>
            <w:r w:rsidR="00553F38" w:rsidRPr="00F45A80">
              <w:rPr>
                <w:lang w:val="en-US"/>
              </w:rPr>
              <w:t xml:space="preserve"> </w:t>
            </w:r>
            <w:r>
              <w:rPr>
                <w:lang w:val="en-US"/>
              </w:rPr>
              <w:t xml:space="preserve">of </w:t>
            </w:r>
            <w:r w:rsidRPr="00CA63AA">
              <w:rPr>
                <w:lang w:val="en-US"/>
              </w:rPr>
              <w:t>«</w:t>
            </w:r>
            <w:r>
              <w:rPr>
                <w:lang w:val="en-US"/>
              </w:rPr>
              <w:t>Loans and borrowings</w:t>
            </w:r>
            <w:r w:rsidRPr="00CA63AA">
              <w:rPr>
                <w:lang w:val="en-US"/>
              </w:rPr>
              <w:t>»</w:t>
            </w:r>
            <w:r>
              <w:rPr>
                <w:lang w:val="en-US"/>
              </w:rPr>
              <w:t xml:space="preserve"> prevailed over </w:t>
            </w:r>
            <w:r w:rsidRPr="00CA63AA">
              <w:rPr>
                <w:lang w:val="en-US"/>
              </w:rPr>
              <w:t>«</w:t>
            </w:r>
            <w:r>
              <w:rPr>
                <w:lang w:val="en-US"/>
              </w:rPr>
              <w:t>Direct investments</w:t>
            </w:r>
            <w:r w:rsidRPr="00CA63AA">
              <w:rPr>
                <w:lang w:val="en-US"/>
              </w:rPr>
              <w:t>»</w:t>
            </w:r>
            <w:r w:rsidR="00553F38" w:rsidRPr="00F45A80">
              <w:rPr>
                <w:lang w:val="en-US"/>
              </w:rPr>
              <w:t>. This phenomenon is mainly due to an increase in borrowing by the general government sector in order to finance state targeted programs for the development of industries and regions.</w:t>
            </w:r>
            <w:r w:rsidR="00F20AF3">
              <w:rPr>
                <w:lang w:val="en-US"/>
              </w:rPr>
              <w:t xml:space="preserve"> Also, the volume of foreign direct investment decreased in 2018 due to increase in payments in the framework of the PSA</w:t>
            </w:r>
            <w:r w:rsidR="001166A5">
              <w:rPr>
                <w:lang w:val="en-US"/>
              </w:rPr>
              <w:t xml:space="preserve"> and </w:t>
            </w:r>
            <w:r w:rsidR="001166A5" w:rsidRPr="001166A5">
              <w:rPr>
                <w:lang w:val="en-US"/>
              </w:rPr>
              <w:t>introduced quarantine measures in 2020.</w:t>
            </w:r>
          </w:p>
          <w:p w:rsidR="005906C1" w:rsidRDefault="005906C1" w:rsidP="005906C1">
            <w:pPr>
              <w:spacing w:before="120" w:after="120" w:line="288" w:lineRule="auto"/>
              <w:ind w:left="306" w:right="298" w:firstLine="709"/>
              <w:jc w:val="both"/>
              <w:rPr>
                <w:lang w:val="en-US"/>
              </w:rPr>
            </w:pPr>
            <w:r>
              <w:rPr>
                <w:lang w:val="en-US"/>
              </w:rPr>
              <w:t>According to the results</w:t>
            </w:r>
            <w:r w:rsidRPr="00B54B76">
              <w:rPr>
                <w:lang w:val="en-US"/>
              </w:rPr>
              <w:t xml:space="preserve"> </w:t>
            </w:r>
            <w:r w:rsidR="0014004C">
              <w:rPr>
                <w:lang w:val="en-US"/>
              </w:rPr>
              <w:t>for</w:t>
            </w:r>
            <w:r w:rsidRPr="00B54B76">
              <w:rPr>
                <w:lang w:val="en-US"/>
              </w:rPr>
              <w:t xml:space="preserve"> 2020, due to a slowdown in economic growth in many countries of the world, net growth in foreign direct investment decreased, while loans and borrowings reached the largest share </w:t>
            </w:r>
            <w:r w:rsidRPr="00254658">
              <w:rPr>
                <w:i/>
                <w:lang w:val="en-US"/>
              </w:rPr>
              <w:t>(</w:t>
            </w:r>
            <w:r w:rsidR="0014004C">
              <w:rPr>
                <w:i/>
                <w:lang w:val="en-US"/>
              </w:rPr>
              <w:t>8</w:t>
            </w:r>
            <w:r w:rsidR="001166A5">
              <w:rPr>
                <w:i/>
                <w:lang w:val="en-US"/>
              </w:rPr>
              <w:t>0</w:t>
            </w:r>
            <w:r w:rsidRPr="00254658">
              <w:rPr>
                <w:i/>
                <w:lang w:val="en-US"/>
              </w:rPr>
              <w:t>%)</w:t>
            </w:r>
            <w:r w:rsidRPr="00B54B76">
              <w:rPr>
                <w:lang w:val="en-US"/>
              </w:rPr>
              <w:t xml:space="preserve"> in the net growth of liabilities to the</w:t>
            </w:r>
            <w:r>
              <w:rPr>
                <w:lang w:val="en-US"/>
              </w:rPr>
              <w:t xml:space="preserve"> rest of the world, because </w:t>
            </w:r>
            <w:r w:rsidRPr="00B54B76">
              <w:rPr>
                <w:lang w:val="en-US"/>
              </w:rPr>
              <w:t>the general government and the banking sector continue actively attract</w:t>
            </w:r>
            <w:r>
              <w:rPr>
                <w:lang w:val="en-US"/>
              </w:rPr>
              <w:t>ing</w:t>
            </w:r>
            <w:r w:rsidRPr="00B54B76">
              <w:rPr>
                <w:lang w:val="en-US"/>
              </w:rPr>
              <w:t xml:space="preserve"> external borrowings.</w:t>
            </w:r>
          </w:p>
          <w:p w:rsidR="00A34F93" w:rsidRDefault="005906C1" w:rsidP="005906C1">
            <w:pPr>
              <w:spacing w:before="120" w:after="120" w:line="288" w:lineRule="auto"/>
              <w:ind w:left="306" w:right="298" w:firstLine="709"/>
              <w:jc w:val="both"/>
              <w:rPr>
                <w:lang w:val="en-US"/>
              </w:rPr>
            </w:pPr>
            <w:r w:rsidRPr="00B54B76">
              <w:rPr>
                <w:lang w:val="en-US"/>
              </w:rPr>
              <w:t xml:space="preserve">At the same time, the large volumes of inflow of funds observed in the operations of the financial account </w:t>
            </w:r>
            <w:r w:rsidR="0014004C">
              <w:rPr>
                <w:lang w:val="en-US"/>
              </w:rPr>
              <w:t>for</w:t>
            </w:r>
            <w:r>
              <w:rPr>
                <w:lang w:val="en-US"/>
              </w:rPr>
              <w:t xml:space="preserve"> </w:t>
            </w:r>
            <w:r w:rsidRPr="00B54B76">
              <w:rPr>
                <w:lang w:val="en-US"/>
              </w:rPr>
              <w:t>2020 may also imply an increase in import volumes in subsequent periods.</w:t>
            </w:r>
          </w:p>
          <w:p w:rsidR="00553F38" w:rsidRPr="00F45A80" w:rsidRDefault="00553F38" w:rsidP="004663D4">
            <w:pPr>
              <w:jc w:val="center"/>
              <w:rPr>
                <w:b/>
                <w:lang w:val="en-US"/>
              </w:rPr>
            </w:pPr>
            <w:r w:rsidRPr="00F45A80">
              <w:rPr>
                <w:b/>
                <w:lang w:val="en-US"/>
              </w:rPr>
              <w:t>Share of “Direct investments” and “Loans and borrowings”</w:t>
            </w:r>
          </w:p>
          <w:p w:rsidR="00553F38" w:rsidRPr="00F45A80" w:rsidRDefault="00553F38" w:rsidP="004663D4">
            <w:pPr>
              <w:jc w:val="center"/>
              <w:rPr>
                <w:b/>
                <w:lang w:val="en-US"/>
              </w:rPr>
            </w:pPr>
            <w:r w:rsidRPr="00F45A80">
              <w:rPr>
                <w:b/>
                <w:lang w:val="en-US"/>
              </w:rPr>
              <w:t>in the net growth of liabilities in the financial account</w:t>
            </w:r>
            <w:r w:rsidR="004F2252" w:rsidRPr="00F45A80">
              <w:rPr>
                <w:b/>
                <w:lang w:val="en-US"/>
              </w:rPr>
              <w:t>*</w:t>
            </w:r>
          </w:p>
          <w:p w:rsidR="00553F38" w:rsidRPr="00E41208" w:rsidRDefault="00553F38" w:rsidP="004663D4">
            <w:pPr>
              <w:ind w:firstLine="708"/>
              <w:rPr>
                <w:i/>
                <w:sz w:val="20"/>
                <w:szCs w:val="20"/>
                <w:lang w:val="en-US"/>
              </w:rPr>
            </w:pPr>
          </w:p>
          <w:p w:rsidR="00553F38" w:rsidRPr="00F45A80" w:rsidRDefault="008A1174" w:rsidP="00B13607">
            <w:pPr>
              <w:tabs>
                <w:tab w:val="left" w:pos="9177"/>
              </w:tabs>
              <w:spacing w:before="120" w:after="120" w:line="288" w:lineRule="auto"/>
              <w:jc w:val="center"/>
              <w:rPr>
                <w:noProof/>
                <w:lang w:val="en-US"/>
              </w:rPr>
            </w:pPr>
            <w:r>
              <w:rPr>
                <w:noProof/>
              </w:rPr>
              <w:drawing>
                <wp:inline distT="0" distB="0" distL="0" distR="0" wp14:anchorId="6E9150CA" wp14:editId="57D554D6">
                  <wp:extent cx="5966733" cy="3095625"/>
                  <wp:effectExtent l="0" t="0" r="15240" b="9525"/>
                  <wp:docPr id="60" name="Диаграмма 6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F2252" w:rsidRDefault="004F2252" w:rsidP="00AE1601">
            <w:pPr>
              <w:tabs>
                <w:tab w:val="left" w:pos="9177"/>
              </w:tabs>
              <w:spacing w:line="276" w:lineRule="auto"/>
              <w:ind w:left="709"/>
              <w:rPr>
                <w:i/>
                <w:noProof/>
                <w:sz w:val="22"/>
                <w:szCs w:val="22"/>
                <w:lang w:val="en-US"/>
              </w:rPr>
            </w:pPr>
            <w:r w:rsidRPr="0091147F">
              <w:rPr>
                <w:i/>
                <w:noProof/>
                <w:sz w:val="22"/>
                <w:szCs w:val="22"/>
                <w:lang w:val="en-US"/>
              </w:rPr>
              <w:t xml:space="preserve">*Diagram reflects components with </w:t>
            </w:r>
            <w:r w:rsidR="00C21822" w:rsidRPr="0091147F">
              <w:rPr>
                <w:i/>
                <w:noProof/>
                <w:sz w:val="22"/>
                <w:szCs w:val="22"/>
                <w:lang w:val="en-US"/>
              </w:rPr>
              <w:t>largest</w:t>
            </w:r>
            <w:r w:rsidRPr="0091147F">
              <w:rPr>
                <w:i/>
                <w:noProof/>
                <w:sz w:val="22"/>
                <w:szCs w:val="22"/>
                <w:lang w:val="en-US"/>
              </w:rPr>
              <w:t xml:space="preserve"> share</w:t>
            </w:r>
            <w:r w:rsidR="00AE1601" w:rsidRPr="0091147F">
              <w:rPr>
                <w:i/>
                <w:noProof/>
                <w:sz w:val="22"/>
                <w:szCs w:val="22"/>
                <w:lang w:val="en-US"/>
              </w:rPr>
              <w:t>s</w:t>
            </w:r>
            <w:r w:rsidRPr="0091147F">
              <w:rPr>
                <w:i/>
                <w:noProof/>
                <w:sz w:val="22"/>
                <w:szCs w:val="22"/>
                <w:lang w:val="en-US"/>
              </w:rPr>
              <w:t>.</w:t>
            </w:r>
          </w:p>
          <w:p w:rsidR="0091147F" w:rsidRPr="0091147F" w:rsidRDefault="0091147F" w:rsidP="00AE1601">
            <w:pPr>
              <w:tabs>
                <w:tab w:val="left" w:pos="9177"/>
              </w:tabs>
              <w:spacing w:line="276" w:lineRule="auto"/>
              <w:ind w:left="709"/>
              <w:rPr>
                <w:i/>
                <w:noProof/>
                <w:sz w:val="22"/>
                <w:szCs w:val="22"/>
                <w:lang w:val="en-US"/>
              </w:rPr>
            </w:pPr>
            <w:r w:rsidRPr="0091147F">
              <w:rPr>
                <w:i/>
                <w:noProof/>
                <w:sz w:val="22"/>
                <w:szCs w:val="22"/>
                <w:lang w:val="en-US"/>
              </w:rPr>
              <w:t>Transaction data are shown on a net basis.</w:t>
            </w:r>
          </w:p>
          <w:p w:rsidR="004F2252" w:rsidRPr="00C21822" w:rsidRDefault="004F2252" w:rsidP="00AE1601">
            <w:pPr>
              <w:tabs>
                <w:tab w:val="left" w:pos="9177"/>
              </w:tabs>
              <w:spacing w:line="276" w:lineRule="auto"/>
              <w:ind w:left="709"/>
              <w:rPr>
                <w:i/>
                <w:noProof/>
                <w:sz w:val="22"/>
                <w:szCs w:val="22"/>
                <w:lang w:val="en-US"/>
              </w:rPr>
            </w:pPr>
            <w:r w:rsidRPr="00C21822">
              <w:rPr>
                <w:i/>
                <w:noProof/>
                <w:sz w:val="22"/>
                <w:szCs w:val="22"/>
                <w:lang w:val="en-US"/>
              </w:rPr>
              <w:t>Direct investments include loans from parent companies.</w:t>
            </w:r>
          </w:p>
          <w:p w:rsidR="004F2252" w:rsidRPr="00F45A80" w:rsidRDefault="00600096" w:rsidP="00600096">
            <w:pPr>
              <w:tabs>
                <w:tab w:val="left" w:pos="9177"/>
              </w:tabs>
              <w:spacing w:line="276" w:lineRule="auto"/>
              <w:ind w:left="709"/>
              <w:rPr>
                <w:noProof/>
                <w:lang w:val="en-US"/>
              </w:rPr>
            </w:pPr>
            <w:r w:rsidRPr="00C21822">
              <w:rPr>
                <w:i/>
                <w:noProof/>
                <w:sz w:val="22"/>
                <w:szCs w:val="22"/>
                <w:lang w:val="en-US"/>
              </w:rPr>
              <w:t>L</w:t>
            </w:r>
            <w:r w:rsidR="004F2252" w:rsidRPr="00C21822">
              <w:rPr>
                <w:i/>
                <w:noProof/>
                <w:sz w:val="22"/>
                <w:szCs w:val="22"/>
                <w:lang w:val="en-US"/>
              </w:rPr>
              <w:t>oan</w:t>
            </w:r>
            <w:r w:rsidRPr="00C21822">
              <w:rPr>
                <w:i/>
                <w:noProof/>
                <w:sz w:val="22"/>
                <w:szCs w:val="22"/>
                <w:lang w:val="en-US"/>
              </w:rPr>
              <w:t xml:space="preserve"> disbursements</w:t>
            </w:r>
            <w:r w:rsidR="004F2252" w:rsidRPr="00C21822">
              <w:rPr>
                <w:i/>
                <w:noProof/>
                <w:sz w:val="22"/>
                <w:szCs w:val="22"/>
                <w:lang w:val="en-US"/>
              </w:rPr>
              <w:t xml:space="preserve"> exclude loans from parent companies.</w:t>
            </w:r>
          </w:p>
        </w:tc>
      </w:tr>
    </w:tbl>
    <w:p w:rsidR="00E41208" w:rsidRDefault="00E41208">
      <w:pPr>
        <w:rPr>
          <w:lang w:val="en-US"/>
        </w:rPr>
      </w:pPr>
      <w:r>
        <w:rPr>
          <w:lang w:val="en-US"/>
        </w:rPr>
        <w:br w:type="page"/>
      </w:r>
    </w:p>
    <w:p w:rsidR="00407669" w:rsidRPr="00F45A80" w:rsidRDefault="00AC0959" w:rsidP="00274B89">
      <w:pPr>
        <w:pStyle w:val="1"/>
        <w:spacing w:after="360"/>
        <w:ind w:left="709"/>
        <w:rPr>
          <w:rFonts w:ascii="Calibri" w:hAnsi="Calibri"/>
          <w:lang w:val="en-US"/>
        </w:rPr>
      </w:pPr>
      <w:bookmarkStart w:id="12" w:name="_Toc67050795"/>
      <w:r w:rsidRPr="00F45A80">
        <w:rPr>
          <w:rFonts w:ascii="Calibri" w:hAnsi="Calibri"/>
          <w:lang w:val="en-US"/>
        </w:rPr>
        <w:lastRenderedPageBreak/>
        <w:t>II. </w:t>
      </w:r>
      <w:r w:rsidR="00BA0231" w:rsidRPr="00F45A80">
        <w:rPr>
          <w:rFonts w:ascii="Calibri" w:hAnsi="Calibri" w:cs="Calibri"/>
          <w:lang w:val="en-US"/>
        </w:rPr>
        <w:t>INTERNATIONAL INVESTMENT POSITION OF THE REPUBLIC OF UZBEKISTAN</w:t>
      </w:r>
      <w:bookmarkEnd w:id="12"/>
    </w:p>
    <w:p w:rsidR="005906C1" w:rsidRPr="00323299" w:rsidRDefault="00C2677A" w:rsidP="005906C1">
      <w:pPr>
        <w:spacing w:before="120" w:line="288" w:lineRule="auto"/>
        <w:ind w:firstLine="709"/>
        <w:jc w:val="both"/>
        <w:rPr>
          <w:rFonts w:cs="Calibri"/>
          <w:sz w:val="26"/>
          <w:szCs w:val="26"/>
          <w:lang w:val="en-US"/>
        </w:rPr>
      </w:pPr>
      <w:r>
        <w:rPr>
          <w:sz w:val="26"/>
          <w:szCs w:val="26"/>
          <w:lang w:val="en-US"/>
        </w:rPr>
        <w:t xml:space="preserve">For </w:t>
      </w:r>
      <w:r w:rsidR="005906C1" w:rsidRPr="003B484B">
        <w:rPr>
          <w:sz w:val="26"/>
          <w:szCs w:val="26"/>
          <w:lang w:val="en-US"/>
        </w:rPr>
        <w:t>2020, the total volume of foreign assets and external liabilit</w:t>
      </w:r>
      <w:r w:rsidR="005906C1">
        <w:rPr>
          <w:sz w:val="26"/>
          <w:szCs w:val="26"/>
          <w:lang w:val="en-US"/>
        </w:rPr>
        <w:t>ies of the country amounted to USD</w:t>
      </w:r>
      <w:r w:rsidR="005906C1" w:rsidRPr="003B484B">
        <w:rPr>
          <w:sz w:val="26"/>
          <w:szCs w:val="26"/>
          <w:lang w:val="en-US"/>
        </w:rPr>
        <w:t xml:space="preserve"> </w:t>
      </w:r>
      <w:r>
        <w:rPr>
          <w:sz w:val="26"/>
          <w:szCs w:val="26"/>
          <w:lang w:val="en-US"/>
        </w:rPr>
        <w:t>6</w:t>
      </w:r>
      <w:r w:rsidR="008A1174">
        <w:rPr>
          <w:sz w:val="26"/>
          <w:szCs w:val="26"/>
          <w:lang w:val="en-US"/>
        </w:rPr>
        <w:t>5</w:t>
      </w:r>
      <w:r w:rsidR="005906C1" w:rsidRPr="003B484B">
        <w:rPr>
          <w:sz w:val="26"/>
          <w:szCs w:val="26"/>
          <w:lang w:val="en-US"/>
        </w:rPr>
        <w:t>.</w:t>
      </w:r>
      <w:r w:rsidR="008A1174">
        <w:rPr>
          <w:sz w:val="26"/>
          <w:szCs w:val="26"/>
          <w:lang w:val="en-US"/>
        </w:rPr>
        <w:t>9</w:t>
      </w:r>
      <w:r w:rsidR="005906C1" w:rsidRPr="003B484B">
        <w:rPr>
          <w:sz w:val="26"/>
          <w:szCs w:val="26"/>
          <w:lang w:val="en-US"/>
        </w:rPr>
        <w:t xml:space="preserve"> billion and </w:t>
      </w:r>
      <w:r w:rsidR="005906C1">
        <w:rPr>
          <w:sz w:val="26"/>
          <w:szCs w:val="26"/>
          <w:lang w:val="en-US"/>
        </w:rPr>
        <w:t xml:space="preserve">USD </w:t>
      </w:r>
      <w:r>
        <w:rPr>
          <w:sz w:val="26"/>
          <w:szCs w:val="26"/>
          <w:lang w:val="en-US"/>
        </w:rPr>
        <w:t>4</w:t>
      </w:r>
      <w:r w:rsidR="008A1174">
        <w:rPr>
          <w:sz w:val="26"/>
          <w:szCs w:val="26"/>
          <w:lang w:val="en-US"/>
        </w:rPr>
        <w:t>5</w:t>
      </w:r>
      <w:r w:rsidR="005906C1" w:rsidRPr="003B484B">
        <w:rPr>
          <w:sz w:val="26"/>
          <w:szCs w:val="26"/>
          <w:lang w:val="en-US"/>
        </w:rPr>
        <w:t>.</w:t>
      </w:r>
      <w:r w:rsidR="008A1174">
        <w:rPr>
          <w:sz w:val="26"/>
          <w:szCs w:val="26"/>
          <w:lang w:val="en-US"/>
        </w:rPr>
        <w:t>6</w:t>
      </w:r>
      <w:r w:rsidR="005906C1" w:rsidRPr="003B484B">
        <w:rPr>
          <w:sz w:val="26"/>
          <w:szCs w:val="26"/>
          <w:lang w:val="en-US"/>
        </w:rPr>
        <w:t xml:space="preserve"> billion</w:t>
      </w:r>
      <w:r w:rsidR="005906C1">
        <w:rPr>
          <w:sz w:val="26"/>
          <w:szCs w:val="26"/>
          <w:lang w:val="en-US"/>
        </w:rPr>
        <w:t xml:space="preserve"> respectively</w:t>
      </w:r>
      <w:r w:rsidR="005906C1" w:rsidRPr="003B484B">
        <w:rPr>
          <w:sz w:val="26"/>
          <w:szCs w:val="26"/>
          <w:lang w:val="en-US"/>
        </w:rPr>
        <w:t xml:space="preserve">. In this regard, the net investment position of the Republic of Uzbekistan increased by </w:t>
      </w:r>
      <w:r w:rsidR="005906C1">
        <w:rPr>
          <w:sz w:val="26"/>
          <w:szCs w:val="26"/>
          <w:lang w:val="en-US"/>
        </w:rPr>
        <w:t>USD</w:t>
      </w:r>
      <w:r w:rsidR="005906C1" w:rsidRPr="003B484B">
        <w:rPr>
          <w:sz w:val="26"/>
          <w:szCs w:val="26"/>
          <w:lang w:val="en-US"/>
        </w:rPr>
        <w:t xml:space="preserve"> </w:t>
      </w:r>
      <w:r w:rsidR="008A1174">
        <w:rPr>
          <w:sz w:val="26"/>
          <w:szCs w:val="26"/>
          <w:lang w:val="en-US"/>
        </w:rPr>
        <w:t>567</w:t>
      </w:r>
      <w:r w:rsidR="005906C1" w:rsidRPr="003B484B">
        <w:rPr>
          <w:sz w:val="26"/>
          <w:szCs w:val="26"/>
          <w:lang w:val="en-US"/>
        </w:rPr>
        <w:t>.</w:t>
      </w:r>
      <w:r w:rsidR="008A1174">
        <w:rPr>
          <w:sz w:val="26"/>
          <w:szCs w:val="26"/>
          <w:lang w:val="en-US"/>
        </w:rPr>
        <w:t>6</w:t>
      </w:r>
      <w:r w:rsidR="005906C1" w:rsidRPr="003B484B">
        <w:rPr>
          <w:sz w:val="26"/>
          <w:szCs w:val="26"/>
          <w:lang w:val="en-US"/>
        </w:rPr>
        <w:t xml:space="preserve"> </w:t>
      </w:r>
      <w:r w:rsidR="00CB3CCE">
        <w:rPr>
          <w:sz w:val="26"/>
          <w:szCs w:val="26"/>
          <w:lang w:val="en-US"/>
        </w:rPr>
        <w:t>m</w:t>
      </w:r>
      <w:r w:rsidR="005906C1" w:rsidRPr="003B484B">
        <w:rPr>
          <w:sz w:val="26"/>
          <w:szCs w:val="26"/>
          <w:lang w:val="en-US"/>
        </w:rPr>
        <w:t xml:space="preserve">illion and </w:t>
      </w:r>
      <w:r w:rsidR="005906C1">
        <w:rPr>
          <w:sz w:val="26"/>
          <w:szCs w:val="26"/>
          <w:lang w:val="en-US"/>
        </w:rPr>
        <w:t>as of</w:t>
      </w:r>
      <w:r w:rsidR="005906C1" w:rsidRPr="003B484B">
        <w:rPr>
          <w:sz w:val="26"/>
          <w:szCs w:val="26"/>
          <w:lang w:val="en-US"/>
        </w:rPr>
        <w:t xml:space="preserve"> </w:t>
      </w:r>
      <w:r w:rsidR="008A1174">
        <w:rPr>
          <w:sz w:val="26"/>
          <w:szCs w:val="26"/>
          <w:lang w:val="en-US"/>
        </w:rPr>
        <w:t>January</w:t>
      </w:r>
      <w:r w:rsidR="005906C1">
        <w:rPr>
          <w:sz w:val="26"/>
          <w:szCs w:val="26"/>
          <w:lang w:val="en-US"/>
        </w:rPr>
        <w:t xml:space="preserve"> </w:t>
      </w:r>
      <w:r w:rsidR="005906C1" w:rsidRPr="003B484B">
        <w:rPr>
          <w:sz w:val="26"/>
          <w:szCs w:val="26"/>
          <w:lang w:val="en-US"/>
        </w:rPr>
        <w:t>1</w:t>
      </w:r>
      <w:r w:rsidR="005906C1">
        <w:rPr>
          <w:sz w:val="26"/>
          <w:szCs w:val="26"/>
          <w:lang w:val="en-US"/>
        </w:rPr>
        <w:t xml:space="preserve"> of</w:t>
      </w:r>
      <w:r w:rsidR="005906C1" w:rsidRPr="003B484B">
        <w:rPr>
          <w:sz w:val="26"/>
          <w:szCs w:val="26"/>
          <w:lang w:val="en-US"/>
        </w:rPr>
        <w:t xml:space="preserve"> this year amounted to </w:t>
      </w:r>
      <w:r w:rsidR="005906C1">
        <w:rPr>
          <w:sz w:val="26"/>
          <w:szCs w:val="26"/>
          <w:lang w:val="en-US"/>
        </w:rPr>
        <w:t>USD</w:t>
      </w:r>
      <w:r w:rsidR="005906C1" w:rsidRPr="003B484B">
        <w:rPr>
          <w:sz w:val="26"/>
          <w:szCs w:val="26"/>
          <w:lang w:val="en-US"/>
        </w:rPr>
        <w:t xml:space="preserve"> </w:t>
      </w:r>
      <w:r w:rsidR="008A1174">
        <w:rPr>
          <w:sz w:val="26"/>
          <w:szCs w:val="26"/>
          <w:lang w:val="en-US"/>
        </w:rPr>
        <w:t>20</w:t>
      </w:r>
      <w:r w:rsidR="005906C1" w:rsidRPr="003B484B">
        <w:rPr>
          <w:sz w:val="26"/>
          <w:szCs w:val="26"/>
          <w:lang w:val="en-US"/>
        </w:rPr>
        <w:t>.</w:t>
      </w:r>
      <w:r w:rsidR="008A1174">
        <w:rPr>
          <w:sz w:val="26"/>
          <w:szCs w:val="26"/>
          <w:lang w:val="en-US"/>
        </w:rPr>
        <w:t>4</w:t>
      </w:r>
      <w:r w:rsidR="005906C1" w:rsidRPr="003B484B">
        <w:rPr>
          <w:sz w:val="26"/>
          <w:szCs w:val="26"/>
          <w:lang w:val="en-US"/>
        </w:rPr>
        <w:t xml:space="preserve"> billion</w:t>
      </w:r>
      <w:r w:rsidR="005906C1" w:rsidRPr="00DF75A3">
        <w:rPr>
          <w:rFonts w:cs="Calibri"/>
          <w:sz w:val="26"/>
          <w:szCs w:val="26"/>
          <w:lang w:val="en-US"/>
        </w:rPr>
        <w:t>.</w:t>
      </w:r>
      <w:r w:rsidR="005906C1" w:rsidRPr="00323299">
        <w:rPr>
          <w:rFonts w:cs="Calibri"/>
          <w:sz w:val="26"/>
          <w:szCs w:val="26"/>
          <w:lang w:val="en-US"/>
        </w:rPr>
        <w:t xml:space="preserve"> Analysis of changes in the net investment position for considered period showed that</w:t>
      </w:r>
      <w:r w:rsidR="005906C1">
        <w:rPr>
          <w:rFonts w:cs="Calibri"/>
          <w:sz w:val="26"/>
          <w:szCs w:val="26"/>
          <w:lang w:val="en-US"/>
        </w:rPr>
        <w:t xml:space="preserve"> despite</w:t>
      </w:r>
      <w:r w:rsidR="005906C1" w:rsidRPr="00323299">
        <w:rPr>
          <w:rFonts w:cs="Calibri"/>
          <w:sz w:val="26"/>
          <w:szCs w:val="26"/>
          <w:lang w:val="en-US"/>
        </w:rPr>
        <w:t xml:space="preserve"> the negative b</w:t>
      </w:r>
      <w:r w:rsidR="005906C1">
        <w:rPr>
          <w:rFonts w:cs="Calibri"/>
          <w:sz w:val="26"/>
          <w:szCs w:val="26"/>
          <w:lang w:val="en-US"/>
        </w:rPr>
        <w:t xml:space="preserve">alance of the financial account, </w:t>
      </w:r>
      <w:r w:rsidR="005906C1" w:rsidRPr="00323299">
        <w:rPr>
          <w:rFonts w:cs="Calibri"/>
          <w:sz w:val="26"/>
          <w:szCs w:val="26"/>
          <w:lang w:val="en-US"/>
        </w:rPr>
        <w:t>non-operational changes</w:t>
      </w:r>
      <w:r w:rsidR="005906C1" w:rsidRPr="00323299">
        <w:rPr>
          <w:rFonts w:cs="Calibri"/>
          <w:sz w:val="26"/>
          <w:szCs w:val="26"/>
          <w:vertAlign w:val="superscript"/>
          <w:lang w:val="en-US"/>
        </w:rPr>
        <w:footnoteReference w:id="6"/>
      </w:r>
      <w:r w:rsidR="005906C1" w:rsidRPr="00323299">
        <w:rPr>
          <w:rFonts w:cs="Calibri"/>
          <w:sz w:val="26"/>
          <w:szCs w:val="26"/>
          <w:lang w:val="en-US"/>
        </w:rPr>
        <w:t xml:space="preserve"> had</w:t>
      </w:r>
      <w:r w:rsidR="005906C1">
        <w:rPr>
          <w:rFonts w:cs="Calibri"/>
          <w:sz w:val="26"/>
          <w:szCs w:val="26"/>
          <w:lang w:val="en-US"/>
        </w:rPr>
        <w:t xml:space="preserve"> a</w:t>
      </w:r>
      <w:r w:rsidR="005906C1" w:rsidRPr="00323299">
        <w:rPr>
          <w:rFonts w:cs="Calibri"/>
          <w:sz w:val="26"/>
          <w:szCs w:val="26"/>
          <w:lang w:val="en-US"/>
        </w:rPr>
        <w:t xml:space="preserve"> positive impact on the </w:t>
      </w:r>
      <w:r w:rsidR="005906C1">
        <w:rPr>
          <w:rFonts w:cs="Calibri"/>
          <w:sz w:val="26"/>
          <w:szCs w:val="26"/>
          <w:lang w:val="en-US"/>
        </w:rPr>
        <w:t xml:space="preserve">improvement of international </w:t>
      </w:r>
      <w:r w:rsidR="005906C1" w:rsidRPr="00323299">
        <w:rPr>
          <w:rFonts w:cs="Calibri"/>
          <w:sz w:val="26"/>
          <w:szCs w:val="26"/>
          <w:lang w:val="en-US"/>
        </w:rPr>
        <w:t>investment position</w:t>
      </w:r>
      <w:r w:rsidR="005906C1">
        <w:rPr>
          <w:rFonts w:cs="Calibri"/>
          <w:sz w:val="26"/>
          <w:szCs w:val="26"/>
          <w:lang w:val="en-US"/>
        </w:rPr>
        <w:t xml:space="preserve"> of the country</w:t>
      </w:r>
      <w:r w:rsidR="005906C1" w:rsidRPr="00323299">
        <w:rPr>
          <w:rFonts w:cs="Calibri"/>
          <w:sz w:val="26"/>
          <w:szCs w:val="26"/>
          <w:lang w:val="en-US"/>
        </w:rPr>
        <w:t>.</w:t>
      </w:r>
    </w:p>
    <w:p w:rsidR="00323299" w:rsidRPr="00323299" w:rsidRDefault="005906C1" w:rsidP="005906C1">
      <w:pPr>
        <w:spacing w:before="120" w:line="288" w:lineRule="auto"/>
        <w:ind w:firstLine="709"/>
        <w:jc w:val="both"/>
        <w:rPr>
          <w:rFonts w:cs="Calibri"/>
          <w:sz w:val="26"/>
          <w:szCs w:val="26"/>
          <w:lang w:val="en-US"/>
        </w:rPr>
      </w:pPr>
      <w:r w:rsidRPr="00323299">
        <w:rPr>
          <w:rFonts w:cs="Calibri"/>
          <w:sz w:val="26"/>
          <w:szCs w:val="26"/>
          <w:lang w:val="en-US"/>
        </w:rPr>
        <w:t>An analysis of the international investment position by sectors of the economy show</w:t>
      </w:r>
      <w:r>
        <w:rPr>
          <w:rFonts w:cs="Calibri"/>
          <w:sz w:val="26"/>
          <w:szCs w:val="26"/>
          <w:lang w:val="en-US"/>
        </w:rPr>
        <w:t>ed</w:t>
      </w:r>
      <w:r w:rsidRPr="00323299">
        <w:rPr>
          <w:rFonts w:cs="Calibri"/>
          <w:sz w:val="26"/>
          <w:szCs w:val="26"/>
          <w:lang w:val="en-US"/>
        </w:rPr>
        <w:t xml:space="preserve"> that </w:t>
      </w:r>
      <w:r w:rsidR="00C2677A">
        <w:rPr>
          <w:rFonts w:cs="Calibri"/>
          <w:sz w:val="26"/>
          <w:szCs w:val="26"/>
          <w:lang w:val="en-US"/>
        </w:rPr>
        <w:t xml:space="preserve">for </w:t>
      </w:r>
      <w:r>
        <w:rPr>
          <w:rFonts w:cs="Calibri"/>
          <w:sz w:val="26"/>
          <w:szCs w:val="26"/>
          <w:lang w:val="en-US"/>
        </w:rPr>
        <w:t>2020</w:t>
      </w:r>
      <w:r w:rsidRPr="00323299">
        <w:rPr>
          <w:rFonts w:cs="Calibri"/>
          <w:sz w:val="26"/>
          <w:szCs w:val="26"/>
          <w:lang w:val="en-US"/>
        </w:rPr>
        <w:t>, the general government sector</w:t>
      </w:r>
      <w:r w:rsidRPr="00323299">
        <w:rPr>
          <w:rFonts w:cs="Calibri"/>
          <w:sz w:val="26"/>
          <w:szCs w:val="26"/>
          <w:vertAlign w:val="superscript"/>
          <w:lang w:val="en-US"/>
        </w:rPr>
        <w:footnoteReference w:id="7"/>
      </w:r>
      <w:r w:rsidRPr="00323299">
        <w:rPr>
          <w:rFonts w:cs="Calibri"/>
          <w:sz w:val="26"/>
          <w:szCs w:val="26"/>
          <w:lang w:val="en-US"/>
        </w:rPr>
        <w:t xml:space="preserve"> </w:t>
      </w:r>
      <w:r>
        <w:rPr>
          <w:rFonts w:cs="Calibri"/>
          <w:sz w:val="26"/>
          <w:szCs w:val="26"/>
          <w:lang w:val="en-US"/>
        </w:rPr>
        <w:t xml:space="preserve">and other sectors remained as </w:t>
      </w:r>
      <w:r w:rsidRPr="00E15DB8">
        <w:rPr>
          <w:rFonts w:cs="Calibri"/>
          <w:sz w:val="26"/>
          <w:szCs w:val="26"/>
          <w:lang w:val="en-US"/>
        </w:rPr>
        <w:t>«</w:t>
      </w:r>
      <w:r>
        <w:rPr>
          <w:rFonts w:cs="Calibri"/>
          <w:sz w:val="26"/>
          <w:szCs w:val="26"/>
          <w:lang w:val="en-US"/>
        </w:rPr>
        <w:t>net creditor</w:t>
      </w:r>
      <w:r w:rsidRPr="00E15DB8">
        <w:rPr>
          <w:rFonts w:cs="Calibri"/>
          <w:sz w:val="26"/>
          <w:szCs w:val="26"/>
          <w:lang w:val="en-US"/>
        </w:rPr>
        <w:t>»</w:t>
      </w:r>
      <w:r w:rsidRPr="00323299">
        <w:rPr>
          <w:rFonts w:cs="Calibri"/>
          <w:sz w:val="26"/>
          <w:szCs w:val="26"/>
          <w:vertAlign w:val="superscript"/>
          <w:lang w:val="en-US"/>
        </w:rPr>
        <w:t xml:space="preserve"> </w:t>
      </w:r>
      <w:r w:rsidRPr="00323299">
        <w:rPr>
          <w:rFonts w:cs="Calibri"/>
          <w:sz w:val="26"/>
          <w:szCs w:val="26"/>
          <w:vertAlign w:val="superscript"/>
          <w:lang w:val="en-US"/>
        </w:rPr>
        <w:footnoteReference w:id="8"/>
      </w:r>
      <w:r>
        <w:rPr>
          <w:rFonts w:cs="Calibri"/>
          <w:sz w:val="26"/>
          <w:szCs w:val="26"/>
          <w:lang w:val="en-US"/>
        </w:rPr>
        <w:t>, whil</w:t>
      </w:r>
      <w:r w:rsidR="0014529D">
        <w:rPr>
          <w:rFonts w:cs="Calibri"/>
          <w:sz w:val="26"/>
          <w:szCs w:val="26"/>
          <w:lang w:val="en-US"/>
        </w:rPr>
        <w:t>e</w:t>
      </w:r>
      <w:r>
        <w:rPr>
          <w:rFonts w:cs="Calibri"/>
          <w:sz w:val="26"/>
          <w:szCs w:val="26"/>
          <w:lang w:val="en-US"/>
        </w:rPr>
        <w:t xml:space="preserve"> </w:t>
      </w:r>
      <w:r w:rsidRPr="00323299">
        <w:rPr>
          <w:rFonts w:cs="Calibri"/>
          <w:sz w:val="26"/>
          <w:szCs w:val="26"/>
          <w:lang w:val="en-US"/>
        </w:rPr>
        <w:t xml:space="preserve">banking </w:t>
      </w:r>
      <w:r>
        <w:rPr>
          <w:rFonts w:cs="Calibri"/>
          <w:sz w:val="26"/>
          <w:szCs w:val="26"/>
          <w:lang w:val="en-US"/>
        </w:rPr>
        <w:t>sector</w:t>
      </w:r>
      <w:r w:rsidRPr="00323299">
        <w:rPr>
          <w:rFonts w:cs="Calibri"/>
          <w:sz w:val="26"/>
          <w:szCs w:val="26"/>
          <w:lang w:val="en-US"/>
        </w:rPr>
        <w:t xml:space="preserve"> </w:t>
      </w:r>
      <w:r>
        <w:rPr>
          <w:rFonts w:cs="Calibri"/>
          <w:sz w:val="26"/>
          <w:szCs w:val="26"/>
          <w:lang w:val="en-US"/>
        </w:rPr>
        <w:t xml:space="preserve">was </w:t>
      </w:r>
      <w:r w:rsidRPr="00E15DB8">
        <w:rPr>
          <w:rFonts w:cs="Calibri"/>
          <w:sz w:val="26"/>
          <w:szCs w:val="26"/>
          <w:lang w:val="en-US"/>
        </w:rPr>
        <w:t>«</w:t>
      </w:r>
      <w:r>
        <w:rPr>
          <w:rFonts w:cs="Calibri"/>
          <w:sz w:val="26"/>
          <w:szCs w:val="26"/>
          <w:lang w:val="en-US"/>
        </w:rPr>
        <w:t>net borrower</w:t>
      </w:r>
      <w:r w:rsidRPr="00E15DB8">
        <w:rPr>
          <w:rFonts w:cs="Calibri"/>
          <w:sz w:val="26"/>
          <w:szCs w:val="26"/>
          <w:lang w:val="en-US"/>
        </w:rPr>
        <w:t>»</w:t>
      </w:r>
      <w:r>
        <w:rPr>
          <w:rFonts w:cs="Calibri"/>
          <w:sz w:val="26"/>
          <w:szCs w:val="26"/>
          <w:lang w:val="en-US"/>
        </w:rPr>
        <w:t>.</w:t>
      </w:r>
      <w:r w:rsidRPr="00323299">
        <w:rPr>
          <w:rFonts w:cs="Calibri"/>
          <w:sz w:val="26"/>
          <w:szCs w:val="26"/>
          <w:lang w:val="en-US"/>
        </w:rPr>
        <w:t xml:space="preserve"> </w:t>
      </w:r>
      <w:r>
        <w:rPr>
          <w:rFonts w:cs="Calibri"/>
          <w:color w:val="0070C0"/>
          <w:sz w:val="26"/>
          <w:szCs w:val="26"/>
          <w:lang w:val="en-US"/>
        </w:rPr>
        <w:t>(Figure 1</w:t>
      </w:r>
      <w:r w:rsidR="00AD4257">
        <w:rPr>
          <w:rFonts w:cs="Calibri"/>
          <w:color w:val="0070C0"/>
          <w:sz w:val="26"/>
          <w:szCs w:val="26"/>
          <w:lang w:val="en-US"/>
        </w:rPr>
        <w:t>8</w:t>
      </w:r>
      <w:r w:rsidRPr="00323299">
        <w:rPr>
          <w:rFonts w:cs="Calibri"/>
          <w:color w:val="0070C0"/>
          <w:sz w:val="26"/>
          <w:szCs w:val="26"/>
          <w:lang w:val="en-US"/>
        </w:rPr>
        <w:t>)</w:t>
      </w:r>
      <w:r w:rsidRPr="00323299">
        <w:rPr>
          <w:rFonts w:cs="Calibri"/>
          <w:sz w:val="26"/>
          <w:szCs w:val="26"/>
          <w:lang w:val="en-US"/>
        </w:rPr>
        <w:t>.</w:t>
      </w:r>
    </w:p>
    <w:p w:rsidR="00005957" w:rsidRPr="00B75F3E" w:rsidRDefault="00B23450" w:rsidP="00B75F3E">
      <w:pPr>
        <w:spacing w:before="80"/>
        <w:ind w:firstLine="708"/>
        <w:jc w:val="right"/>
        <w:rPr>
          <w:lang w:val="en-US"/>
        </w:rPr>
      </w:pPr>
      <w:r>
        <w:rPr>
          <w:lang w:val="en-US"/>
        </w:rPr>
        <w:t>Figure</w:t>
      </w:r>
      <w:r w:rsidR="00407669" w:rsidRPr="00F45A80">
        <w:rPr>
          <w:lang w:val="en-US"/>
        </w:rPr>
        <w:t xml:space="preserve"> </w:t>
      </w:r>
      <w:r w:rsidR="005C3C71" w:rsidRPr="00F45A80">
        <w:rPr>
          <w:lang w:val="en-US"/>
        </w:rPr>
        <w:t>1</w:t>
      </w:r>
      <w:r w:rsidR="00AD4257">
        <w:rPr>
          <w:lang w:val="en-US"/>
        </w:rPr>
        <w:t>8</w:t>
      </w:r>
    </w:p>
    <w:p w:rsidR="005473F5" w:rsidRPr="00B75F3E" w:rsidRDefault="005473F5" w:rsidP="00B75F3E">
      <w:pPr>
        <w:spacing w:before="80"/>
        <w:jc w:val="center"/>
        <w:rPr>
          <w:rFonts w:cs="Calibri"/>
          <w:b/>
          <w:sz w:val="28"/>
          <w:szCs w:val="28"/>
          <w:lang w:val="en-US"/>
        </w:rPr>
      </w:pPr>
      <w:r w:rsidRPr="00B75F3E">
        <w:rPr>
          <w:rFonts w:cs="Calibri"/>
          <w:b/>
          <w:sz w:val="28"/>
          <w:szCs w:val="28"/>
          <w:lang w:val="en-US"/>
        </w:rPr>
        <w:t>NET INVESTMEN</w:t>
      </w:r>
      <w:r w:rsidR="00B75F3E">
        <w:rPr>
          <w:rFonts w:cs="Calibri"/>
          <w:b/>
          <w:sz w:val="28"/>
          <w:szCs w:val="28"/>
          <w:lang w:val="en-US"/>
        </w:rPr>
        <w:t>T POSITION BY SECTOR OF ECONOMY</w:t>
      </w:r>
    </w:p>
    <w:p w:rsidR="00407669" w:rsidRPr="00F45A80" w:rsidRDefault="005C3C71" w:rsidP="00B75F3E">
      <w:pPr>
        <w:spacing w:before="80"/>
        <w:ind w:firstLine="708"/>
        <w:jc w:val="right"/>
        <w:rPr>
          <w:i/>
          <w:lang w:val="en-US"/>
        </w:rPr>
      </w:pPr>
      <w:r w:rsidRPr="00F45A80">
        <w:rPr>
          <w:i/>
          <w:lang w:val="en-US"/>
        </w:rPr>
        <w:t>(</w:t>
      </w:r>
      <w:r w:rsidR="005473F5" w:rsidRPr="00F45A80">
        <w:rPr>
          <w:i/>
          <w:lang w:val="en-US"/>
        </w:rPr>
        <w:t>mln. USD</w:t>
      </w:r>
      <w:r w:rsidRPr="00F45A80">
        <w:rPr>
          <w:i/>
          <w:lang w:val="en-US"/>
        </w:rPr>
        <w:t>)</w:t>
      </w:r>
    </w:p>
    <w:p w:rsidR="00407669" w:rsidRPr="00F45A80" w:rsidRDefault="008A1174" w:rsidP="008A1174">
      <w:pPr>
        <w:spacing w:line="288" w:lineRule="auto"/>
        <w:jc w:val="both"/>
        <w:rPr>
          <w:noProof/>
          <w:lang w:val="en-US"/>
        </w:rPr>
      </w:pPr>
      <w:r>
        <w:rPr>
          <w:noProof/>
        </w:rPr>
        <w:drawing>
          <wp:inline distT="0" distB="0" distL="0" distR="0" wp14:anchorId="1D938931" wp14:editId="59D6C7B8">
            <wp:extent cx="6388100" cy="4309110"/>
            <wp:effectExtent l="0" t="0" r="12700" b="15240"/>
            <wp:docPr id="65" name="Диаграмма 65">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E1A53" w:rsidRPr="003A4E1C" w:rsidRDefault="005906C1" w:rsidP="00DE1A53">
      <w:pPr>
        <w:spacing w:before="120" w:line="288" w:lineRule="auto"/>
        <w:ind w:firstLine="709"/>
        <w:jc w:val="both"/>
        <w:rPr>
          <w:rFonts w:cs="Calibri"/>
          <w:sz w:val="26"/>
          <w:szCs w:val="26"/>
          <w:lang w:val="en-US"/>
        </w:rPr>
      </w:pPr>
      <w:bookmarkStart w:id="13" w:name="_Toc4780090"/>
      <w:r w:rsidRPr="003A4E1C">
        <w:rPr>
          <w:rFonts w:cs="Calibri"/>
          <w:sz w:val="26"/>
          <w:szCs w:val="26"/>
          <w:lang w:val="en-US"/>
        </w:rPr>
        <w:lastRenderedPageBreak/>
        <w:t xml:space="preserve">Moreover, </w:t>
      </w:r>
      <w:r w:rsidRPr="003A4E1C">
        <w:rPr>
          <w:sz w:val="26"/>
          <w:szCs w:val="26"/>
          <w:lang w:val="en-US"/>
        </w:rPr>
        <w:t>it should be noted that despite the active attraction of external borrowings by the state and banking sectors, the improvement in the net investmen</w:t>
      </w:r>
      <w:r w:rsidR="003A4E1C" w:rsidRPr="003A4E1C">
        <w:rPr>
          <w:sz w:val="26"/>
          <w:szCs w:val="26"/>
          <w:lang w:val="en-US"/>
        </w:rPr>
        <w:t>t position was mainly due to increasing of foreign currency reserves</w:t>
      </w:r>
      <w:r w:rsidRPr="003A4E1C">
        <w:rPr>
          <w:sz w:val="26"/>
          <w:szCs w:val="26"/>
          <w:lang w:val="en-US"/>
        </w:rPr>
        <w:t xml:space="preserve"> </w:t>
      </w:r>
      <w:r w:rsidR="003A4E1C" w:rsidRPr="003A4E1C">
        <w:rPr>
          <w:sz w:val="26"/>
          <w:szCs w:val="26"/>
          <w:lang w:val="en-US"/>
        </w:rPr>
        <w:t xml:space="preserve">and </w:t>
      </w:r>
      <w:r w:rsidRPr="003A4E1C">
        <w:rPr>
          <w:sz w:val="26"/>
          <w:szCs w:val="26"/>
          <w:lang w:val="en-US"/>
        </w:rPr>
        <w:t>positive dynamics of the world gold price.</w:t>
      </w:r>
    </w:p>
    <w:p w:rsidR="005473F5" w:rsidRPr="00F45A80" w:rsidRDefault="005473F5" w:rsidP="005473F5">
      <w:pPr>
        <w:pStyle w:val="21"/>
        <w:rPr>
          <w:rFonts w:ascii="Calibri" w:hAnsi="Calibri" w:cs="Calibri"/>
          <w:lang w:val="en-US"/>
        </w:rPr>
      </w:pPr>
      <w:bookmarkStart w:id="14" w:name="_Toc67050796"/>
      <w:r w:rsidRPr="00F45A80">
        <w:rPr>
          <w:rFonts w:ascii="Calibri" w:hAnsi="Calibri" w:cs="Calibri"/>
          <w:lang w:val="en-US"/>
        </w:rPr>
        <w:t>GENERAL GOVERNMENT</w:t>
      </w:r>
      <w:bookmarkEnd w:id="13"/>
      <w:bookmarkEnd w:id="14"/>
    </w:p>
    <w:p w:rsidR="005473F5" w:rsidRPr="005875FA" w:rsidRDefault="005473F5" w:rsidP="005473F5">
      <w:pPr>
        <w:spacing w:before="240" w:line="288" w:lineRule="auto"/>
        <w:ind w:firstLine="709"/>
        <w:jc w:val="both"/>
        <w:rPr>
          <w:rFonts w:cs="Calibri"/>
          <w:sz w:val="26"/>
          <w:szCs w:val="26"/>
          <w:u w:val="single"/>
          <w:lang w:val="en-US"/>
        </w:rPr>
      </w:pPr>
      <w:r w:rsidRPr="005875FA">
        <w:rPr>
          <w:rFonts w:cs="Calibri"/>
          <w:sz w:val="26"/>
          <w:szCs w:val="26"/>
          <w:u w:val="single"/>
          <w:lang w:val="en-US"/>
        </w:rPr>
        <w:t>Assets</w:t>
      </w:r>
    </w:p>
    <w:p w:rsidR="000221B9" w:rsidRPr="000D2BAF" w:rsidRDefault="00C2677A" w:rsidP="000221B9">
      <w:pPr>
        <w:spacing w:before="120" w:line="288" w:lineRule="auto"/>
        <w:ind w:firstLine="709"/>
        <w:jc w:val="both"/>
        <w:rPr>
          <w:sz w:val="26"/>
          <w:szCs w:val="26"/>
          <w:lang w:val="en-US"/>
        </w:rPr>
      </w:pPr>
      <w:r>
        <w:rPr>
          <w:sz w:val="26"/>
          <w:szCs w:val="26"/>
          <w:lang w:val="en-US"/>
        </w:rPr>
        <w:t xml:space="preserve">For </w:t>
      </w:r>
      <w:r w:rsidR="005906C1" w:rsidRPr="00DE1A53">
        <w:rPr>
          <w:sz w:val="26"/>
          <w:szCs w:val="26"/>
          <w:lang w:val="en-US"/>
        </w:rPr>
        <w:t xml:space="preserve">2020, total assets of the general government sector increased by </w:t>
      </w:r>
      <w:r w:rsidR="005906C1">
        <w:rPr>
          <w:sz w:val="26"/>
          <w:szCs w:val="26"/>
          <w:lang w:val="en-US"/>
        </w:rPr>
        <w:br/>
        <w:t>USD</w:t>
      </w:r>
      <w:r w:rsidR="005906C1" w:rsidRPr="00DE1A53">
        <w:rPr>
          <w:sz w:val="26"/>
          <w:szCs w:val="26"/>
          <w:lang w:val="en-US"/>
        </w:rPr>
        <w:t xml:space="preserve"> </w:t>
      </w:r>
      <w:r w:rsidR="00B33764" w:rsidRPr="00B33764">
        <w:rPr>
          <w:sz w:val="26"/>
          <w:szCs w:val="26"/>
          <w:lang w:val="en-US"/>
        </w:rPr>
        <w:t>5</w:t>
      </w:r>
      <w:r w:rsidR="007B37A2">
        <w:rPr>
          <w:sz w:val="26"/>
          <w:szCs w:val="26"/>
          <w:lang w:val="en-US"/>
        </w:rPr>
        <w:t>.</w:t>
      </w:r>
      <w:r w:rsidR="00B33764" w:rsidRPr="00B33764">
        <w:rPr>
          <w:sz w:val="26"/>
          <w:szCs w:val="26"/>
          <w:lang w:val="en-US"/>
        </w:rPr>
        <w:t>7</w:t>
      </w:r>
      <w:r w:rsidR="005906C1" w:rsidRPr="00DE1A53">
        <w:rPr>
          <w:sz w:val="26"/>
          <w:szCs w:val="26"/>
          <w:lang w:val="en-US"/>
        </w:rPr>
        <w:t xml:space="preserve"> billion, due to th</w:t>
      </w:r>
      <w:r w:rsidR="005906C1">
        <w:rPr>
          <w:sz w:val="26"/>
          <w:szCs w:val="26"/>
          <w:lang w:val="en-US"/>
        </w:rPr>
        <w:t>e positive impact of revaluation</w:t>
      </w:r>
      <w:r w:rsidR="005906C1" w:rsidRPr="00DE1A53">
        <w:rPr>
          <w:sz w:val="26"/>
          <w:szCs w:val="26"/>
          <w:lang w:val="en-US"/>
        </w:rPr>
        <w:t xml:space="preserve"> of monetary gold. </w:t>
      </w:r>
      <w:r w:rsidR="005906C1" w:rsidRPr="003B484B">
        <w:rPr>
          <w:sz w:val="26"/>
          <w:szCs w:val="26"/>
          <w:lang w:val="en-US"/>
        </w:rPr>
        <w:t xml:space="preserve">So, </w:t>
      </w:r>
      <w:r w:rsidR="005906C1">
        <w:rPr>
          <w:sz w:val="26"/>
          <w:szCs w:val="26"/>
          <w:lang w:val="en-US"/>
        </w:rPr>
        <w:t xml:space="preserve">in case </w:t>
      </w:r>
      <w:r>
        <w:rPr>
          <w:sz w:val="26"/>
          <w:szCs w:val="26"/>
          <w:lang w:val="en-US"/>
        </w:rPr>
        <w:t>of</w:t>
      </w:r>
      <w:r w:rsidRPr="003B484B">
        <w:rPr>
          <w:sz w:val="26"/>
          <w:szCs w:val="26"/>
          <w:lang w:val="en-US"/>
        </w:rPr>
        <w:t xml:space="preserve"> increased</w:t>
      </w:r>
      <w:r w:rsidR="005906C1" w:rsidRPr="003B484B">
        <w:rPr>
          <w:sz w:val="26"/>
          <w:szCs w:val="26"/>
          <w:lang w:val="en-US"/>
        </w:rPr>
        <w:t xml:space="preserve"> volatility of quotations in international financial markets, the price of gold, as a "safe</w:t>
      </w:r>
      <w:r w:rsidR="005906C1">
        <w:rPr>
          <w:sz w:val="26"/>
          <w:szCs w:val="26"/>
          <w:lang w:val="en-US"/>
        </w:rPr>
        <w:t xml:space="preserve"> </w:t>
      </w:r>
      <w:r w:rsidR="005906C1" w:rsidRPr="003B484B">
        <w:rPr>
          <w:sz w:val="26"/>
          <w:szCs w:val="26"/>
          <w:lang w:val="en-US"/>
        </w:rPr>
        <w:t>asset", increased from 1511.5 to 1</w:t>
      </w:r>
      <w:r>
        <w:rPr>
          <w:sz w:val="26"/>
          <w:szCs w:val="26"/>
          <w:lang w:val="en-US"/>
        </w:rPr>
        <w:t>8</w:t>
      </w:r>
      <w:r w:rsidR="00B33764" w:rsidRPr="00B33764">
        <w:rPr>
          <w:sz w:val="26"/>
          <w:szCs w:val="26"/>
          <w:lang w:val="en-US"/>
        </w:rPr>
        <w:t>91</w:t>
      </w:r>
      <w:r w:rsidR="005906C1" w:rsidRPr="003B484B">
        <w:rPr>
          <w:sz w:val="26"/>
          <w:szCs w:val="26"/>
          <w:lang w:val="en-US"/>
        </w:rPr>
        <w:t>.</w:t>
      </w:r>
      <w:r w:rsidR="00B33764" w:rsidRPr="00B33764">
        <w:rPr>
          <w:sz w:val="26"/>
          <w:szCs w:val="26"/>
          <w:lang w:val="en-US"/>
        </w:rPr>
        <w:t>1</w:t>
      </w:r>
      <w:r w:rsidR="005906C1" w:rsidRPr="003B484B">
        <w:rPr>
          <w:sz w:val="26"/>
          <w:szCs w:val="26"/>
          <w:lang w:val="en-US"/>
        </w:rPr>
        <w:t xml:space="preserve"> dollars / troy ounce, which had a positive effect on the investment position of the </w:t>
      </w:r>
      <w:r w:rsidR="00E2669F">
        <w:rPr>
          <w:sz w:val="26"/>
          <w:szCs w:val="26"/>
          <w:lang w:val="en-US"/>
        </w:rPr>
        <w:t>government</w:t>
      </w:r>
      <w:r w:rsidR="005906C1" w:rsidRPr="003B484B">
        <w:rPr>
          <w:sz w:val="26"/>
          <w:szCs w:val="26"/>
          <w:lang w:val="en-US"/>
        </w:rPr>
        <w:t xml:space="preserve"> sector</w:t>
      </w:r>
      <w:r w:rsidR="005906C1">
        <w:rPr>
          <w:sz w:val="26"/>
          <w:szCs w:val="26"/>
          <w:lang w:val="en-US"/>
        </w:rPr>
        <w:t xml:space="preserve"> </w:t>
      </w:r>
      <w:r w:rsidR="005906C1">
        <w:rPr>
          <w:color w:val="0070C0"/>
          <w:sz w:val="26"/>
          <w:szCs w:val="26"/>
          <w:lang w:val="en-US"/>
        </w:rPr>
        <w:t>(Figure</w:t>
      </w:r>
      <w:r w:rsidR="005906C1" w:rsidRPr="005A1840">
        <w:rPr>
          <w:color w:val="0070C0"/>
          <w:sz w:val="26"/>
          <w:szCs w:val="26"/>
          <w:lang w:val="en-US"/>
        </w:rPr>
        <w:t xml:space="preserve"> 1</w:t>
      </w:r>
      <w:r w:rsidR="00AD4257">
        <w:rPr>
          <w:color w:val="0070C0"/>
          <w:sz w:val="26"/>
          <w:szCs w:val="26"/>
          <w:lang w:val="en-US"/>
        </w:rPr>
        <w:t>9</w:t>
      </w:r>
      <w:r w:rsidR="005906C1" w:rsidRPr="005A1840">
        <w:rPr>
          <w:color w:val="0070C0"/>
          <w:sz w:val="26"/>
          <w:szCs w:val="26"/>
          <w:lang w:val="en-US"/>
        </w:rPr>
        <w:t>)</w:t>
      </w:r>
      <w:r w:rsidR="005906C1" w:rsidRPr="00DE1A53">
        <w:rPr>
          <w:sz w:val="26"/>
          <w:szCs w:val="26"/>
          <w:lang w:val="en-US"/>
        </w:rPr>
        <w:t>.</w:t>
      </w:r>
      <w:r w:rsidR="000221B9" w:rsidRPr="000221B9">
        <w:rPr>
          <w:rFonts w:asciiTheme="minorHAnsi" w:cs="Calibri"/>
          <w:b/>
          <w:bCs/>
          <w:i/>
          <w:iCs/>
          <w:color w:val="000000"/>
          <w:sz w:val="20"/>
          <w:szCs w:val="20"/>
          <w:lang w:val="en-US"/>
        </w:rPr>
        <w:t xml:space="preserve"> </w:t>
      </w:r>
    </w:p>
    <w:p w:rsidR="00DE1A53" w:rsidRPr="00DE1A53" w:rsidRDefault="00DE1A53" w:rsidP="00B54A89">
      <w:pPr>
        <w:spacing w:before="120" w:line="288" w:lineRule="auto"/>
        <w:ind w:firstLine="709"/>
        <w:jc w:val="both"/>
        <w:rPr>
          <w:sz w:val="26"/>
          <w:szCs w:val="26"/>
          <w:lang w:val="en-US"/>
        </w:rPr>
      </w:pPr>
    </w:p>
    <w:p w:rsidR="00B60162" w:rsidRPr="00B75F3E" w:rsidRDefault="00B23450" w:rsidP="00B60162">
      <w:pPr>
        <w:spacing w:before="80"/>
        <w:ind w:firstLine="708"/>
        <w:jc w:val="right"/>
        <w:rPr>
          <w:lang w:val="en-US"/>
        </w:rPr>
      </w:pPr>
      <w:r>
        <w:rPr>
          <w:lang w:val="en-US"/>
        </w:rPr>
        <w:t>Figure</w:t>
      </w:r>
      <w:r w:rsidR="00B60162" w:rsidRPr="00F45A80">
        <w:rPr>
          <w:lang w:val="en-US"/>
        </w:rPr>
        <w:t xml:space="preserve"> 1</w:t>
      </w:r>
      <w:r w:rsidR="00AD4257">
        <w:rPr>
          <w:lang w:val="en-US"/>
        </w:rPr>
        <w:t>9</w:t>
      </w:r>
    </w:p>
    <w:p w:rsidR="00B60162" w:rsidRPr="00B75F3E" w:rsidRDefault="00BA15B1" w:rsidP="005906C1">
      <w:pPr>
        <w:spacing w:before="80" w:after="120"/>
        <w:jc w:val="center"/>
        <w:rPr>
          <w:rFonts w:cs="Calibri"/>
          <w:b/>
          <w:sz w:val="28"/>
          <w:szCs w:val="28"/>
          <w:lang w:val="en-US"/>
        </w:rPr>
      </w:pPr>
      <w:r>
        <w:rPr>
          <w:rFonts w:cs="Calibri"/>
          <w:b/>
          <w:sz w:val="28"/>
          <w:szCs w:val="28"/>
          <w:lang w:val="en-US"/>
        </w:rPr>
        <w:t>WORLD PRICE OF GOLD DYNAMICS</w:t>
      </w:r>
    </w:p>
    <w:p w:rsidR="00B60162" w:rsidRPr="00F45A80" w:rsidRDefault="00B60162" w:rsidP="00B60162">
      <w:pPr>
        <w:spacing w:before="80"/>
        <w:ind w:firstLine="708"/>
        <w:jc w:val="right"/>
        <w:rPr>
          <w:i/>
          <w:lang w:val="en-US"/>
        </w:rPr>
      </w:pPr>
      <w:r w:rsidRPr="00F45A80">
        <w:rPr>
          <w:i/>
          <w:lang w:val="en-US"/>
        </w:rPr>
        <w:t>(USD</w:t>
      </w:r>
      <w:r w:rsidR="000E16D0">
        <w:rPr>
          <w:i/>
          <w:lang w:val="en-US"/>
        </w:rPr>
        <w:t xml:space="preserve">/tr. </w:t>
      </w:r>
      <w:r w:rsidR="00BA15B1">
        <w:rPr>
          <w:i/>
          <w:lang w:val="en-US"/>
        </w:rPr>
        <w:t>ounce</w:t>
      </w:r>
      <w:r w:rsidRPr="00F45A80">
        <w:rPr>
          <w:i/>
          <w:lang w:val="en-US"/>
        </w:rPr>
        <w:t>)</w:t>
      </w:r>
    </w:p>
    <w:p w:rsidR="00B60162" w:rsidRPr="005875FA" w:rsidRDefault="00B80200" w:rsidP="003E3000">
      <w:pPr>
        <w:spacing w:before="120" w:line="288" w:lineRule="auto"/>
        <w:jc w:val="both"/>
        <w:rPr>
          <w:rFonts w:cs="Calibri"/>
          <w:sz w:val="26"/>
          <w:szCs w:val="26"/>
          <w:lang w:val="en-US"/>
        </w:rPr>
      </w:pPr>
      <w:r w:rsidRPr="00B80200">
        <w:rPr>
          <w:noProof/>
        </w:rPr>
        <mc:AlternateContent>
          <mc:Choice Requires="wps">
            <w:drawing>
              <wp:anchor distT="0" distB="0" distL="114300" distR="114300" simplePos="0" relativeHeight="251699200" behindDoc="0" locked="0" layoutInCell="1" allowOverlap="1" wp14:anchorId="58038374" wp14:editId="19D6EBB5">
                <wp:simplePos x="0" y="0"/>
                <wp:positionH relativeFrom="margin">
                  <wp:align>right</wp:align>
                </wp:positionH>
                <wp:positionV relativeFrom="paragraph">
                  <wp:posOffset>647449</wp:posOffset>
                </wp:positionV>
                <wp:extent cx="485775" cy="236855"/>
                <wp:effectExtent l="0" t="0" r="0" b="0"/>
                <wp:wrapNone/>
                <wp:docPr id="18" name="Прямоугольник 1"/>
                <wp:cNvGraphicFramePr/>
                <a:graphic xmlns:a="http://schemas.openxmlformats.org/drawingml/2006/main">
                  <a:graphicData uri="http://schemas.microsoft.com/office/word/2010/wordprocessingShape">
                    <wps:wsp>
                      <wps:cNvSpPr/>
                      <wps:spPr>
                        <a:xfrm>
                          <a:off x="0" y="0"/>
                          <a:ext cx="485775" cy="236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B2CDA" w:rsidRPr="00B80200" w:rsidRDefault="001B2CDA" w:rsidP="00B80200">
                            <w:pPr>
                              <w:pStyle w:val="aff8"/>
                              <w:spacing w:before="0" w:beforeAutospacing="0" w:after="0" w:afterAutospacing="0"/>
                              <w:jc w:val="center"/>
                              <w:rPr>
                                <w:lang w:val="en-US"/>
                              </w:rPr>
                            </w:pPr>
                            <w:r>
                              <w:rPr>
                                <w:rFonts w:asciiTheme="minorHAnsi" w:hAnsi="Calibri" w:cs="Calibri"/>
                                <w:b/>
                                <w:bCs/>
                                <w:i/>
                                <w:iCs/>
                                <w:color w:val="000000"/>
                                <w:sz w:val="20"/>
                                <w:szCs w:val="20"/>
                                <w:lang w:val="en-US"/>
                              </w:rPr>
                              <w:t>1891</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38374" id="Прямоугольник 1" o:spid="_x0000_s1031" style="position:absolute;left:0;text-align:left;margin-left:-12.95pt;margin-top:51pt;width:38.25pt;height:18.65pt;z-index:25169920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" filled="f" stroked="f" strokeweight="1pt">
                <v:textbox>
                  <w:txbxContent>
                    <w:p w:rsidR="001B2CDA" w:rsidRPr="00B80200" w:rsidRDefault="001B2CDA" w:rsidP="00B80200">
                      <w:pPr>
                        <w:pStyle w:val="aff8"/>
                        <w:spacing w:before="0" w:beforeAutospacing="0" w:after="0" w:afterAutospacing="0"/>
                        <w:jc w:val="center"/>
                        <w:rPr>
                          <w:lang w:val="en-US"/>
                        </w:rPr>
                      </w:pPr>
                      <w:r>
                        <w:rPr>
                          <w:rFonts w:asciiTheme="minorHAnsi" w:hAnsi="Calibri" w:cs="Calibri"/>
                          <w:b/>
                          <w:bCs/>
                          <w:i/>
                          <w:iCs/>
                          <w:color w:val="000000"/>
                          <w:sz w:val="20"/>
                          <w:szCs w:val="20"/>
                          <w:lang w:val="en-US"/>
                        </w:rPr>
                        <w:t>1891</w:t>
                      </w:r>
                    </w:p>
                  </w:txbxContent>
                </v:textbox>
                <w10:wrap anchorx="margin"/>
              </v:rect>
            </w:pict>
          </mc:Fallback>
        </mc:AlternateContent>
      </w:r>
      <w:r w:rsidR="00CB3CCE">
        <w:rPr>
          <w:noProof/>
        </w:rPr>
        <mc:AlternateContent>
          <mc:Choice Requires="wps">
            <w:drawing>
              <wp:anchor distT="0" distB="0" distL="114300" distR="114300" simplePos="0" relativeHeight="251695104" behindDoc="0" locked="0" layoutInCell="1" allowOverlap="1" wp14:anchorId="713713D6" wp14:editId="6900E8AF">
                <wp:simplePos x="0" y="0"/>
                <wp:positionH relativeFrom="column">
                  <wp:posOffset>530860</wp:posOffset>
                </wp:positionH>
                <wp:positionV relativeFrom="paragraph">
                  <wp:posOffset>951230</wp:posOffset>
                </wp:positionV>
                <wp:extent cx="5657850" cy="1314450"/>
                <wp:effectExtent l="0" t="0" r="19050" b="19050"/>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5657850" cy="1314450"/>
                        </a:xfrm>
                        <a:prstGeom prst="line">
                          <a:avLst/>
                        </a:prstGeom>
                        <a:ln w="9271"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7549FE3" id="Прямая соединительная линия 13"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41.8pt,74.9pt" to="487.3pt,1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" strokecolor="#4472c4 [3208]" strokeweight=".73pt">
                <v:stroke dashstyle="dash"/>
              </v:line>
            </w:pict>
          </mc:Fallback>
        </mc:AlternateContent>
      </w:r>
      <w:r w:rsidR="00B33764">
        <w:rPr>
          <w:noProof/>
        </w:rPr>
        <w:drawing>
          <wp:inline distT="0" distB="0" distL="0" distR="0" wp14:anchorId="4974DFDD" wp14:editId="23BCEE04">
            <wp:extent cx="6324888" cy="3257550"/>
            <wp:effectExtent l="0" t="0" r="0" b="0"/>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473F5" w:rsidRPr="005875FA" w:rsidRDefault="005473F5" w:rsidP="005473F5">
      <w:pPr>
        <w:spacing w:before="120" w:line="288" w:lineRule="auto"/>
        <w:ind w:firstLine="709"/>
        <w:jc w:val="both"/>
        <w:rPr>
          <w:rFonts w:cs="Calibri"/>
          <w:sz w:val="26"/>
          <w:szCs w:val="26"/>
          <w:u w:val="single"/>
          <w:lang w:val="en-US"/>
        </w:rPr>
      </w:pPr>
      <w:r w:rsidRPr="005875FA">
        <w:rPr>
          <w:rFonts w:cs="Calibri"/>
          <w:sz w:val="26"/>
          <w:szCs w:val="26"/>
          <w:u w:val="single"/>
          <w:lang w:val="en-US"/>
        </w:rPr>
        <w:t>Liabilities</w:t>
      </w:r>
    </w:p>
    <w:p w:rsidR="005906C1" w:rsidRDefault="005906C1" w:rsidP="00B33764">
      <w:pPr>
        <w:spacing w:before="120" w:line="288" w:lineRule="auto"/>
        <w:ind w:firstLine="709"/>
        <w:jc w:val="both"/>
        <w:rPr>
          <w:sz w:val="26"/>
          <w:szCs w:val="26"/>
          <w:lang w:val="en-US"/>
        </w:rPr>
      </w:pPr>
      <w:r w:rsidRPr="005875FA">
        <w:rPr>
          <w:rFonts w:cs="Calibri"/>
          <w:sz w:val="26"/>
          <w:szCs w:val="26"/>
          <w:lang w:val="en-US"/>
        </w:rPr>
        <w:t xml:space="preserve">Liabilities of general government mainly consist of government external debt. </w:t>
      </w:r>
      <w:r w:rsidRPr="007130ED">
        <w:rPr>
          <w:sz w:val="26"/>
          <w:szCs w:val="26"/>
          <w:lang w:val="en-US"/>
        </w:rPr>
        <w:t xml:space="preserve">So, as a result of attracting new borrowings, liabilities to non-residents on loans and borrowings increased by </w:t>
      </w:r>
      <w:r>
        <w:rPr>
          <w:sz w:val="26"/>
          <w:szCs w:val="26"/>
          <w:lang w:val="en-US"/>
        </w:rPr>
        <w:t>USD</w:t>
      </w:r>
      <w:r w:rsidRPr="007130ED">
        <w:rPr>
          <w:sz w:val="26"/>
          <w:szCs w:val="26"/>
          <w:lang w:val="en-US"/>
        </w:rPr>
        <w:t xml:space="preserve"> </w:t>
      </w:r>
      <w:r w:rsidR="00C2677A">
        <w:rPr>
          <w:sz w:val="26"/>
          <w:szCs w:val="26"/>
          <w:lang w:val="en-US"/>
        </w:rPr>
        <w:t>3</w:t>
      </w:r>
      <w:r w:rsidR="00B33764">
        <w:rPr>
          <w:sz w:val="26"/>
          <w:szCs w:val="26"/>
          <w:lang w:val="en-US"/>
        </w:rPr>
        <w:t>.6</w:t>
      </w:r>
      <w:r>
        <w:rPr>
          <w:sz w:val="26"/>
          <w:szCs w:val="26"/>
          <w:lang w:val="en-US"/>
        </w:rPr>
        <w:t xml:space="preserve"> billion</w:t>
      </w:r>
      <w:r w:rsidR="00E2669F">
        <w:rPr>
          <w:sz w:val="26"/>
          <w:szCs w:val="26"/>
          <w:lang w:val="en-US"/>
        </w:rPr>
        <w:t xml:space="preserve">. Also there was </w:t>
      </w:r>
      <w:r w:rsidR="00B33764">
        <w:rPr>
          <w:sz w:val="26"/>
          <w:szCs w:val="26"/>
          <w:lang w:val="en-US"/>
        </w:rPr>
        <w:t xml:space="preserve">placement by </w:t>
      </w:r>
      <w:r w:rsidR="0006630D">
        <w:rPr>
          <w:sz w:val="26"/>
          <w:szCs w:val="26"/>
          <w:lang w:val="en-US"/>
        </w:rPr>
        <w:t xml:space="preserve">Ministry of Finance </w:t>
      </w:r>
      <w:r w:rsidR="00B33764">
        <w:rPr>
          <w:sz w:val="26"/>
          <w:szCs w:val="26"/>
          <w:lang w:val="en-US"/>
        </w:rPr>
        <w:t>in the IV quarter of 2020 of Eurobonds with a nominal value of USD 555 million and UZS 2 billion sums in international capital markets</w:t>
      </w:r>
      <w:r w:rsidR="00E2669F">
        <w:rPr>
          <w:sz w:val="26"/>
          <w:szCs w:val="26"/>
          <w:lang w:val="en-US"/>
        </w:rPr>
        <w:t xml:space="preserve"> which totaled USD 822 million</w:t>
      </w:r>
      <w:r w:rsidRPr="007130ED">
        <w:rPr>
          <w:sz w:val="26"/>
          <w:szCs w:val="26"/>
          <w:lang w:val="en-US"/>
        </w:rPr>
        <w:t>.</w:t>
      </w:r>
    </w:p>
    <w:p w:rsidR="005906C1" w:rsidRDefault="005906C1">
      <w:pPr>
        <w:rPr>
          <w:sz w:val="26"/>
          <w:szCs w:val="26"/>
          <w:lang w:val="en-US"/>
        </w:rPr>
      </w:pPr>
      <w:r>
        <w:rPr>
          <w:sz w:val="26"/>
          <w:szCs w:val="26"/>
          <w:lang w:val="en-US"/>
        </w:rPr>
        <w:br w:type="page"/>
      </w:r>
    </w:p>
    <w:p w:rsidR="005473F5" w:rsidRPr="00F45A80" w:rsidRDefault="005473F5" w:rsidP="005473F5">
      <w:pPr>
        <w:pStyle w:val="21"/>
        <w:spacing w:before="120"/>
        <w:ind w:left="709"/>
        <w:rPr>
          <w:rFonts w:ascii="Calibri" w:hAnsi="Calibri" w:cs="Calibri"/>
          <w:lang w:val="en-US"/>
        </w:rPr>
      </w:pPr>
      <w:bookmarkStart w:id="15" w:name="_Toc67050797"/>
      <w:r w:rsidRPr="00F45A80">
        <w:rPr>
          <w:rFonts w:ascii="Calibri" w:hAnsi="Calibri" w:cs="Calibri"/>
          <w:lang w:val="en-US"/>
        </w:rPr>
        <w:lastRenderedPageBreak/>
        <w:t>BANKING SECTOR</w:t>
      </w:r>
      <w:bookmarkEnd w:id="15"/>
    </w:p>
    <w:p w:rsidR="005473F5" w:rsidRPr="005875FA" w:rsidRDefault="005473F5" w:rsidP="005473F5">
      <w:pPr>
        <w:spacing w:before="120" w:line="288" w:lineRule="auto"/>
        <w:ind w:firstLine="708"/>
        <w:jc w:val="both"/>
        <w:rPr>
          <w:rFonts w:cs="Calibri"/>
          <w:sz w:val="26"/>
          <w:szCs w:val="26"/>
          <w:u w:val="single"/>
          <w:lang w:val="en-US"/>
        </w:rPr>
      </w:pPr>
      <w:r w:rsidRPr="005875FA">
        <w:rPr>
          <w:rFonts w:cs="Calibri"/>
          <w:sz w:val="26"/>
          <w:szCs w:val="26"/>
          <w:u w:val="single"/>
          <w:lang w:val="en-US"/>
        </w:rPr>
        <w:t>Assets</w:t>
      </w:r>
    </w:p>
    <w:p w:rsidR="005875FA" w:rsidRPr="005875FA" w:rsidRDefault="00AC7737" w:rsidP="005875FA">
      <w:pPr>
        <w:spacing w:before="120" w:line="288" w:lineRule="auto"/>
        <w:ind w:firstLine="708"/>
        <w:jc w:val="both"/>
        <w:rPr>
          <w:rFonts w:cs="Calibri"/>
          <w:sz w:val="26"/>
          <w:szCs w:val="26"/>
          <w:lang w:val="en-US"/>
        </w:rPr>
      </w:pPr>
      <w:r>
        <w:rPr>
          <w:rFonts w:cs="Calibri"/>
          <w:sz w:val="26"/>
          <w:szCs w:val="26"/>
          <w:lang w:val="en-US"/>
        </w:rPr>
        <w:t xml:space="preserve">For </w:t>
      </w:r>
      <w:r w:rsidR="005906C1">
        <w:rPr>
          <w:rFonts w:cs="Calibri"/>
          <w:sz w:val="26"/>
          <w:szCs w:val="26"/>
          <w:lang w:val="en-US"/>
        </w:rPr>
        <w:t>2020 t</w:t>
      </w:r>
      <w:r w:rsidR="005906C1" w:rsidRPr="005875FA">
        <w:rPr>
          <w:rFonts w:cs="Calibri"/>
          <w:sz w:val="26"/>
          <w:szCs w:val="26"/>
          <w:lang w:val="en-US"/>
        </w:rPr>
        <w:t>he external claims of commercial bank</w:t>
      </w:r>
      <w:r w:rsidR="005906C1">
        <w:rPr>
          <w:rFonts w:cs="Calibri"/>
          <w:sz w:val="26"/>
          <w:szCs w:val="26"/>
          <w:lang w:val="en-US"/>
        </w:rPr>
        <w:t xml:space="preserve">s </w:t>
      </w:r>
      <w:r w:rsidR="00AD24C1">
        <w:rPr>
          <w:rFonts w:cs="Calibri"/>
          <w:sz w:val="26"/>
          <w:szCs w:val="26"/>
          <w:lang w:val="en-US"/>
        </w:rPr>
        <w:t>in</w:t>
      </w:r>
      <w:r w:rsidR="005906C1">
        <w:rPr>
          <w:rFonts w:cs="Calibri"/>
          <w:sz w:val="26"/>
          <w:szCs w:val="26"/>
          <w:lang w:val="en-US"/>
        </w:rPr>
        <w:t xml:space="preserve">creased by USD </w:t>
      </w:r>
      <w:r w:rsidR="00B33764">
        <w:rPr>
          <w:rFonts w:cs="Calibri"/>
          <w:sz w:val="26"/>
          <w:szCs w:val="26"/>
          <w:lang w:val="en-US"/>
        </w:rPr>
        <w:t>635</w:t>
      </w:r>
      <w:r w:rsidR="005906C1">
        <w:rPr>
          <w:rFonts w:cs="Calibri"/>
          <w:sz w:val="26"/>
          <w:szCs w:val="26"/>
          <w:lang w:val="en-US"/>
        </w:rPr>
        <w:t xml:space="preserve"> million, </w:t>
      </w:r>
      <w:r w:rsidR="005906C1" w:rsidRPr="005875FA">
        <w:rPr>
          <w:rFonts w:cs="Calibri"/>
          <w:sz w:val="26"/>
          <w:szCs w:val="26"/>
          <w:lang w:val="en-US"/>
        </w:rPr>
        <w:t xml:space="preserve">and stood by USD </w:t>
      </w:r>
      <w:r w:rsidR="00B33764">
        <w:rPr>
          <w:rFonts w:cs="Calibri"/>
          <w:sz w:val="26"/>
          <w:szCs w:val="26"/>
          <w:lang w:val="en-US"/>
        </w:rPr>
        <w:t>2</w:t>
      </w:r>
      <w:r w:rsidR="005906C1" w:rsidRPr="005875FA">
        <w:rPr>
          <w:rFonts w:cs="Calibri"/>
          <w:sz w:val="26"/>
          <w:szCs w:val="26"/>
          <w:lang w:val="en-US"/>
        </w:rPr>
        <w:t>.</w:t>
      </w:r>
      <w:r>
        <w:rPr>
          <w:rFonts w:cs="Calibri"/>
          <w:sz w:val="26"/>
          <w:szCs w:val="26"/>
          <w:lang w:val="en-US"/>
        </w:rPr>
        <w:t>8</w:t>
      </w:r>
      <w:r w:rsidR="005906C1" w:rsidRPr="005875FA">
        <w:rPr>
          <w:rFonts w:cs="Calibri"/>
          <w:sz w:val="26"/>
          <w:szCs w:val="26"/>
          <w:lang w:val="en-US"/>
        </w:rPr>
        <w:t xml:space="preserve"> billion </w:t>
      </w:r>
      <w:r w:rsidR="005906C1">
        <w:rPr>
          <w:rFonts w:cs="Calibri"/>
          <w:sz w:val="26"/>
          <w:szCs w:val="26"/>
          <w:lang w:val="en-US"/>
        </w:rPr>
        <w:t xml:space="preserve">as of </w:t>
      </w:r>
      <w:r w:rsidR="00B33764">
        <w:rPr>
          <w:rFonts w:cs="Calibri"/>
          <w:sz w:val="26"/>
          <w:szCs w:val="26"/>
          <w:lang w:val="en-US"/>
        </w:rPr>
        <w:t>January</w:t>
      </w:r>
      <w:r w:rsidR="005906C1" w:rsidRPr="005875FA">
        <w:rPr>
          <w:rFonts w:cs="Calibri"/>
          <w:sz w:val="26"/>
          <w:szCs w:val="26"/>
          <w:lang w:val="en-US"/>
        </w:rPr>
        <w:t xml:space="preserve"> 1, 202</w:t>
      </w:r>
      <w:r w:rsidR="00B33764">
        <w:rPr>
          <w:rFonts w:cs="Calibri"/>
          <w:sz w:val="26"/>
          <w:szCs w:val="26"/>
          <w:lang w:val="en-US"/>
        </w:rPr>
        <w:t>1</w:t>
      </w:r>
      <w:r w:rsidR="005906C1" w:rsidRPr="005875FA">
        <w:rPr>
          <w:rFonts w:cs="Calibri"/>
          <w:sz w:val="26"/>
          <w:szCs w:val="26"/>
          <w:lang w:val="en-US"/>
        </w:rPr>
        <w:t xml:space="preserve">. </w:t>
      </w:r>
      <w:r w:rsidR="005906C1" w:rsidRPr="003B484B">
        <w:rPr>
          <w:sz w:val="26"/>
          <w:szCs w:val="26"/>
          <w:lang w:val="en-US"/>
        </w:rPr>
        <w:t xml:space="preserve">The </w:t>
      </w:r>
      <w:r w:rsidR="00E2669F">
        <w:rPr>
          <w:sz w:val="26"/>
          <w:szCs w:val="26"/>
          <w:lang w:val="en-US"/>
        </w:rPr>
        <w:t xml:space="preserve">main </w:t>
      </w:r>
      <w:r w:rsidR="005906C1" w:rsidRPr="003B484B">
        <w:rPr>
          <w:sz w:val="26"/>
          <w:szCs w:val="26"/>
          <w:lang w:val="en-US"/>
        </w:rPr>
        <w:t xml:space="preserve">reason for </w:t>
      </w:r>
      <w:r w:rsidR="0006630D">
        <w:rPr>
          <w:sz w:val="26"/>
          <w:szCs w:val="26"/>
          <w:lang w:val="en-US"/>
        </w:rPr>
        <w:t xml:space="preserve">the </w:t>
      </w:r>
      <w:r w:rsidR="00B33764">
        <w:rPr>
          <w:sz w:val="26"/>
          <w:szCs w:val="26"/>
          <w:lang w:val="en-US"/>
        </w:rPr>
        <w:t xml:space="preserve">increase in </w:t>
      </w:r>
      <w:r w:rsidR="00571A93">
        <w:rPr>
          <w:sz w:val="26"/>
          <w:szCs w:val="26"/>
          <w:lang w:val="en-US"/>
        </w:rPr>
        <w:t>the</w:t>
      </w:r>
      <w:r w:rsidR="00B33764">
        <w:rPr>
          <w:sz w:val="26"/>
          <w:szCs w:val="26"/>
          <w:lang w:val="en-US"/>
        </w:rPr>
        <w:t xml:space="preserve"> balance of foreign exchange and deposit and on nostro accounts in foreign banks is the transfer of funds to commercial </w:t>
      </w:r>
      <w:r w:rsidR="00571A93">
        <w:rPr>
          <w:sz w:val="26"/>
          <w:szCs w:val="26"/>
          <w:lang w:val="en-US"/>
        </w:rPr>
        <w:t>banks from the placement of Eurobonds.</w:t>
      </w:r>
    </w:p>
    <w:p w:rsidR="005473F5" w:rsidRPr="005875FA" w:rsidRDefault="005473F5" w:rsidP="005473F5">
      <w:pPr>
        <w:spacing w:before="120" w:line="288" w:lineRule="auto"/>
        <w:ind w:firstLine="709"/>
        <w:jc w:val="both"/>
        <w:rPr>
          <w:rFonts w:cs="Calibri"/>
          <w:sz w:val="26"/>
          <w:szCs w:val="26"/>
          <w:u w:val="single"/>
          <w:lang w:val="en-US"/>
        </w:rPr>
      </w:pPr>
      <w:r w:rsidRPr="005875FA">
        <w:rPr>
          <w:rFonts w:cs="Calibri"/>
          <w:sz w:val="26"/>
          <w:szCs w:val="26"/>
          <w:u w:val="single"/>
          <w:lang w:val="en-US"/>
        </w:rPr>
        <w:t>Liabilities</w:t>
      </w:r>
    </w:p>
    <w:p w:rsidR="005906C1" w:rsidRPr="00F45A80" w:rsidRDefault="00AC7737" w:rsidP="005906C1">
      <w:pPr>
        <w:spacing w:before="120" w:line="288" w:lineRule="auto"/>
        <w:ind w:firstLine="708"/>
        <w:jc w:val="both"/>
        <w:rPr>
          <w:rFonts w:cs="Calibri"/>
          <w:sz w:val="26"/>
          <w:szCs w:val="26"/>
          <w:lang w:val="en-US"/>
        </w:rPr>
      </w:pPr>
      <w:r>
        <w:rPr>
          <w:rFonts w:cs="Calibri"/>
          <w:sz w:val="26"/>
          <w:szCs w:val="26"/>
          <w:lang w:val="en-US"/>
        </w:rPr>
        <w:t xml:space="preserve">For </w:t>
      </w:r>
      <w:r w:rsidR="005906C1" w:rsidRPr="00D22829">
        <w:rPr>
          <w:rFonts w:cs="Calibri"/>
          <w:sz w:val="26"/>
          <w:szCs w:val="26"/>
          <w:lang w:val="en-US"/>
        </w:rPr>
        <w:t>2020</w:t>
      </w:r>
      <w:r w:rsidR="005906C1" w:rsidRPr="00F45A80">
        <w:rPr>
          <w:rFonts w:cs="Calibri"/>
          <w:sz w:val="26"/>
          <w:szCs w:val="26"/>
          <w:lang w:val="en-US"/>
        </w:rPr>
        <w:t xml:space="preserve">, </w:t>
      </w:r>
      <w:r w:rsidR="005906C1">
        <w:rPr>
          <w:rFonts w:cs="Calibri"/>
          <w:sz w:val="26"/>
          <w:szCs w:val="26"/>
          <w:lang w:val="en-US"/>
        </w:rPr>
        <w:t xml:space="preserve">external </w:t>
      </w:r>
      <w:r w:rsidR="005906C1" w:rsidRPr="00F45A80">
        <w:rPr>
          <w:rFonts w:cs="Calibri"/>
          <w:sz w:val="26"/>
          <w:szCs w:val="26"/>
          <w:lang w:val="en-US"/>
        </w:rPr>
        <w:t>liabilities of the bank</w:t>
      </w:r>
      <w:r w:rsidR="007B37A2">
        <w:rPr>
          <w:rFonts w:cs="Calibri"/>
          <w:sz w:val="26"/>
          <w:szCs w:val="26"/>
          <w:lang w:val="en-US"/>
        </w:rPr>
        <w:t xml:space="preserve">ing sector increased by USD </w:t>
      </w:r>
      <w:r w:rsidR="00571A93">
        <w:rPr>
          <w:rFonts w:cs="Calibri"/>
          <w:sz w:val="26"/>
          <w:szCs w:val="26"/>
          <w:lang w:val="en-US"/>
        </w:rPr>
        <w:t>3</w:t>
      </w:r>
      <w:r w:rsidR="007B37A2">
        <w:rPr>
          <w:rFonts w:cs="Calibri"/>
          <w:sz w:val="26"/>
          <w:szCs w:val="26"/>
          <w:lang w:val="en-US"/>
        </w:rPr>
        <w:t>.</w:t>
      </w:r>
      <w:r w:rsidR="00571A93">
        <w:rPr>
          <w:rFonts w:cs="Calibri"/>
          <w:sz w:val="26"/>
          <w:szCs w:val="26"/>
          <w:lang w:val="en-US"/>
        </w:rPr>
        <w:t>7</w:t>
      </w:r>
      <w:r w:rsidR="005906C1">
        <w:rPr>
          <w:rFonts w:cs="Calibri"/>
          <w:sz w:val="26"/>
          <w:szCs w:val="26"/>
          <w:lang w:val="en-US"/>
        </w:rPr>
        <w:t xml:space="preserve"> billion</w:t>
      </w:r>
      <w:r w:rsidR="005906C1" w:rsidRPr="00F45A80">
        <w:rPr>
          <w:rFonts w:cs="Calibri"/>
          <w:sz w:val="26"/>
          <w:szCs w:val="26"/>
          <w:lang w:val="en-US"/>
        </w:rPr>
        <w:t xml:space="preserve">. </w:t>
      </w:r>
      <w:r w:rsidR="00AD24C1">
        <w:rPr>
          <w:rFonts w:cs="Calibri"/>
          <w:sz w:val="26"/>
          <w:szCs w:val="26"/>
          <w:lang w:val="en-US"/>
        </w:rPr>
        <w:br/>
      </w:r>
      <w:r w:rsidR="005906C1" w:rsidRPr="00F45A80">
        <w:rPr>
          <w:rFonts w:cs="Calibri"/>
          <w:sz w:val="26"/>
          <w:szCs w:val="26"/>
          <w:lang w:val="en-US"/>
        </w:rPr>
        <w:t>As analysis show</w:t>
      </w:r>
      <w:r w:rsidR="005906C1">
        <w:rPr>
          <w:rFonts w:cs="Calibri"/>
          <w:sz w:val="26"/>
          <w:szCs w:val="26"/>
          <w:lang w:val="en-US"/>
        </w:rPr>
        <w:t>ed</w:t>
      </w:r>
      <w:r w:rsidR="005906C1" w:rsidRPr="00F45A80">
        <w:rPr>
          <w:rFonts w:cs="Calibri"/>
          <w:sz w:val="26"/>
          <w:szCs w:val="26"/>
          <w:lang w:val="en-US"/>
        </w:rPr>
        <w:t xml:space="preserve"> the growth of liabilities was observed in </w:t>
      </w:r>
      <w:r w:rsidR="005906C1">
        <w:rPr>
          <w:rFonts w:cs="Calibri"/>
          <w:sz w:val="26"/>
          <w:szCs w:val="26"/>
          <w:lang w:val="en-US"/>
        </w:rPr>
        <w:t xml:space="preserve">the components such as </w:t>
      </w:r>
      <w:r w:rsidR="005906C1" w:rsidRPr="00D22829">
        <w:rPr>
          <w:rFonts w:cs="Calibri"/>
          <w:sz w:val="26"/>
          <w:szCs w:val="26"/>
          <w:lang w:val="en-US"/>
        </w:rPr>
        <w:t>«</w:t>
      </w:r>
      <w:r w:rsidR="005906C1">
        <w:rPr>
          <w:rFonts w:cs="Calibri"/>
          <w:sz w:val="26"/>
          <w:szCs w:val="26"/>
          <w:lang w:val="en-US"/>
        </w:rPr>
        <w:t xml:space="preserve">Loans </w:t>
      </w:r>
      <w:r w:rsidR="005906C1" w:rsidRPr="00F772D9">
        <w:rPr>
          <w:rFonts w:cs="Calibri"/>
          <w:sz w:val="26"/>
          <w:szCs w:val="26"/>
          <w:lang w:val="en-US"/>
        </w:rPr>
        <w:t>and borrowings</w:t>
      </w:r>
      <w:r w:rsidR="005906C1" w:rsidRPr="00D22829">
        <w:rPr>
          <w:rFonts w:cs="Calibri"/>
          <w:sz w:val="26"/>
          <w:szCs w:val="26"/>
          <w:lang w:val="en-US"/>
        </w:rPr>
        <w:t>»</w:t>
      </w:r>
      <w:r w:rsidR="005906C1" w:rsidRPr="00F45A80">
        <w:rPr>
          <w:rFonts w:cs="Calibri"/>
          <w:sz w:val="26"/>
          <w:szCs w:val="26"/>
          <w:lang w:val="en-US"/>
        </w:rPr>
        <w:t xml:space="preserve"> (</w:t>
      </w:r>
      <w:r w:rsidR="007B37A2">
        <w:rPr>
          <w:rFonts w:cs="Calibri"/>
          <w:i/>
          <w:sz w:val="26"/>
          <w:szCs w:val="26"/>
          <w:lang w:val="en-US"/>
        </w:rPr>
        <w:t xml:space="preserve">increased by USD </w:t>
      </w:r>
      <w:r>
        <w:rPr>
          <w:rFonts w:cs="Calibri"/>
          <w:i/>
          <w:sz w:val="26"/>
          <w:szCs w:val="26"/>
          <w:lang w:val="en-US"/>
        </w:rPr>
        <w:t>2</w:t>
      </w:r>
      <w:r w:rsidR="00571A93">
        <w:rPr>
          <w:rFonts w:cs="Calibri"/>
          <w:i/>
          <w:sz w:val="26"/>
          <w:szCs w:val="26"/>
          <w:lang w:val="en-US"/>
        </w:rPr>
        <w:t>.7</w:t>
      </w:r>
      <w:r w:rsidR="005906C1">
        <w:rPr>
          <w:rFonts w:cs="Calibri"/>
          <w:i/>
          <w:sz w:val="26"/>
          <w:szCs w:val="26"/>
          <w:lang w:val="en-US"/>
        </w:rPr>
        <w:t xml:space="preserve"> billion</w:t>
      </w:r>
      <w:r w:rsidR="005906C1" w:rsidRPr="00F45A80">
        <w:rPr>
          <w:rFonts w:cs="Calibri"/>
          <w:sz w:val="26"/>
          <w:szCs w:val="26"/>
          <w:lang w:val="en-US"/>
        </w:rPr>
        <w:t>)</w:t>
      </w:r>
      <w:r w:rsidR="005906C1">
        <w:rPr>
          <w:rFonts w:cs="Calibri"/>
          <w:sz w:val="26"/>
          <w:szCs w:val="26"/>
          <w:lang w:val="en-US"/>
        </w:rPr>
        <w:t xml:space="preserve"> and</w:t>
      </w:r>
      <w:r w:rsidR="005906C1" w:rsidRPr="00F45A80">
        <w:rPr>
          <w:rFonts w:cs="Calibri"/>
          <w:sz w:val="26"/>
          <w:szCs w:val="26"/>
          <w:lang w:val="en-US"/>
        </w:rPr>
        <w:t xml:space="preserve"> </w:t>
      </w:r>
      <w:r w:rsidR="005906C1" w:rsidRPr="00D22829">
        <w:rPr>
          <w:rFonts w:cs="Calibri"/>
          <w:sz w:val="26"/>
          <w:szCs w:val="26"/>
          <w:lang w:val="en-US"/>
        </w:rPr>
        <w:t>«</w:t>
      </w:r>
      <w:r w:rsidR="005906C1" w:rsidRPr="00F45A80">
        <w:rPr>
          <w:rFonts w:cs="Calibri"/>
          <w:sz w:val="26"/>
          <w:szCs w:val="26"/>
          <w:lang w:val="en-US"/>
        </w:rPr>
        <w:t>Currency and deposits</w:t>
      </w:r>
      <w:r w:rsidR="005906C1" w:rsidRPr="00D22829">
        <w:rPr>
          <w:rFonts w:cs="Calibri"/>
          <w:sz w:val="26"/>
          <w:szCs w:val="26"/>
          <w:lang w:val="en-US"/>
        </w:rPr>
        <w:t>»</w:t>
      </w:r>
      <w:r w:rsidR="005906C1" w:rsidRPr="00F45A80">
        <w:rPr>
          <w:rFonts w:cs="Calibri"/>
          <w:sz w:val="26"/>
          <w:szCs w:val="26"/>
          <w:lang w:val="en-US"/>
        </w:rPr>
        <w:t xml:space="preserve"> (</w:t>
      </w:r>
      <w:r w:rsidR="005906C1" w:rsidRPr="00EE6426">
        <w:rPr>
          <w:rFonts w:cs="Calibri"/>
          <w:i/>
          <w:sz w:val="26"/>
          <w:szCs w:val="26"/>
          <w:lang w:val="en-US"/>
        </w:rPr>
        <w:t>increase</w:t>
      </w:r>
      <w:r w:rsidR="005906C1">
        <w:rPr>
          <w:rFonts w:cs="Calibri"/>
          <w:i/>
          <w:sz w:val="26"/>
          <w:szCs w:val="26"/>
          <w:lang w:val="en-US"/>
        </w:rPr>
        <w:t>d</w:t>
      </w:r>
      <w:r w:rsidR="005906C1" w:rsidRPr="00EE6426">
        <w:rPr>
          <w:rFonts w:cs="Calibri"/>
          <w:i/>
          <w:sz w:val="26"/>
          <w:szCs w:val="26"/>
          <w:lang w:val="en-US"/>
        </w:rPr>
        <w:t xml:space="preserve"> by USD </w:t>
      </w:r>
      <w:r w:rsidR="00571A93">
        <w:rPr>
          <w:rFonts w:cs="Calibri"/>
          <w:i/>
          <w:sz w:val="26"/>
          <w:szCs w:val="26"/>
          <w:lang w:val="en-US"/>
        </w:rPr>
        <w:t>205</w:t>
      </w:r>
      <w:r w:rsidR="005906C1" w:rsidRPr="00EE6426">
        <w:rPr>
          <w:rFonts w:cs="Calibri"/>
          <w:i/>
          <w:sz w:val="26"/>
          <w:szCs w:val="26"/>
          <w:lang w:val="en-US"/>
        </w:rPr>
        <w:t xml:space="preserve"> million</w:t>
      </w:r>
      <w:r w:rsidR="005906C1">
        <w:rPr>
          <w:rFonts w:cs="Calibri"/>
          <w:sz w:val="26"/>
          <w:szCs w:val="26"/>
          <w:lang w:val="en-US"/>
        </w:rPr>
        <w:t xml:space="preserve">), </w:t>
      </w:r>
      <w:r w:rsidR="005906C1">
        <w:rPr>
          <w:sz w:val="26"/>
          <w:szCs w:val="26"/>
          <w:lang w:val="en-US"/>
        </w:rPr>
        <w:t xml:space="preserve">as well as </w:t>
      </w:r>
      <w:r w:rsidR="005906C1" w:rsidRPr="00DF75A3">
        <w:rPr>
          <w:sz w:val="26"/>
          <w:szCs w:val="26"/>
          <w:lang w:val="en-US"/>
        </w:rPr>
        <w:t>«</w:t>
      </w:r>
      <w:r w:rsidR="00571A93">
        <w:rPr>
          <w:sz w:val="26"/>
          <w:szCs w:val="26"/>
          <w:lang w:val="en-US"/>
        </w:rPr>
        <w:t>Portfolio</w:t>
      </w:r>
      <w:r w:rsidR="005906C1">
        <w:rPr>
          <w:sz w:val="26"/>
          <w:szCs w:val="26"/>
          <w:lang w:val="en-US"/>
        </w:rPr>
        <w:t xml:space="preserve"> Investments</w:t>
      </w:r>
      <w:r w:rsidR="005906C1" w:rsidRPr="00DF75A3">
        <w:rPr>
          <w:sz w:val="26"/>
          <w:szCs w:val="26"/>
          <w:lang w:val="en-US"/>
        </w:rPr>
        <w:t>»</w:t>
      </w:r>
      <w:r w:rsidR="005906C1" w:rsidRPr="003B484B">
        <w:rPr>
          <w:sz w:val="26"/>
          <w:szCs w:val="26"/>
          <w:lang w:val="en-US"/>
        </w:rPr>
        <w:t xml:space="preserve"> (</w:t>
      </w:r>
      <w:r w:rsidR="005906C1" w:rsidRPr="00DF75A3">
        <w:rPr>
          <w:i/>
          <w:sz w:val="26"/>
          <w:szCs w:val="26"/>
          <w:lang w:val="en-US"/>
        </w:rPr>
        <w:t xml:space="preserve">growth due to </w:t>
      </w:r>
      <w:r w:rsidR="00571A93">
        <w:rPr>
          <w:i/>
          <w:sz w:val="26"/>
          <w:szCs w:val="26"/>
          <w:lang w:val="en-US"/>
        </w:rPr>
        <w:t>issue of international bonds by two banks for USD 300 million, taking into account the world price - USD 636 million</w:t>
      </w:r>
      <w:r w:rsidR="005906C1" w:rsidRPr="003B484B">
        <w:rPr>
          <w:sz w:val="26"/>
          <w:szCs w:val="26"/>
          <w:lang w:val="en-US"/>
        </w:rPr>
        <w:t>).</w:t>
      </w:r>
    </w:p>
    <w:p w:rsidR="00105B97" w:rsidRDefault="005906C1" w:rsidP="005906C1">
      <w:pPr>
        <w:spacing w:before="120" w:line="288" w:lineRule="auto"/>
        <w:ind w:firstLine="708"/>
        <w:jc w:val="both"/>
        <w:rPr>
          <w:rFonts w:cs="Calibri"/>
          <w:sz w:val="26"/>
          <w:szCs w:val="26"/>
          <w:lang w:val="en-US"/>
        </w:rPr>
      </w:pPr>
      <w:r w:rsidRPr="003B484B">
        <w:rPr>
          <w:sz w:val="26"/>
          <w:szCs w:val="26"/>
          <w:lang w:val="en-US"/>
        </w:rPr>
        <w:t xml:space="preserve">Thus, as of </w:t>
      </w:r>
      <w:r w:rsidR="00571A93">
        <w:rPr>
          <w:sz w:val="26"/>
          <w:szCs w:val="26"/>
          <w:lang w:val="en-US"/>
        </w:rPr>
        <w:t>January</w:t>
      </w:r>
      <w:r w:rsidRPr="003B484B">
        <w:rPr>
          <w:sz w:val="26"/>
          <w:szCs w:val="26"/>
          <w:lang w:val="en-US"/>
        </w:rPr>
        <w:t xml:space="preserve"> 1, 202</w:t>
      </w:r>
      <w:r w:rsidR="00571A93">
        <w:rPr>
          <w:sz w:val="26"/>
          <w:szCs w:val="26"/>
          <w:lang w:val="en-US"/>
        </w:rPr>
        <w:t>1</w:t>
      </w:r>
      <w:r w:rsidRPr="003B484B">
        <w:rPr>
          <w:sz w:val="26"/>
          <w:szCs w:val="26"/>
          <w:lang w:val="en-US"/>
        </w:rPr>
        <w:t xml:space="preserve">, </w:t>
      </w:r>
      <w:r w:rsidR="00571A93">
        <w:rPr>
          <w:sz w:val="26"/>
          <w:szCs w:val="26"/>
          <w:lang w:val="en-US"/>
        </w:rPr>
        <w:t>7</w:t>
      </w:r>
      <w:r w:rsidR="0006630D">
        <w:rPr>
          <w:sz w:val="26"/>
          <w:szCs w:val="26"/>
          <w:lang w:val="en-US"/>
        </w:rPr>
        <w:t>6,5</w:t>
      </w:r>
      <w:r w:rsidR="00571A93">
        <w:rPr>
          <w:sz w:val="26"/>
          <w:szCs w:val="26"/>
          <w:lang w:val="en-US"/>
        </w:rPr>
        <w:t xml:space="preserve">% of the banking sector’s liabilities to non-residents fall on loans and borrowings from foreign banks and international financial institutions, having decreased as compared to the previous year, mainly due to their issuance </w:t>
      </w:r>
      <w:r w:rsidR="00143D53">
        <w:rPr>
          <w:sz w:val="26"/>
          <w:szCs w:val="26"/>
          <w:lang w:val="en-US"/>
        </w:rPr>
        <w:t>o</w:t>
      </w:r>
      <w:r w:rsidR="00571A93">
        <w:rPr>
          <w:sz w:val="26"/>
          <w:szCs w:val="26"/>
          <w:lang w:val="en-US"/>
        </w:rPr>
        <w:t>f Eurobonds</w:t>
      </w:r>
      <w:r w:rsidRPr="003B484B">
        <w:rPr>
          <w:sz w:val="26"/>
          <w:szCs w:val="26"/>
          <w:lang w:val="en-US"/>
        </w:rPr>
        <w:t>.</w:t>
      </w:r>
      <w:r w:rsidRPr="00F45A80">
        <w:rPr>
          <w:rFonts w:cs="Calibri"/>
          <w:sz w:val="26"/>
          <w:szCs w:val="26"/>
          <w:lang w:val="en-US"/>
        </w:rPr>
        <w:t xml:space="preserve"> </w:t>
      </w:r>
      <w:r w:rsidR="00AD24C1">
        <w:rPr>
          <w:rFonts w:cs="Calibri"/>
          <w:sz w:val="26"/>
          <w:szCs w:val="26"/>
          <w:lang w:val="en-US"/>
        </w:rPr>
        <w:br/>
      </w:r>
      <w:r>
        <w:rPr>
          <w:rFonts w:cs="Calibri"/>
          <w:color w:val="0070C0"/>
          <w:sz w:val="26"/>
          <w:szCs w:val="26"/>
          <w:lang w:val="en-US"/>
        </w:rPr>
        <w:t xml:space="preserve">(Figure </w:t>
      </w:r>
      <w:r w:rsidR="00AD4257">
        <w:rPr>
          <w:rFonts w:cs="Calibri"/>
          <w:color w:val="0070C0"/>
          <w:sz w:val="26"/>
          <w:szCs w:val="26"/>
          <w:lang w:val="en-US"/>
        </w:rPr>
        <w:t>20</w:t>
      </w:r>
      <w:r w:rsidRPr="00F45A80">
        <w:rPr>
          <w:rFonts w:cs="Calibri"/>
          <w:color w:val="0070C0"/>
          <w:sz w:val="26"/>
          <w:szCs w:val="26"/>
          <w:lang w:val="en-US"/>
        </w:rPr>
        <w:t>)</w:t>
      </w:r>
      <w:r w:rsidRPr="00F45A80">
        <w:rPr>
          <w:rFonts w:cs="Calibri"/>
          <w:sz w:val="26"/>
          <w:szCs w:val="26"/>
          <w:lang w:val="en-US"/>
        </w:rPr>
        <w:t>.</w:t>
      </w:r>
    </w:p>
    <w:tbl>
      <w:tblPr>
        <w:tblW w:w="15033" w:type="dxa"/>
        <w:tblLook w:val="04A0" w:firstRow="1" w:lastRow="0" w:firstColumn="1" w:lastColumn="0" w:noHBand="0" w:noVBand="1"/>
      </w:tblPr>
      <w:tblGrid>
        <w:gridCol w:w="5001"/>
        <w:gridCol w:w="5001"/>
        <w:gridCol w:w="30"/>
        <w:gridCol w:w="5001"/>
      </w:tblGrid>
      <w:tr w:rsidR="006843AB" w:rsidRPr="00D040FC" w:rsidTr="00C07411">
        <w:trPr>
          <w:gridAfter w:val="1"/>
          <w:wAfter w:w="5001" w:type="dxa"/>
        </w:trPr>
        <w:tc>
          <w:tcPr>
            <w:tcW w:w="10032" w:type="dxa"/>
            <w:gridSpan w:val="3"/>
            <w:shd w:val="clear" w:color="auto" w:fill="auto"/>
          </w:tcPr>
          <w:p w:rsidR="006843AB" w:rsidRPr="00F45A80" w:rsidRDefault="00B23450" w:rsidP="00C07411">
            <w:pPr>
              <w:spacing w:before="80" w:after="80"/>
              <w:jc w:val="right"/>
              <w:rPr>
                <w:lang w:val="en-US"/>
              </w:rPr>
            </w:pPr>
            <w:r>
              <w:rPr>
                <w:lang w:val="en-US"/>
              </w:rPr>
              <w:t>Figure</w:t>
            </w:r>
            <w:r w:rsidR="00B60162">
              <w:rPr>
                <w:lang w:val="en-US"/>
              </w:rPr>
              <w:t xml:space="preserve"> </w:t>
            </w:r>
            <w:r w:rsidR="00AD4257">
              <w:rPr>
                <w:lang w:val="en-US"/>
              </w:rPr>
              <w:t>20</w:t>
            </w:r>
          </w:p>
          <w:p w:rsidR="006843AB" w:rsidRPr="00B75F3E" w:rsidRDefault="006843AB" w:rsidP="00C07411">
            <w:pPr>
              <w:spacing w:before="80" w:after="80"/>
              <w:jc w:val="center"/>
              <w:rPr>
                <w:b/>
                <w:sz w:val="28"/>
                <w:szCs w:val="28"/>
                <w:lang w:val="en-US"/>
              </w:rPr>
            </w:pPr>
            <w:r w:rsidRPr="00B75F3E">
              <w:rPr>
                <w:rFonts w:cs="Calibri"/>
                <w:b/>
                <w:sz w:val="28"/>
                <w:szCs w:val="28"/>
                <w:lang w:val="en-US"/>
              </w:rPr>
              <w:t>STRUCTURE OF LIABILITIES OF BANKING SECTOR TO NON-RESIDENTS</w:t>
            </w:r>
          </w:p>
        </w:tc>
      </w:tr>
      <w:tr w:rsidR="006843AB" w:rsidRPr="0006630D" w:rsidTr="00C07411">
        <w:tc>
          <w:tcPr>
            <w:tcW w:w="5001" w:type="dxa"/>
            <w:tcBorders>
              <w:top w:val="single" w:sz="4" w:space="0" w:color="auto"/>
            </w:tcBorders>
          </w:tcPr>
          <w:p w:rsidR="006843AB" w:rsidRPr="0090110D" w:rsidRDefault="006843AB" w:rsidP="0090110D">
            <w:pPr>
              <w:spacing w:before="80" w:after="80"/>
              <w:jc w:val="center"/>
              <w:rPr>
                <w:rFonts w:cs="Calibri"/>
                <w:sz w:val="26"/>
                <w:szCs w:val="26"/>
                <w:lang w:val="uz-Cyrl-UZ"/>
              </w:rPr>
            </w:pPr>
            <w:r w:rsidRPr="00F45A80">
              <w:rPr>
                <w:rFonts w:cs="Calibri"/>
                <w:sz w:val="26"/>
                <w:szCs w:val="26"/>
                <w:lang w:val="en-US"/>
              </w:rPr>
              <w:t xml:space="preserve">January 1, </w:t>
            </w:r>
            <w:r w:rsidR="0090110D">
              <w:rPr>
                <w:rFonts w:cs="Calibri"/>
                <w:sz w:val="26"/>
                <w:szCs w:val="26"/>
                <w:lang w:val="uz-Cyrl-UZ"/>
              </w:rPr>
              <w:t>2020</w:t>
            </w:r>
          </w:p>
        </w:tc>
        <w:tc>
          <w:tcPr>
            <w:tcW w:w="5001" w:type="dxa"/>
            <w:tcBorders>
              <w:top w:val="single" w:sz="4" w:space="0" w:color="auto"/>
            </w:tcBorders>
          </w:tcPr>
          <w:p w:rsidR="006843AB" w:rsidRPr="00F45A80" w:rsidRDefault="00571A93" w:rsidP="00571A93">
            <w:pPr>
              <w:spacing w:before="80" w:after="80"/>
              <w:jc w:val="center"/>
              <w:rPr>
                <w:rFonts w:cs="Calibri"/>
                <w:sz w:val="26"/>
                <w:szCs w:val="26"/>
                <w:lang w:val="en-US"/>
              </w:rPr>
            </w:pPr>
            <w:r>
              <w:rPr>
                <w:rFonts w:cs="Calibri"/>
                <w:sz w:val="26"/>
                <w:szCs w:val="26"/>
                <w:lang w:val="en-US"/>
              </w:rPr>
              <w:t>January</w:t>
            </w:r>
            <w:r w:rsidR="006843AB">
              <w:rPr>
                <w:rFonts w:cs="Calibri"/>
                <w:sz w:val="26"/>
                <w:szCs w:val="26"/>
                <w:lang w:val="en-US"/>
              </w:rPr>
              <w:t xml:space="preserve"> 1, 202</w:t>
            </w:r>
            <w:r>
              <w:rPr>
                <w:rFonts w:cs="Calibri"/>
                <w:sz w:val="26"/>
                <w:szCs w:val="26"/>
                <w:lang w:val="en-US"/>
              </w:rPr>
              <w:t>1</w:t>
            </w:r>
          </w:p>
        </w:tc>
        <w:tc>
          <w:tcPr>
            <w:tcW w:w="5031" w:type="dxa"/>
            <w:gridSpan w:val="2"/>
            <w:tcBorders>
              <w:top w:val="single" w:sz="4" w:space="0" w:color="auto"/>
            </w:tcBorders>
            <w:shd w:val="clear" w:color="auto" w:fill="auto"/>
          </w:tcPr>
          <w:p w:rsidR="006843AB" w:rsidRPr="00F45A80" w:rsidRDefault="006843AB" w:rsidP="00C07411">
            <w:pPr>
              <w:spacing w:before="80" w:after="80"/>
              <w:jc w:val="center"/>
              <w:rPr>
                <w:rFonts w:cs="Calibri"/>
                <w:sz w:val="26"/>
                <w:szCs w:val="26"/>
                <w:lang w:val="en-US"/>
              </w:rPr>
            </w:pPr>
            <w:r w:rsidRPr="00F45A80">
              <w:rPr>
                <w:rFonts w:cs="Calibri"/>
                <w:sz w:val="26"/>
                <w:szCs w:val="26"/>
                <w:lang w:val="en-US"/>
              </w:rPr>
              <w:t>April 1, 2019</w:t>
            </w:r>
          </w:p>
        </w:tc>
      </w:tr>
      <w:tr w:rsidR="006843AB" w:rsidRPr="0006630D" w:rsidTr="00571A93">
        <w:tc>
          <w:tcPr>
            <w:tcW w:w="5001" w:type="dxa"/>
          </w:tcPr>
          <w:p w:rsidR="006843AB" w:rsidRPr="00F45A80" w:rsidRDefault="00571A93" w:rsidP="00C07411">
            <w:pPr>
              <w:jc w:val="center"/>
              <w:rPr>
                <w:highlight w:val="yellow"/>
                <w:lang w:val="en-US"/>
              </w:rPr>
            </w:pPr>
            <w:r>
              <w:rPr>
                <w:noProof/>
              </w:rPr>
              <w:drawing>
                <wp:inline distT="0" distB="0" distL="0" distR="0" wp14:anchorId="300933D0" wp14:editId="6C156D87">
                  <wp:extent cx="2743200" cy="3823855"/>
                  <wp:effectExtent l="0" t="0" r="0" b="5715"/>
                  <wp:docPr id="68" name="Диаграмма 68">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5001" w:type="dxa"/>
            <w:vAlign w:val="center"/>
          </w:tcPr>
          <w:p w:rsidR="006843AB" w:rsidRPr="00F45A80" w:rsidRDefault="00571A93" w:rsidP="00C07411">
            <w:pPr>
              <w:jc w:val="right"/>
              <w:rPr>
                <w:highlight w:val="yellow"/>
                <w:lang w:val="en-US"/>
              </w:rPr>
            </w:pPr>
            <w:r>
              <w:rPr>
                <w:noProof/>
              </w:rPr>
              <w:drawing>
                <wp:inline distT="0" distB="0" distL="0" distR="0" wp14:anchorId="0D17D260" wp14:editId="65EE69F1">
                  <wp:extent cx="2754630" cy="3764478"/>
                  <wp:effectExtent l="0" t="0" r="7620" b="7620"/>
                  <wp:docPr id="67" name="Диаграмма 67">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c>
          <w:tcPr>
            <w:tcW w:w="5031" w:type="dxa"/>
            <w:gridSpan w:val="2"/>
            <w:shd w:val="clear" w:color="auto" w:fill="auto"/>
            <w:vAlign w:val="center"/>
          </w:tcPr>
          <w:p w:rsidR="006843AB" w:rsidRPr="00F45A80" w:rsidRDefault="006843AB" w:rsidP="00C07411">
            <w:pPr>
              <w:jc w:val="right"/>
              <w:rPr>
                <w:highlight w:val="yellow"/>
                <w:lang w:val="en-US"/>
              </w:rPr>
            </w:pPr>
            <w:r w:rsidRPr="00F45A80">
              <w:rPr>
                <w:noProof/>
              </w:rPr>
              <w:drawing>
                <wp:inline distT="0" distB="0" distL="0" distR="0" wp14:anchorId="06631DD1" wp14:editId="237B978B">
                  <wp:extent cx="2751455" cy="3419475"/>
                  <wp:effectExtent l="0" t="0" r="0" b="0"/>
                  <wp:docPr id="1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bl>
    <w:p w:rsidR="001247A0" w:rsidRPr="00F45A80" w:rsidRDefault="00643E81" w:rsidP="004C59BD">
      <w:pPr>
        <w:pStyle w:val="21"/>
        <w:spacing w:before="60"/>
        <w:rPr>
          <w:rFonts w:ascii="Calibri" w:hAnsi="Calibri" w:cs="Calibri"/>
          <w:lang w:val="en-US"/>
        </w:rPr>
      </w:pPr>
      <w:bookmarkStart w:id="16" w:name="_Toc533515532"/>
      <w:bookmarkStart w:id="17" w:name="_Toc67050798"/>
      <w:r w:rsidRPr="00F45A80">
        <w:rPr>
          <w:rFonts w:ascii="Calibri" w:hAnsi="Calibri" w:cs="Calibri"/>
          <w:lang w:val="en-US"/>
        </w:rPr>
        <w:lastRenderedPageBreak/>
        <w:t>OTHER SECTORS</w:t>
      </w:r>
      <w:bookmarkEnd w:id="16"/>
      <w:bookmarkEnd w:id="17"/>
    </w:p>
    <w:p w:rsidR="00643E81" w:rsidRPr="005875FA" w:rsidRDefault="00643E81" w:rsidP="004C59BD">
      <w:pPr>
        <w:spacing w:before="60" w:line="288" w:lineRule="auto"/>
        <w:ind w:firstLine="709"/>
        <w:jc w:val="both"/>
        <w:rPr>
          <w:rFonts w:cs="Calibri"/>
          <w:sz w:val="26"/>
          <w:szCs w:val="26"/>
          <w:u w:val="single"/>
          <w:lang w:val="en-US"/>
        </w:rPr>
      </w:pPr>
      <w:r w:rsidRPr="005875FA">
        <w:rPr>
          <w:rFonts w:cs="Calibri"/>
          <w:sz w:val="26"/>
          <w:szCs w:val="26"/>
          <w:u w:val="single"/>
          <w:lang w:val="en-US"/>
        </w:rPr>
        <w:t>Assets</w:t>
      </w:r>
    </w:p>
    <w:p w:rsidR="00B26BC2" w:rsidRPr="00F45A80" w:rsidRDefault="005906C1" w:rsidP="00147844">
      <w:pPr>
        <w:spacing w:before="120" w:line="276" w:lineRule="auto"/>
        <w:ind w:firstLine="709"/>
        <w:jc w:val="both"/>
        <w:rPr>
          <w:rFonts w:cs="Calibri"/>
          <w:sz w:val="26"/>
          <w:szCs w:val="26"/>
          <w:lang w:val="en-US"/>
        </w:rPr>
      </w:pPr>
      <w:r w:rsidRPr="00B26BC2">
        <w:rPr>
          <w:rFonts w:cs="Calibri"/>
          <w:sz w:val="26"/>
          <w:szCs w:val="26"/>
          <w:lang w:val="en-US"/>
        </w:rPr>
        <w:t xml:space="preserve">In the structure of foreign assets of other sectors </w:t>
      </w:r>
      <w:r w:rsidR="00AC7737">
        <w:rPr>
          <w:rFonts w:cs="Calibri"/>
          <w:sz w:val="26"/>
          <w:szCs w:val="26"/>
          <w:lang w:val="en-US"/>
        </w:rPr>
        <w:t xml:space="preserve">for </w:t>
      </w:r>
      <w:r>
        <w:rPr>
          <w:rFonts w:cs="Calibri"/>
          <w:sz w:val="26"/>
          <w:szCs w:val="26"/>
          <w:lang w:val="en-US"/>
        </w:rPr>
        <w:t xml:space="preserve">2020, an increase amounted </w:t>
      </w:r>
      <w:r w:rsidR="0086320E">
        <w:rPr>
          <w:rFonts w:cs="Calibri"/>
          <w:sz w:val="26"/>
          <w:szCs w:val="26"/>
          <w:lang w:val="en-US"/>
        </w:rPr>
        <w:br/>
      </w:r>
      <w:r>
        <w:rPr>
          <w:rFonts w:cs="Calibri"/>
          <w:sz w:val="26"/>
          <w:szCs w:val="26"/>
          <w:lang w:val="en-US"/>
        </w:rPr>
        <w:t xml:space="preserve">to </w:t>
      </w:r>
      <w:r w:rsidRPr="00B26BC2">
        <w:rPr>
          <w:rFonts w:cs="Calibri"/>
          <w:sz w:val="26"/>
          <w:szCs w:val="26"/>
          <w:lang w:val="en-US"/>
        </w:rPr>
        <w:t xml:space="preserve">USD </w:t>
      </w:r>
      <w:r w:rsidR="002E0082">
        <w:rPr>
          <w:rFonts w:cs="Calibri"/>
          <w:sz w:val="26"/>
          <w:szCs w:val="26"/>
          <w:lang w:val="en-US"/>
        </w:rPr>
        <w:t>4</w:t>
      </w:r>
      <w:r>
        <w:rPr>
          <w:rFonts w:cs="Calibri"/>
          <w:sz w:val="26"/>
          <w:szCs w:val="26"/>
          <w:lang w:val="en-US"/>
        </w:rPr>
        <w:t>.</w:t>
      </w:r>
      <w:r w:rsidR="00AC7737">
        <w:rPr>
          <w:rFonts w:cs="Calibri"/>
          <w:sz w:val="26"/>
          <w:szCs w:val="26"/>
          <w:lang w:val="en-US"/>
        </w:rPr>
        <w:t>7</w:t>
      </w:r>
      <w:r w:rsidRPr="00B26BC2">
        <w:rPr>
          <w:rFonts w:cs="Calibri"/>
          <w:sz w:val="26"/>
          <w:szCs w:val="26"/>
          <w:lang w:val="en-US"/>
        </w:rPr>
        <w:t xml:space="preserve"> billion. </w:t>
      </w:r>
      <w:r w:rsidRPr="003B484B">
        <w:rPr>
          <w:sz w:val="26"/>
          <w:szCs w:val="26"/>
          <w:lang w:val="en-US"/>
        </w:rPr>
        <w:t xml:space="preserve">The growth in assets </w:t>
      </w:r>
      <w:r>
        <w:rPr>
          <w:sz w:val="26"/>
          <w:szCs w:val="26"/>
          <w:lang w:val="en-US"/>
        </w:rPr>
        <w:t>in</w:t>
      </w:r>
      <w:r w:rsidRPr="003B484B">
        <w:rPr>
          <w:sz w:val="26"/>
          <w:szCs w:val="26"/>
          <w:lang w:val="en-US"/>
        </w:rPr>
        <w:t xml:space="preserve"> the component "Currency and deposits" in the amount of USD </w:t>
      </w:r>
      <w:r w:rsidR="002E0082">
        <w:rPr>
          <w:sz w:val="26"/>
          <w:szCs w:val="26"/>
          <w:lang w:val="en-US"/>
        </w:rPr>
        <w:t>2</w:t>
      </w:r>
      <w:r w:rsidR="00AC7737">
        <w:rPr>
          <w:sz w:val="26"/>
          <w:szCs w:val="26"/>
          <w:lang w:val="en-US"/>
        </w:rPr>
        <w:t>.</w:t>
      </w:r>
      <w:r w:rsidR="002E0082">
        <w:rPr>
          <w:sz w:val="26"/>
          <w:szCs w:val="26"/>
          <w:lang w:val="en-US"/>
        </w:rPr>
        <w:t>6</w:t>
      </w:r>
      <w:r w:rsidRPr="003B484B">
        <w:rPr>
          <w:sz w:val="26"/>
          <w:szCs w:val="26"/>
          <w:lang w:val="en-US"/>
        </w:rPr>
        <w:t xml:space="preserve"> </w:t>
      </w:r>
      <w:r w:rsidR="00AC7737">
        <w:rPr>
          <w:sz w:val="26"/>
          <w:szCs w:val="26"/>
          <w:lang w:val="en-US"/>
        </w:rPr>
        <w:t>b</w:t>
      </w:r>
      <w:r w:rsidRPr="003B484B">
        <w:rPr>
          <w:sz w:val="26"/>
          <w:szCs w:val="26"/>
          <w:lang w:val="en-US"/>
        </w:rPr>
        <w:t xml:space="preserve">illion, which increased due to the repatriation (return) of incomes of citizens of the Republic of Uzbekistan working abroad. An increase in the amount of </w:t>
      </w:r>
      <w:r>
        <w:rPr>
          <w:sz w:val="26"/>
          <w:szCs w:val="26"/>
          <w:lang w:val="en-US"/>
        </w:rPr>
        <w:t>USD</w:t>
      </w:r>
      <w:r w:rsidRPr="003B484B">
        <w:rPr>
          <w:sz w:val="26"/>
          <w:szCs w:val="26"/>
          <w:lang w:val="en-US"/>
        </w:rPr>
        <w:t xml:space="preserve"> </w:t>
      </w:r>
      <w:r w:rsidR="002E0082">
        <w:rPr>
          <w:sz w:val="26"/>
          <w:szCs w:val="26"/>
          <w:lang w:val="en-US"/>
        </w:rPr>
        <w:t>2</w:t>
      </w:r>
      <w:r w:rsidR="00AC7737">
        <w:rPr>
          <w:sz w:val="26"/>
          <w:szCs w:val="26"/>
          <w:lang w:val="en-US"/>
        </w:rPr>
        <w:t>.</w:t>
      </w:r>
      <w:r w:rsidR="002E0082">
        <w:rPr>
          <w:sz w:val="26"/>
          <w:szCs w:val="26"/>
          <w:lang w:val="en-US"/>
        </w:rPr>
        <w:t>1</w:t>
      </w:r>
      <w:r w:rsidRPr="003B484B">
        <w:rPr>
          <w:sz w:val="26"/>
          <w:szCs w:val="26"/>
          <w:lang w:val="en-US"/>
        </w:rPr>
        <w:t xml:space="preserve"> </w:t>
      </w:r>
      <w:r w:rsidR="00AC7737">
        <w:rPr>
          <w:sz w:val="26"/>
          <w:szCs w:val="26"/>
          <w:lang w:val="en-US"/>
        </w:rPr>
        <w:t>b</w:t>
      </w:r>
      <w:r w:rsidRPr="003B484B">
        <w:rPr>
          <w:sz w:val="26"/>
          <w:szCs w:val="26"/>
          <w:lang w:val="en-US"/>
        </w:rPr>
        <w:t>illion (</w:t>
      </w:r>
      <w:r w:rsidRPr="00ED452C">
        <w:rPr>
          <w:i/>
          <w:sz w:val="26"/>
          <w:szCs w:val="26"/>
          <w:lang w:val="en-US"/>
        </w:rPr>
        <w:t xml:space="preserve">USD </w:t>
      </w:r>
      <w:r w:rsidR="002E0082">
        <w:rPr>
          <w:i/>
          <w:sz w:val="26"/>
          <w:szCs w:val="26"/>
          <w:lang w:val="en-US"/>
        </w:rPr>
        <w:t>2</w:t>
      </w:r>
      <w:r w:rsidR="00AC7737">
        <w:rPr>
          <w:i/>
          <w:sz w:val="26"/>
          <w:szCs w:val="26"/>
          <w:lang w:val="en-US"/>
        </w:rPr>
        <w:t>.</w:t>
      </w:r>
      <w:r w:rsidR="002E0082">
        <w:rPr>
          <w:i/>
          <w:sz w:val="26"/>
          <w:szCs w:val="26"/>
          <w:lang w:val="en-US"/>
        </w:rPr>
        <w:t>0</w:t>
      </w:r>
      <w:r w:rsidRPr="00ED452C">
        <w:rPr>
          <w:i/>
          <w:sz w:val="26"/>
          <w:szCs w:val="26"/>
          <w:lang w:val="en-US"/>
        </w:rPr>
        <w:t xml:space="preserve"> </w:t>
      </w:r>
      <w:r w:rsidR="00AC7737">
        <w:rPr>
          <w:i/>
          <w:sz w:val="26"/>
          <w:szCs w:val="26"/>
          <w:lang w:val="en-US"/>
        </w:rPr>
        <w:t>b</w:t>
      </w:r>
      <w:r w:rsidRPr="00ED452C">
        <w:rPr>
          <w:i/>
          <w:sz w:val="26"/>
          <w:szCs w:val="26"/>
          <w:lang w:val="en-US"/>
        </w:rPr>
        <w:t>illion</w:t>
      </w:r>
      <w:r w:rsidR="0006630D">
        <w:rPr>
          <w:i/>
          <w:sz w:val="26"/>
          <w:szCs w:val="26"/>
          <w:lang w:val="en-US"/>
        </w:rPr>
        <w:t xml:space="preserve"> increase</w:t>
      </w:r>
      <w:r w:rsidRPr="00ED452C">
        <w:rPr>
          <w:i/>
          <w:sz w:val="26"/>
          <w:szCs w:val="26"/>
          <w:lang w:val="en-US"/>
        </w:rPr>
        <w:t xml:space="preserve"> a year earlier</w:t>
      </w:r>
      <w:r w:rsidRPr="003B484B">
        <w:rPr>
          <w:sz w:val="26"/>
          <w:szCs w:val="26"/>
          <w:lang w:val="en-US"/>
        </w:rPr>
        <w:t xml:space="preserve">) was also recorded in the </w:t>
      </w:r>
      <w:r w:rsidRPr="00ED452C">
        <w:rPr>
          <w:sz w:val="26"/>
          <w:szCs w:val="26"/>
          <w:lang w:val="en-US"/>
        </w:rPr>
        <w:t>«</w:t>
      </w:r>
      <w:r w:rsidRPr="003B484B">
        <w:rPr>
          <w:sz w:val="26"/>
          <w:szCs w:val="26"/>
          <w:lang w:val="en-US"/>
        </w:rPr>
        <w:t xml:space="preserve">Trade </w:t>
      </w:r>
      <w:r>
        <w:rPr>
          <w:sz w:val="26"/>
          <w:szCs w:val="26"/>
          <w:lang w:val="en-US"/>
        </w:rPr>
        <w:t>credits and a</w:t>
      </w:r>
      <w:r w:rsidRPr="003B484B">
        <w:rPr>
          <w:sz w:val="26"/>
          <w:szCs w:val="26"/>
          <w:lang w:val="en-US"/>
        </w:rPr>
        <w:t>dvances</w:t>
      </w:r>
      <w:r w:rsidRPr="00ED452C">
        <w:rPr>
          <w:sz w:val="26"/>
          <w:szCs w:val="26"/>
          <w:lang w:val="en-US"/>
        </w:rPr>
        <w:t>»</w:t>
      </w:r>
      <w:r w:rsidRPr="003B484B">
        <w:rPr>
          <w:sz w:val="26"/>
          <w:szCs w:val="26"/>
          <w:lang w:val="en-US"/>
        </w:rPr>
        <w:t xml:space="preserve"> (</w:t>
      </w:r>
      <w:r>
        <w:rPr>
          <w:i/>
          <w:sz w:val="26"/>
          <w:szCs w:val="26"/>
          <w:lang w:val="en-US"/>
        </w:rPr>
        <w:t>accounts r</w:t>
      </w:r>
      <w:r w:rsidRPr="00ED452C">
        <w:rPr>
          <w:i/>
          <w:sz w:val="26"/>
          <w:szCs w:val="26"/>
          <w:lang w:val="en-US"/>
        </w:rPr>
        <w:t>eceivable</w:t>
      </w:r>
      <w:r w:rsidRPr="003B484B">
        <w:rPr>
          <w:sz w:val="26"/>
          <w:szCs w:val="26"/>
          <w:lang w:val="en-US"/>
        </w:rPr>
        <w:t>) component.</w:t>
      </w:r>
    </w:p>
    <w:p w:rsidR="003B57F1" w:rsidRPr="005875FA" w:rsidRDefault="00643E81" w:rsidP="00147844">
      <w:pPr>
        <w:spacing w:before="60" w:line="276" w:lineRule="auto"/>
        <w:ind w:firstLine="709"/>
        <w:jc w:val="both"/>
        <w:rPr>
          <w:rFonts w:cs="Calibri"/>
          <w:sz w:val="26"/>
          <w:szCs w:val="26"/>
          <w:u w:val="single"/>
          <w:lang w:val="en-US"/>
        </w:rPr>
      </w:pPr>
      <w:r w:rsidRPr="005875FA">
        <w:rPr>
          <w:rFonts w:cs="Calibri"/>
          <w:sz w:val="26"/>
          <w:szCs w:val="26"/>
          <w:u w:val="single"/>
          <w:lang w:val="en-US"/>
        </w:rPr>
        <w:t>Liabilities</w:t>
      </w:r>
    </w:p>
    <w:p w:rsidR="005906C1" w:rsidRDefault="005906C1" w:rsidP="00147844">
      <w:pPr>
        <w:spacing w:before="120" w:line="276" w:lineRule="auto"/>
        <w:ind w:firstLine="709"/>
        <w:jc w:val="both"/>
        <w:rPr>
          <w:rFonts w:cs="Calibri"/>
          <w:sz w:val="26"/>
          <w:szCs w:val="26"/>
          <w:lang w:val="en-US"/>
        </w:rPr>
      </w:pPr>
      <w:r w:rsidRPr="00F772D9">
        <w:rPr>
          <w:rFonts w:cs="Calibri"/>
          <w:sz w:val="26"/>
          <w:szCs w:val="26"/>
          <w:lang w:val="en-US"/>
        </w:rPr>
        <w:t xml:space="preserve">Foreign liabilities of other sector </w:t>
      </w:r>
      <w:r w:rsidR="007B37A2">
        <w:rPr>
          <w:rFonts w:cs="Calibri"/>
          <w:sz w:val="26"/>
          <w:szCs w:val="26"/>
          <w:lang w:val="en-US"/>
        </w:rPr>
        <w:t>in January-</w:t>
      </w:r>
      <w:r w:rsidR="002E0082">
        <w:rPr>
          <w:rFonts w:cs="Calibri"/>
          <w:sz w:val="26"/>
          <w:szCs w:val="26"/>
          <w:lang w:val="en-US"/>
        </w:rPr>
        <w:t>December</w:t>
      </w:r>
      <w:r w:rsidRPr="00F772D9">
        <w:rPr>
          <w:rFonts w:cs="Calibri"/>
          <w:sz w:val="26"/>
          <w:szCs w:val="26"/>
          <w:lang w:val="en-US"/>
        </w:rPr>
        <w:t xml:space="preserve"> 20</w:t>
      </w:r>
      <w:r>
        <w:rPr>
          <w:rFonts w:cs="Calibri"/>
          <w:sz w:val="26"/>
          <w:szCs w:val="26"/>
          <w:lang w:val="uz-Cyrl-UZ"/>
        </w:rPr>
        <w:t>20</w:t>
      </w:r>
      <w:r w:rsidRPr="00F772D9">
        <w:rPr>
          <w:rFonts w:cs="Calibri"/>
          <w:sz w:val="26"/>
          <w:szCs w:val="26"/>
          <w:lang w:val="en-US"/>
        </w:rPr>
        <w:t xml:space="preserve"> </w:t>
      </w:r>
      <w:r w:rsidR="00AC7737">
        <w:rPr>
          <w:rFonts w:cs="Calibri"/>
          <w:sz w:val="26"/>
          <w:szCs w:val="26"/>
          <w:lang w:val="en-US"/>
        </w:rPr>
        <w:t>increased</w:t>
      </w:r>
      <w:r w:rsidRPr="00F772D9">
        <w:rPr>
          <w:rFonts w:cs="Calibri"/>
          <w:sz w:val="26"/>
          <w:szCs w:val="26"/>
          <w:lang w:val="en-US"/>
        </w:rPr>
        <w:t xml:space="preserve"> by USD </w:t>
      </w:r>
      <w:r w:rsidR="002E0082">
        <w:rPr>
          <w:rFonts w:cs="Calibri"/>
          <w:sz w:val="26"/>
          <w:szCs w:val="26"/>
          <w:lang w:val="en-US"/>
        </w:rPr>
        <w:t>2.4</w:t>
      </w:r>
      <w:r w:rsidRPr="00F772D9">
        <w:rPr>
          <w:rFonts w:cs="Calibri"/>
          <w:sz w:val="26"/>
          <w:szCs w:val="26"/>
          <w:lang w:val="en-US"/>
        </w:rPr>
        <w:t xml:space="preserve"> </w:t>
      </w:r>
      <w:r w:rsidR="002E0082">
        <w:rPr>
          <w:rFonts w:cs="Calibri"/>
          <w:sz w:val="26"/>
          <w:szCs w:val="26"/>
          <w:lang w:val="en-US"/>
        </w:rPr>
        <w:t>b</w:t>
      </w:r>
      <w:r w:rsidRPr="00F772D9">
        <w:rPr>
          <w:rFonts w:cs="Calibri"/>
          <w:sz w:val="26"/>
          <w:szCs w:val="26"/>
          <w:lang w:val="en-US"/>
        </w:rPr>
        <w:t xml:space="preserve">illion. The </w:t>
      </w:r>
      <w:r w:rsidR="00AC7737">
        <w:rPr>
          <w:rFonts w:cs="Calibri"/>
          <w:sz w:val="26"/>
          <w:szCs w:val="26"/>
          <w:lang w:val="en-US"/>
        </w:rPr>
        <w:t>growth</w:t>
      </w:r>
      <w:r>
        <w:rPr>
          <w:rFonts w:cs="Calibri"/>
          <w:sz w:val="26"/>
          <w:szCs w:val="26"/>
          <w:lang w:val="en-US"/>
        </w:rPr>
        <w:t xml:space="preserve"> of liabilities</w:t>
      </w:r>
      <w:r w:rsidRPr="00F772D9">
        <w:rPr>
          <w:rFonts w:cs="Calibri"/>
          <w:sz w:val="26"/>
          <w:szCs w:val="26"/>
          <w:lang w:val="en-US"/>
        </w:rPr>
        <w:t xml:space="preserve"> was observed mainly due to</w:t>
      </w:r>
      <w:r w:rsidR="002E0082">
        <w:rPr>
          <w:rFonts w:cs="Calibri"/>
          <w:sz w:val="26"/>
          <w:szCs w:val="26"/>
          <w:lang w:val="en-US"/>
        </w:rPr>
        <w:t xml:space="preserve"> </w:t>
      </w:r>
      <w:r w:rsidR="002E0082" w:rsidRPr="00F772D9">
        <w:rPr>
          <w:rFonts w:cs="Calibri"/>
          <w:sz w:val="26"/>
          <w:szCs w:val="26"/>
          <w:lang w:val="en-US"/>
        </w:rPr>
        <w:t>c</w:t>
      </w:r>
      <w:r w:rsidR="002E0082">
        <w:rPr>
          <w:rFonts w:cs="Calibri"/>
          <w:sz w:val="26"/>
          <w:szCs w:val="26"/>
          <w:lang w:val="en-US"/>
        </w:rPr>
        <w:t>omponents</w:t>
      </w:r>
      <w:r w:rsidRPr="00F772D9">
        <w:rPr>
          <w:rFonts w:cs="Calibri"/>
          <w:sz w:val="26"/>
          <w:szCs w:val="26"/>
          <w:lang w:val="en-US"/>
        </w:rPr>
        <w:t xml:space="preserve"> </w:t>
      </w:r>
      <w:r w:rsidR="002E0082" w:rsidRPr="0045359F">
        <w:rPr>
          <w:rFonts w:cs="Calibri"/>
          <w:sz w:val="26"/>
          <w:szCs w:val="26"/>
          <w:lang w:val="en-US"/>
        </w:rPr>
        <w:t>«</w:t>
      </w:r>
      <w:r w:rsidR="002E0082">
        <w:rPr>
          <w:rFonts w:cs="Calibri"/>
          <w:sz w:val="26"/>
          <w:szCs w:val="26"/>
          <w:lang w:val="en-US"/>
        </w:rPr>
        <w:t>Loans and borrowings</w:t>
      </w:r>
      <w:r w:rsidR="002E0082" w:rsidRPr="0045359F">
        <w:rPr>
          <w:rFonts w:cs="Calibri"/>
          <w:sz w:val="26"/>
          <w:szCs w:val="26"/>
          <w:lang w:val="en-US"/>
        </w:rPr>
        <w:t>»</w:t>
      </w:r>
      <w:r w:rsidR="002E0082">
        <w:rPr>
          <w:rFonts w:cs="Calibri"/>
          <w:sz w:val="26"/>
          <w:szCs w:val="26"/>
          <w:lang w:val="en-US"/>
        </w:rPr>
        <w:t xml:space="preserve">, </w:t>
      </w:r>
      <w:r w:rsidR="002E0082" w:rsidRPr="0045359F">
        <w:rPr>
          <w:rFonts w:cs="Calibri"/>
          <w:sz w:val="26"/>
          <w:szCs w:val="26"/>
          <w:lang w:val="en-US"/>
        </w:rPr>
        <w:t>«</w:t>
      </w:r>
      <w:r w:rsidR="002E0082">
        <w:rPr>
          <w:rFonts w:cs="Calibri"/>
          <w:sz w:val="26"/>
          <w:szCs w:val="26"/>
          <w:lang w:val="en-US"/>
        </w:rPr>
        <w:t>Direct investments</w:t>
      </w:r>
      <w:r w:rsidR="002E0082" w:rsidRPr="0045359F">
        <w:rPr>
          <w:rFonts w:cs="Calibri"/>
          <w:sz w:val="26"/>
          <w:szCs w:val="26"/>
          <w:lang w:val="en-US"/>
        </w:rPr>
        <w:t>»</w:t>
      </w:r>
      <w:r w:rsidR="002E0082">
        <w:rPr>
          <w:rFonts w:cs="Calibri"/>
          <w:sz w:val="26"/>
          <w:szCs w:val="26"/>
          <w:lang w:val="en-US"/>
        </w:rPr>
        <w:t xml:space="preserve"> and</w:t>
      </w:r>
      <w:r w:rsidRPr="00F772D9">
        <w:rPr>
          <w:rFonts w:cs="Calibri"/>
          <w:sz w:val="26"/>
          <w:szCs w:val="26"/>
          <w:lang w:val="en-US"/>
        </w:rPr>
        <w:t xml:space="preserve"> </w:t>
      </w:r>
      <w:r w:rsidRPr="00AB4B23">
        <w:rPr>
          <w:rFonts w:cs="Calibri"/>
          <w:sz w:val="26"/>
          <w:szCs w:val="26"/>
          <w:lang w:val="en-US"/>
        </w:rPr>
        <w:t>«</w:t>
      </w:r>
      <w:r w:rsidR="00AC7737">
        <w:rPr>
          <w:rFonts w:cs="Calibri"/>
          <w:sz w:val="26"/>
          <w:szCs w:val="26"/>
          <w:lang w:val="en-US"/>
        </w:rPr>
        <w:t>Trade credit</w:t>
      </w:r>
      <w:r>
        <w:rPr>
          <w:rFonts w:cs="Calibri"/>
          <w:sz w:val="26"/>
          <w:szCs w:val="26"/>
          <w:lang w:val="en-US"/>
        </w:rPr>
        <w:t xml:space="preserve"> </w:t>
      </w:r>
      <w:r w:rsidRPr="00F772D9">
        <w:rPr>
          <w:rFonts w:cs="Calibri"/>
          <w:sz w:val="26"/>
          <w:szCs w:val="26"/>
          <w:lang w:val="en-US"/>
        </w:rPr>
        <w:t xml:space="preserve">and </w:t>
      </w:r>
      <w:r w:rsidR="00AC7737">
        <w:rPr>
          <w:rFonts w:cs="Calibri"/>
          <w:sz w:val="26"/>
          <w:szCs w:val="26"/>
          <w:lang w:val="en-US"/>
        </w:rPr>
        <w:t>advances</w:t>
      </w:r>
      <w:r w:rsidRPr="00AB4B23">
        <w:rPr>
          <w:rFonts w:cs="Calibri"/>
          <w:sz w:val="26"/>
          <w:szCs w:val="26"/>
          <w:lang w:val="en-US"/>
        </w:rPr>
        <w:t>»</w:t>
      </w:r>
      <w:r>
        <w:rPr>
          <w:rFonts w:cs="Calibri"/>
          <w:sz w:val="26"/>
          <w:szCs w:val="26"/>
          <w:lang w:val="en-US"/>
        </w:rPr>
        <w:t xml:space="preserve"> </w:t>
      </w:r>
      <w:r w:rsidRPr="00F772D9">
        <w:rPr>
          <w:rFonts w:cs="Calibri"/>
          <w:sz w:val="26"/>
          <w:szCs w:val="26"/>
          <w:lang w:val="en-US"/>
        </w:rPr>
        <w:t>c</w:t>
      </w:r>
      <w:r>
        <w:rPr>
          <w:rFonts w:cs="Calibri"/>
          <w:sz w:val="26"/>
          <w:szCs w:val="26"/>
          <w:lang w:val="en-US"/>
        </w:rPr>
        <w:t xml:space="preserve">omponent, </w:t>
      </w:r>
      <w:r w:rsidR="002E0082">
        <w:rPr>
          <w:rFonts w:cs="Calibri"/>
          <w:sz w:val="26"/>
          <w:szCs w:val="26"/>
          <w:lang w:val="en-US"/>
        </w:rPr>
        <w:t>in the amount</w:t>
      </w:r>
      <w:r w:rsidR="00A87F4D">
        <w:rPr>
          <w:rFonts w:cs="Calibri"/>
          <w:sz w:val="26"/>
          <w:szCs w:val="26"/>
          <w:lang w:val="en-US"/>
        </w:rPr>
        <w:t xml:space="preserve"> </w:t>
      </w:r>
      <w:r w:rsidR="00AD24C1">
        <w:rPr>
          <w:rFonts w:cs="Calibri"/>
          <w:sz w:val="26"/>
          <w:szCs w:val="26"/>
          <w:lang w:val="en-US"/>
        </w:rPr>
        <w:br/>
      </w:r>
      <w:r w:rsidR="00A87F4D">
        <w:rPr>
          <w:rFonts w:cs="Calibri"/>
          <w:sz w:val="26"/>
          <w:szCs w:val="26"/>
          <w:lang w:val="en-US"/>
        </w:rPr>
        <w:t xml:space="preserve">USD </w:t>
      </w:r>
      <w:r w:rsidR="002E0082">
        <w:rPr>
          <w:rFonts w:cs="Calibri"/>
          <w:sz w:val="26"/>
          <w:szCs w:val="26"/>
          <w:lang w:val="en-US"/>
        </w:rPr>
        <w:t>1.3 billion, USD 603 and 5</w:t>
      </w:r>
      <w:r w:rsidR="005E669D">
        <w:rPr>
          <w:rFonts w:cs="Calibri"/>
          <w:sz w:val="26"/>
          <w:szCs w:val="26"/>
          <w:lang w:val="en-US"/>
        </w:rPr>
        <w:t>69</w:t>
      </w:r>
      <w:r w:rsidR="002E0082">
        <w:rPr>
          <w:rFonts w:cs="Calibri"/>
          <w:sz w:val="26"/>
          <w:szCs w:val="26"/>
          <w:lang w:val="en-US"/>
        </w:rPr>
        <w:t xml:space="preserve"> million respectively, while the components </w:t>
      </w:r>
      <w:r w:rsidR="002E0082" w:rsidRPr="0045359F">
        <w:rPr>
          <w:rFonts w:cs="Calibri"/>
          <w:sz w:val="26"/>
          <w:szCs w:val="26"/>
          <w:lang w:val="en-US"/>
        </w:rPr>
        <w:t>«</w:t>
      </w:r>
      <w:r w:rsidR="002E0082">
        <w:rPr>
          <w:rFonts w:cs="Calibri"/>
          <w:sz w:val="26"/>
          <w:szCs w:val="26"/>
          <w:lang w:val="en-US"/>
        </w:rPr>
        <w:t>Other accounts payable</w:t>
      </w:r>
      <w:r w:rsidR="002E0082" w:rsidRPr="0045359F">
        <w:rPr>
          <w:rFonts w:cs="Calibri"/>
          <w:sz w:val="26"/>
          <w:szCs w:val="26"/>
          <w:lang w:val="en-US"/>
        </w:rPr>
        <w:t>»</w:t>
      </w:r>
      <w:r w:rsidR="002E0082">
        <w:rPr>
          <w:rFonts w:cs="Calibri"/>
          <w:sz w:val="26"/>
          <w:szCs w:val="26"/>
          <w:lang w:val="en-US"/>
        </w:rPr>
        <w:t xml:space="preserve">, a decrease balance of USD 112 </w:t>
      </w:r>
      <w:r w:rsidR="00A87F4D">
        <w:rPr>
          <w:rFonts w:cs="Calibri"/>
          <w:sz w:val="26"/>
          <w:szCs w:val="26"/>
          <w:lang w:val="en-US"/>
        </w:rPr>
        <w:t>million</w:t>
      </w:r>
      <w:r>
        <w:rPr>
          <w:rFonts w:cs="Calibri"/>
          <w:sz w:val="26"/>
          <w:szCs w:val="26"/>
          <w:lang w:val="en-US"/>
        </w:rPr>
        <w:t>.</w:t>
      </w:r>
    </w:p>
    <w:p w:rsidR="00D67C16" w:rsidRDefault="005906C1" w:rsidP="00147844">
      <w:pPr>
        <w:spacing w:before="120" w:line="276" w:lineRule="auto"/>
        <w:ind w:firstLine="709"/>
        <w:jc w:val="both"/>
        <w:rPr>
          <w:rFonts w:cs="Calibri"/>
          <w:sz w:val="26"/>
          <w:szCs w:val="26"/>
          <w:lang w:val="en-US"/>
        </w:rPr>
      </w:pPr>
      <w:r>
        <w:rPr>
          <w:rFonts w:cs="Calibri"/>
          <w:sz w:val="26"/>
          <w:szCs w:val="26"/>
          <w:lang w:val="en-US"/>
        </w:rPr>
        <w:t xml:space="preserve">In the </w:t>
      </w:r>
      <w:r w:rsidRPr="0045359F">
        <w:rPr>
          <w:rFonts w:cs="Calibri"/>
          <w:sz w:val="26"/>
          <w:szCs w:val="26"/>
          <w:lang w:val="en-US"/>
        </w:rPr>
        <w:t>«</w:t>
      </w:r>
      <w:r>
        <w:rPr>
          <w:rFonts w:cs="Calibri"/>
          <w:sz w:val="26"/>
          <w:szCs w:val="26"/>
          <w:lang w:val="en-US"/>
        </w:rPr>
        <w:t>Direct Investment</w:t>
      </w:r>
      <w:r w:rsidRPr="0045359F">
        <w:rPr>
          <w:rFonts w:cs="Calibri"/>
          <w:sz w:val="26"/>
          <w:szCs w:val="26"/>
          <w:lang w:val="en-US"/>
        </w:rPr>
        <w:t>»</w:t>
      </w:r>
      <w:r w:rsidRPr="00F772D9">
        <w:rPr>
          <w:rFonts w:cs="Calibri"/>
          <w:sz w:val="26"/>
          <w:szCs w:val="26"/>
          <w:lang w:val="en-US"/>
        </w:rPr>
        <w:t xml:space="preserve"> component, the amount of receipt from foreign investors under the PSA </w:t>
      </w:r>
      <w:r>
        <w:rPr>
          <w:rFonts w:cs="Calibri"/>
          <w:sz w:val="26"/>
          <w:szCs w:val="26"/>
          <w:lang w:val="en-US"/>
        </w:rPr>
        <w:t>was</w:t>
      </w:r>
      <w:r w:rsidRPr="00F772D9">
        <w:rPr>
          <w:rFonts w:cs="Calibri"/>
          <w:sz w:val="26"/>
          <w:szCs w:val="26"/>
          <w:lang w:val="en-US"/>
        </w:rPr>
        <w:t xml:space="preserve"> USD </w:t>
      </w:r>
      <w:r w:rsidR="002E0082">
        <w:rPr>
          <w:rFonts w:cs="Calibri"/>
          <w:sz w:val="26"/>
          <w:szCs w:val="26"/>
          <w:lang w:val="en-US"/>
        </w:rPr>
        <w:t>377</w:t>
      </w:r>
      <w:r>
        <w:rPr>
          <w:rFonts w:cs="Calibri"/>
          <w:sz w:val="26"/>
          <w:szCs w:val="26"/>
          <w:lang w:val="en-US"/>
        </w:rPr>
        <w:t xml:space="preserve"> m</w:t>
      </w:r>
      <w:r w:rsidRPr="00F772D9">
        <w:rPr>
          <w:rFonts w:cs="Calibri"/>
          <w:sz w:val="26"/>
          <w:szCs w:val="26"/>
          <w:lang w:val="en-US"/>
        </w:rPr>
        <w:t>illion</w:t>
      </w:r>
      <w:r w:rsidRPr="00F772D9">
        <w:rPr>
          <w:rStyle w:val="a9"/>
          <w:rFonts w:cs="Calibri"/>
          <w:sz w:val="26"/>
          <w:szCs w:val="26"/>
          <w:lang w:val="en-US"/>
        </w:rPr>
        <w:footnoteReference w:id="9"/>
      </w:r>
      <w:r w:rsidRPr="00F772D9">
        <w:rPr>
          <w:rFonts w:cs="Calibri"/>
          <w:sz w:val="26"/>
          <w:szCs w:val="26"/>
          <w:lang w:val="en-US"/>
        </w:rPr>
        <w:t>, and the accrual of compensation payments to fore</w:t>
      </w:r>
      <w:r>
        <w:rPr>
          <w:rFonts w:cs="Calibri"/>
          <w:sz w:val="26"/>
          <w:szCs w:val="26"/>
          <w:lang w:val="en-US"/>
        </w:rPr>
        <w:t xml:space="preserve">ign investors amounted to USD </w:t>
      </w:r>
      <w:r w:rsidR="002E0082">
        <w:rPr>
          <w:rFonts w:cs="Calibri"/>
          <w:sz w:val="26"/>
          <w:szCs w:val="26"/>
          <w:lang w:val="en-US"/>
        </w:rPr>
        <w:t>653</w:t>
      </w:r>
      <w:r>
        <w:rPr>
          <w:rFonts w:cs="Calibri"/>
          <w:sz w:val="26"/>
          <w:szCs w:val="26"/>
          <w:lang w:val="en-US"/>
        </w:rPr>
        <w:t xml:space="preserve"> m</w:t>
      </w:r>
      <w:r w:rsidRPr="00F772D9">
        <w:rPr>
          <w:rFonts w:cs="Calibri"/>
          <w:sz w:val="26"/>
          <w:szCs w:val="26"/>
          <w:lang w:val="en-US"/>
        </w:rPr>
        <w:t>illion. Thus, in the PSA enterprises, the net decrease i</w:t>
      </w:r>
      <w:r>
        <w:rPr>
          <w:rFonts w:cs="Calibri"/>
          <w:sz w:val="26"/>
          <w:szCs w:val="26"/>
          <w:lang w:val="en-US"/>
        </w:rPr>
        <w:t>n investment wa</w:t>
      </w:r>
      <w:r w:rsidRPr="00F772D9">
        <w:rPr>
          <w:rFonts w:cs="Calibri"/>
          <w:sz w:val="26"/>
          <w:szCs w:val="26"/>
          <w:lang w:val="en-US"/>
        </w:rPr>
        <w:t xml:space="preserve">s equal to USD </w:t>
      </w:r>
      <w:r w:rsidR="002E0082">
        <w:rPr>
          <w:rFonts w:cs="Calibri"/>
          <w:sz w:val="26"/>
          <w:szCs w:val="26"/>
          <w:lang w:val="en-US"/>
        </w:rPr>
        <w:t>276</w:t>
      </w:r>
      <w:r w:rsidRPr="00F772D9">
        <w:rPr>
          <w:rFonts w:cs="Calibri"/>
          <w:sz w:val="26"/>
          <w:szCs w:val="26"/>
          <w:lang w:val="en-US"/>
        </w:rPr>
        <w:t xml:space="preserve"> million.</w:t>
      </w:r>
      <w:r>
        <w:rPr>
          <w:rFonts w:cs="Calibri"/>
          <w:sz w:val="26"/>
          <w:szCs w:val="26"/>
          <w:lang w:val="en-US"/>
        </w:rPr>
        <w:t xml:space="preserve"> </w:t>
      </w:r>
    </w:p>
    <w:p w:rsidR="005906C1" w:rsidRPr="003A4E1C" w:rsidRDefault="005906C1" w:rsidP="00147844">
      <w:pPr>
        <w:spacing w:before="120" w:line="276" w:lineRule="auto"/>
        <w:ind w:firstLine="709"/>
        <w:jc w:val="both"/>
        <w:rPr>
          <w:rFonts w:cs="Calibri"/>
          <w:sz w:val="26"/>
          <w:szCs w:val="26"/>
          <w:lang w:val="en-US"/>
        </w:rPr>
      </w:pPr>
      <w:r w:rsidRPr="003A4E1C">
        <w:rPr>
          <w:rFonts w:cs="Calibri"/>
          <w:sz w:val="26"/>
          <w:szCs w:val="26"/>
          <w:lang w:val="en-US"/>
        </w:rPr>
        <w:t xml:space="preserve">For non-financial enterprises, with the exception of PSA enterprises, </w:t>
      </w:r>
      <w:r w:rsidR="00D67C16" w:rsidRPr="003A4E1C">
        <w:rPr>
          <w:rFonts w:cs="Calibri"/>
          <w:sz w:val="26"/>
          <w:szCs w:val="26"/>
          <w:lang w:val="en-US"/>
        </w:rPr>
        <w:t xml:space="preserve">for </w:t>
      </w:r>
      <w:r w:rsidRPr="003A4E1C">
        <w:rPr>
          <w:rFonts w:cs="Calibri"/>
          <w:sz w:val="26"/>
          <w:szCs w:val="26"/>
          <w:lang w:val="en-US"/>
        </w:rPr>
        <w:t xml:space="preserve">2020, the net inflow of foreign direct investment in share capital was USD </w:t>
      </w:r>
      <w:r w:rsidR="003A4E1C" w:rsidRPr="003A4E1C">
        <w:rPr>
          <w:rFonts w:cs="Calibri"/>
          <w:sz w:val="26"/>
          <w:szCs w:val="26"/>
          <w:lang w:val="en-US"/>
        </w:rPr>
        <w:t>1.2</w:t>
      </w:r>
      <w:r w:rsidRPr="003A4E1C">
        <w:rPr>
          <w:rFonts w:cs="Calibri"/>
          <w:sz w:val="26"/>
          <w:szCs w:val="26"/>
          <w:lang w:val="en-US"/>
        </w:rPr>
        <w:t xml:space="preserve"> </w:t>
      </w:r>
      <w:r w:rsidR="003A4E1C" w:rsidRPr="003A4E1C">
        <w:rPr>
          <w:rFonts w:cs="Calibri"/>
          <w:sz w:val="26"/>
          <w:szCs w:val="26"/>
          <w:lang w:val="en-US"/>
        </w:rPr>
        <w:t>b</w:t>
      </w:r>
      <w:r w:rsidRPr="003A4E1C">
        <w:rPr>
          <w:rFonts w:cs="Calibri"/>
          <w:sz w:val="26"/>
          <w:szCs w:val="26"/>
          <w:lang w:val="en-US"/>
        </w:rPr>
        <w:t xml:space="preserve">illion, reinvestment of income was USD </w:t>
      </w:r>
      <w:r w:rsidR="003A4E1C" w:rsidRPr="003A4E1C">
        <w:rPr>
          <w:rFonts w:cs="Calibri"/>
          <w:sz w:val="26"/>
          <w:szCs w:val="26"/>
          <w:lang w:val="en-US"/>
        </w:rPr>
        <w:t>503</w:t>
      </w:r>
      <w:r w:rsidRPr="003A4E1C">
        <w:rPr>
          <w:rFonts w:cs="Calibri"/>
          <w:sz w:val="26"/>
          <w:szCs w:val="26"/>
          <w:lang w:val="en-US"/>
        </w:rPr>
        <w:t xml:space="preserve"> </w:t>
      </w:r>
      <w:r w:rsidR="003A4E1C" w:rsidRPr="003A4E1C">
        <w:rPr>
          <w:rFonts w:cs="Calibri"/>
          <w:sz w:val="26"/>
          <w:szCs w:val="26"/>
          <w:lang w:val="en-US"/>
        </w:rPr>
        <w:t>m</w:t>
      </w:r>
      <w:r w:rsidRPr="003A4E1C">
        <w:rPr>
          <w:rFonts w:cs="Calibri"/>
          <w:sz w:val="26"/>
          <w:szCs w:val="26"/>
          <w:lang w:val="en-US"/>
        </w:rPr>
        <w:t>illion</w:t>
      </w:r>
      <w:r w:rsidR="002E0082" w:rsidRPr="003A4E1C">
        <w:rPr>
          <w:rFonts w:cs="Calibri"/>
          <w:sz w:val="26"/>
          <w:szCs w:val="26"/>
          <w:lang w:val="en-US"/>
        </w:rPr>
        <w:t xml:space="preserve"> </w:t>
      </w:r>
      <w:r w:rsidRPr="003A4E1C">
        <w:rPr>
          <w:rFonts w:cs="Calibri"/>
          <w:sz w:val="26"/>
          <w:szCs w:val="26"/>
          <w:lang w:val="en-US"/>
        </w:rPr>
        <w:t xml:space="preserve">and investments in the form of debt instruments from parent companies were equal to USD </w:t>
      </w:r>
      <w:r w:rsidR="002E0082" w:rsidRPr="003A4E1C">
        <w:rPr>
          <w:rFonts w:cs="Calibri"/>
          <w:sz w:val="26"/>
          <w:szCs w:val="26"/>
          <w:lang w:val="en-US"/>
        </w:rPr>
        <w:t>153</w:t>
      </w:r>
      <w:r w:rsidRPr="003A4E1C">
        <w:rPr>
          <w:rFonts w:cs="Calibri"/>
          <w:sz w:val="26"/>
          <w:szCs w:val="26"/>
          <w:lang w:val="en-US"/>
        </w:rPr>
        <w:t xml:space="preserve"> million. Thus, the net growth in investmen</w:t>
      </w:r>
      <w:r w:rsidR="007E264B">
        <w:rPr>
          <w:rFonts w:cs="Calibri"/>
          <w:sz w:val="26"/>
          <w:szCs w:val="26"/>
          <w:lang w:val="en-US"/>
        </w:rPr>
        <w:t xml:space="preserve">t in non-financial enterprises </w:t>
      </w:r>
      <w:r w:rsidRPr="003A4E1C">
        <w:rPr>
          <w:rFonts w:cs="Calibri"/>
          <w:sz w:val="26"/>
          <w:szCs w:val="26"/>
          <w:lang w:val="en-US"/>
        </w:rPr>
        <w:t xml:space="preserve">was equal to USD </w:t>
      </w:r>
      <w:r w:rsidR="00D67C16" w:rsidRPr="003A4E1C">
        <w:rPr>
          <w:rFonts w:cs="Calibri"/>
          <w:sz w:val="26"/>
          <w:szCs w:val="26"/>
          <w:lang w:val="en-US"/>
        </w:rPr>
        <w:t>1.</w:t>
      </w:r>
      <w:r w:rsidR="002E0082" w:rsidRPr="003A4E1C">
        <w:rPr>
          <w:rFonts w:cs="Calibri"/>
          <w:sz w:val="26"/>
          <w:szCs w:val="26"/>
          <w:lang w:val="en-US"/>
        </w:rPr>
        <w:t>9</w:t>
      </w:r>
      <w:r w:rsidRPr="003A4E1C">
        <w:rPr>
          <w:rFonts w:cs="Calibri"/>
          <w:sz w:val="26"/>
          <w:szCs w:val="26"/>
          <w:lang w:val="en-US"/>
        </w:rPr>
        <w:t xml:space="preserve"> </w:t>
      </w:r>
      <w:r w:rsidR="00D67C16" w:rsidRPr="003A4E1C">
        <w:rPr>
          <w:rFonts w:cs="Calibri"/>
          <w:sz w:val="26"/>
          <w:szCs w:val="26"/>
          <w:lang w:val="en-US"/>
        </w:rPr>
        <w:t>b</w:t>
      </w:r>
      <w:r w:rsidRPr="003A4E1C">
        <w:rPr>
          <w:rFonts w:cs="Calibri"/>
          <w:sz w:val="26"/>
          <w:szCs w:val="26"/>
          <w:lang w:val="en-US"/>
        </w:rPr>
        <w:t>illion.</w:t>
      </w:r>
    </w:p>
    <w:p w:rsidR="00A94B6B" w:rsidRDefault="005906C1" w:rsidP="00147844">
      <w:pPr>
        <w:spacing w:before="120" w:line="276" w:lineRule="auto"/>
        <w:ind w:firstLine="709"/>
        <w:jc w:val="both"/>
        <w:rPr>
          <w:rFonts w:cs="Calibri"/>
          <w:spacing w:val="-2"/>
          <w:sz w:val="26"/>
          <w:szCs w:val="26"/>
          <w:lang w:val="en-US"/>
        </w:rPr>
      </w:pPr>
      <w:r w:rsidRPr="00147844">
        <w:rPr>
          <w:rFonts w:cs="Calibri"/>
          <w:spacing w:val="-2"/>
          <w:sz w:val="26"/>
          <w:szCs w:val="26"/>
          <w:lang w:val="en-US"/>
        </w:rPr>
        <w:t xml:space="preserve">For non-banking financial institutions, net growth in investments in share capital </w:t>
      </w:r>
      <w:r w:rsidRPr="00147844">
        <w:rPr>
          <w:rFonts w:cs="Calibri"/>
          <w:i/>
          <w:spacing w:val="-2"/>
          <w:sz w:val="26"/>
          <w:szCs w:val="26"/>
          <w:lang w:val="en-US"/>
        </w:rPr>
        <w:t>(insurance and leasing companies)</w:t>
      </w:r>
      <w:r w:rsidRPr="00147844">
        <w:rPr>
          <w:rFonts w:cs="Calibri"/>
          <w:spacing w:val="-2"/>
          <w:sz w:val="26"/>
          <w:szCs w:val="26"/>
          <w:lang w:val="en-US"/>
        </w:rPr>
        <w:t xml:space="preserve"> amounted to USD 2,</w:t>
      </w:r>
      <w:r w:rsidR="000366DF">
        <w:rPr>
          <w:rFonts w:cs="Calibri"/>
          <w:spacing w:val="-2"/>
          <w:sz w:val="26"/>
          <w:szCs w:val="26"/>
          <w:lang w:val="en-US"/>
        </w:rPr>
        <w:t>8</w:t>
      </w:r>
      <w:r w:rsidRPr="00147844">
        <w:rPr>
          <w:rFonts w:cs="Calibri"/>
          <w:spacing w:val="-2"/>
          <w:sz w:val="26"/>
          <w:szCs w:val="26"/>
          <w:lang w:val="en-US"/>
        </w:rPr>
        <w:t xml:space="preserve"> million. Reinvested earnings increased by USD </w:t>
      </w:r>
      <w:r w:rsidR="000366DF">
        <w:rPr>
          <w:rFonts w:cs="Calibri"/>
          <w:spacing w:val="-2"/>
          <w:sz w:val="26"/>
          <w:szCs w:val="26"/>
          <w:lang w:val="en-US"/>
        </w:rPr>
        <w:t>972</w:t>
      </w:r>
      <w:r w:rsidRPr="00147844">
        <w:rPr>
          <w:rFonts w:cs="Calibri"/>
          <w:spacing w:val="-2"/>
          <w:sz w:val="26"/>
          <w:szCs w:val="26"/>
          <w:lang w:val="en-US"/>
        </w:rPr>
        <w:t xml:space="preserve"> thousand.</w:t>
      </w:r>
      <w:r w:rsidR="00F772D9" w:rsidRPr="00147844">
        <w:rPr>
          <w:rFonts w:cs="Calibri"/>
          <w:spacing w:val="-2"/>
          <w:sz w:val="26"/>
          <w:szCs w:val="26"/>
          <w:lang w:val="en-US"/>
        </w:rPr>
        <w:t xml:space="preserve"> </w:t>
      </w:r>
    </w:p>
    <w:p w:rsidR="007E264B" w:rsidRDefault="005906C1" w:rsidP="00147844">
      <w:pPr>
        <w:spacing w:before="120" w:line="276" w:lineRule="auto"/>
        <w:ind w:firstLine="709"/>
        <w:jc w:val="both"/>
        <w:rPr>
          <w:rFonts w:cs="Calibri"/>
          <w:sz w:val="26"/>
          <w:szCs w:val="26"/>
          <w:lang w:val="en-US"/>
        </w:rPr>
      </w:pPr>
      <w:r>
        <w:rPr>
          <w:rFonts w:cs="Calibri"/>
          <w:sz w:val="26"/>
          <w:szCs w:val="26"/>
          <w:lang w:val="en-US"/>
        </w:rPr>
        <w:t>Furthermore</w:t>
      </w:r>
      <w:r w:rsidRPr="00F772D9">
        <w:rPr>
          <w:rFonts w:cs="Calibri"/>
          <w:sz w:val="26"/>
          <w:szCs w:val="26"/>
          <w:lang w:val="en-US"/>
        </w:rPr>
        <w:t xml:space="preserve">, there were other negative non-operational changes in external liabilities of direct investments of other sectors in the amount of USD </w:t>
      </w:r>
      <w:r w:rsidR="00D67C16">
        <w:rPr>
          <w:rFonts w:cs="Calibri"/>
          <w:sz w:val="26"/>
          <w:szCs w:val="26"/>
          <w:lang w:val="en-US"/>
        </w:rPr>
        <w:t>1</w:t>
      </w:r>
      <w:r>
        <w:rPr>
          <w:rFonts w:cs="Calibri"/>
          <w:sz w:val="26"/>
          <w:szCs w:val="26"/>
          <w:lang w:val="en-US"/>
        </w:rPr>
        <w:t xml:space="preserve"> b</w:t>
      </w:r>
      <w:r w:rsidRPr="00F772D9">
        <w:rPr>
          <w:rFonts w:cs="Calibri"/>
          <w:sz w:val="26"/>
          <w:szCs w:val="26"/>
          <w:lang w:val="en-US"/>
        </w:rPr>
        <w:t xml:space="preserve">illion, which are associated with the detected statistical </w:t>
      </w:r>
      <w:r w:rsidR="0086320E">
        <w:rPr>
          <w:rFonts w:cs="Calibri"/>
          <w:sz w:val="26"/>
          <w:szCs w:val="26"/>
          <w:lang w:val="en-US"/>
        </w:rPr>
        <w:t>discrepancies</w:t>
      </w:r>
      <w:r w:rsidRPr="00F772D9">
        <w:rPr>
          <w:rFonts w:cs="Calibri"/>
          <w:sz w:val="26"/>
          <w:szCs w:val="26"/>
          <w:lang w:val="en-US"/>
        </w:rPr>
        <w:t xml:space="preserve"> in the data for previous periods</w:t>
      </w:r>
      <w:r w:rsidRPr="00F772D9">
        <w:rPr>
          <w:rStyle w:val="a9"/>
          <w:rFonts w:cs="Calibri"/>
          <w:sz w:val="26"/>
          <w:szCs w:val="26"/>
          <w:lang w:val="en-US"/>
        </w:rPr>
        <w:footnoteReference w:id="10"/>
      </w:r>
      <w:r w:rsidRPr="00F772D9">
        <w:rPr>
          <w:rFonts w:cs="Calibri"/>
          <w:sz w:val="26"/>
          <w:szCs w:val="26"/>
          <w:lang w:val="en-US"/>
        </w:rPr>
        <w:t xml:space="preserve">. </w:t>
      </w:r>
    </w:p>
    <w:p w:rsidR="007E264B" w:rsidRDefault="007E264B">
      <w:pPr>
        <w:rPr>
          <w:rFonts w:cs="Calibri"/>
          <w:sz w:val="26"/>
          <w:szCs w:val="26"/>
          <w:lang w:val="en-US"/>
        </w:rPr>
      </w:pPr>
      <w:r>
        <w:rPr>
          <w:rFonts w:cs="Calibri"/>
          <w:sz w:val="26"/>
          <w:szCs w:val="26"/>
          <w:lang w:val="en-US"/>
        </w:rPr>
        <w:br w:type="page"/>
      </w:r>
    </w:p>
    <w:p w:rsidR="006733FA" w:rsidRPr="009E60B4" w:rsidRDefault="00AC0959" w:rsidP="00BA1DA3">
      <w:pPr>
        <w:pStyle w:val="1"/>
        <w:spacing w:after="360"/>
        <w:ind w:left="709"/>
        <w:rPr>
          <w:rFonts w:ascii="Calibri" w:hAnsi="Calibri" w:cs="Calibri"/>
          <w:szCs w:val="28"/>
        </w:rPr>
      </w:pPr>
      <w:bookmarkStart w:id="18" w:name="_Toc67050799"/>
      <w:r w:rsidRPr="009E60B4">
        <w:rPr>
          <w:rFonts w:ascii="Calibri" w:hAnsi="Calibri" w:cs="Calibri"/>
          <w:szCs w:val="28"/>
        </w:rPr>
        <w:lastRenderedPageBreak/>
        <w:t>III. </w:t>
      </w:r>
      <w:bookmarkStart w:id="19" w:name="_Toc4780093"/>
      <w:r w:rsidR="00D852FD" w:rsidRPr="009E60B4">
        <w:rPr>
          <w:rFonts w:ascii="Calibri" w:hAnsi="Calibri" w:cs="Calibri"/>
          <w:szCs w:val="28"/>
        </w:rPr>
        <w:t>EXTERNAL DEBT OF THE REPUBLIC OF UZBEKISTAN</w:t>
      </w:r>
      <w:bookmarkEnd w:id="18"/>
      <w:bookmarkEnd w:id="19"/>
    </w:p>
    <w:p w:rsidR="007D7C71" w:rsidRPr="00F45A80" w:rsidRDefault="008F42D9" w:rsidP="007D7C71">
      <w:pPr>
        <w:spacing w:before="120" w:line="288" w:lineRule="auto"/>
        <w:ind w:firstLine="708"/>
        <w:jc w:val="both"/>
        <w:rPr>
          <w:rFonts w:cs="Calibri"/>
          <w:sz w:val="26"/>
          <w:szCs w:val="26"/>
          <w:lang w:val="en-US"/>
        </w:rPr>
      </w:pPr>
      <w:r>
        <w:rPr>
          <w:rFonts w:cs="Calibri"/>
          <w:sz w:val="26"/>
          <w:szCs w:val="26"/>
          <w:lang w:val="en-US"/>
        </w:rPr>
        <w:t>Total</w:t>
      </w:r>
      <w:r w:rsidR="007D7C71" w:rsidRPr="00F45A80">
        <w:rPr>
          <w:rFonts w:cs="Calibri"/>
          <w:sz w:val="26"/>
          <w:szCs w:val="26"/>
          <w:lang w:val="en-US"/>
        </w:rPr>
        <w:t xml:space="preserve"> external debt reflects the liabilities of residents to nonresidents, which require the payment of principal debt and interests. </w:t>
      </w:r>
      <w:r>
        <w:rPr>
          <w:rFonts w:cs="Calibri"/>
          <w:sz w:val="26"/>
          <w:szCs w:val="26"/>
          <w:lang w:val="en-US"/>
        </w:rPr>
        <w:t>Total</w:t>
      </w:r>
      <w:r w:rsidR="007D7C71" w:rsidRPr="00F45A80">
        <w:rPr>
          <w:rFonts w:cs="Calibri"/>
          <w:sz w:val="26"/>
          <w:szCs w:val="26"/>
          <w:lang w:val="en-US"/>
        </w:rPr>
        <w:t xml:space="preserve"> external debt includes the debt of government and </w:t>
      </w:r>
      <w:r w:rsidR="000366DF">
        <w:rPr>
          <w:rFonts w:cs="Calibri"/>
          <w:sz w:val="26"/>
          <w:szCs w:val="26"/>
          <w:lang w:val="en-US"/>
        </w:rPr>
        <w:t>guaranteed by government (</w:t>
      </w:r>
      <w:r w:rsidR="000366DF" w:rsidRPr="000366DF">
        <w:rPr>
          <w:rFonts w:cs="Calibri"/>
          <w:i/>
          <w:sz w:val="26"/>
          <w:szCs w:val="26"/>
          <w:lang w:val="en-US"/>
        </w:rPr>
        <w:t>further – government external debt</w:t>
      </w:r>
      <w:r w:rsidR="000366DF">
        <w:rPr>
          <w:rFonts w:cs="Calibri"/>
          <w:sz w:val="26"/>
          <w:szCs w:val="26"/>
          <w:lang w:val="en-US"/>
        </w:rPr>
        <w:t xml:space="preserve">), and </w:t>
      </w:r>
      <w:r w:rsidR="007E264B">
        <w:rPr>
          <w:rFonts w:cs="Calibri"/>
          <w:sz w:val="26"/>
          <w:szCs w:val="26"/>
          <w:lang w:val="en-US"/>
        </w:rPr>
        <w:t>n</w:t>
      </w:r>
      <w:r w:rsidR="000366DF">
        <w:rPr>
          <w:rFonts w:cs="Calibri"/>
          <w:sz w:val="26"/>
          <w:szCs w:val="26"/>
          <w:lang w:val="en-US"/>
        </w:rPr>
        <w:t>on-guaranteed external debt (</w:t>
      </w:r>
      <w:r w:rsidR="000366DF" w:rsidRPr="000366DF">
        <w:rPr>
          <w:rFonts w:cs="Calibri"/>
          <w:i/>
          <w:sz w:val="26"/>
          <w:szCs w:val="26"/>
          <w:lang w:val="en-US"/>
        </w:rPr>
        <w:t>further- private sector</w:t>
      </w:r>
      <w:r w:rsidR="0086320E" w:rsidRPr="0086320E">
        <w:rPr>
          <w:rFonts w:cs="Calibri"/>
          <w:i/>
          <w:sz w:val="26"/>
          <w:szCs w:val="26"/>
          <w:lang w:val="en-US"/>
        </w:rPr>
        <w:t xml:space="preserve"> </w:t>
      </w:r>
      <w:r w:rsidR="0086320E" w:rsidRPr="000366DF">
        <w:rPr>
          <w:rFonts w:cs="Calibri"/>
          <w:i/>
          <w:sz w:val="26"/>
          <w:szCs w:val="26"/>
          <w:lang w:val="en-US"/>
        </w:rPr>
        <w:t>external debt</w:t>
      </w:r>
      <w:r w:rsidR="00940AE2">
        <w:rPr>
          <w:rFonts w:cs="Calibri"/>
          <w:i/>
          <w:sz w:val="26"/>
          <w:szCs w:val="26"/>
          <w:lang w:val="en-US"/>
        </w:rPr>
        <w:t>)</w:t>
      </w:r>
      <w:r w:rsidR="00940AE2">
        <w:rPr>
          <w:rFonts w:cs="Calibri"/>
          <w:i/>
          <w:sz w:val="26"/>
          <w:szCs w:val="26"/>
          <w:lang w:val="en-US"/>
        </w:rPr>
        <w:t>.</w:t>
      </w:r>
    </w:p>
    <w:p w:rsidR="00F61810" w:rsidRPr="00095CD1" w:rsidRDefault="0086320E" w:rsidP="007D7C71">
      <w:pPr>
        <w:spacing w:before="120" w:line="288" w:lineRule="auto"/>
        <w:ind w:firstLine="709"/>
        <w:jc w:val="both"/>
        <w:rPr>
          <w:rFonts w:cs="Calibri"/>
          <w:sz w:val="26"/>
          <w:szCs w:val="26"/>
          <w:lang w:val="en-US"/>
        </w:rPr>
      </w:pPr>
      <w:r>
        <w:rPr>
          <w:sz w:val="26"/>
          <w:szCs w:val="26"/>
          <w:lang w:val="en-US"/>
        </w:rPr>
        <w:t>Total external debt</w:t>
      </w:r>
      <w:r w:rsidR="007D7C71" w:rsidRPr="003B7F57">
        <w:rPr>
          <w:sz w:val="26"/>
          <w:szCs w:val="26"/>
          <w:lang w:val="en-US"/>
        </w:rPr>
        <w:t xml:space="preserve"> maintain</w:t>
      </w:r>
      <w:r>
        <w:rPr>
          <w:sz w:val="26"/>
          <w:szCs w:val="26"/>
          <w:lang w:val="en-US"/>
        </w:rPr>
        <w:t>s</w:t>
      </w:r>
      <w:r w:rsidR="007D7C71" w:rsidRPr="003B7F57">
        <w:rPr>
          <w:sz w:val="26"/>
          <w:szCs w:val="26"/>
          <w:lang w:val="en-US"/>
        </w:rPr>
        <w:t xml:space="preserve"> a grow</w:t>
      </w:r>
      <w:r>
        <w:rPr>
          <w:sz w:val="26"/>
          <w:szCs w:val="26"/>
          <w:lang w:val="en-US"/>
        </w:rPr>
        <w:t xml:space="preserve">ing </w:t>
      </w:r>
      <w:r w:rsidR="007D7C71" w:rsidRPr="003B7F57">
        <w:rPr>
          <w:sz w:val="26"/>
          <w:szCs w:val="26"/>
          <w:lang w:val="en-US"/>
        </w:rPr>
        <w:t>trend. This process is</w:t>
      </w:r>
      <w:r w:rsidRPr="0086320E">
        <w:rPr>
          <w:sz w:val="26"/>
          <w:szCs w:val="26"/>
          <w:lang w:val="en-US"/>
        </w:rPr>
        <w:t xml:space="preserve"> </w:t>
      </w:r>
      <w:r w:rsidRPr="003B7F57">
        <w:rPr>
          <w:sz w:val="26"/>
          <w:szCs w:val="26"/>
          <w:lang w:val="en-US"/>
        </w:rPr>
        <w:t>explained</w:t>
      </w:r>
      <w:r>
        <w:rPr>
          <w:sz w:val="26"/>
          <w:szCs w:val="26"/>
          <w:lang w:val="en-US"/>
        </w:rPr>
        <w:t>,</w:t>
      </w:r>
      <w:r>
        <w:rPr>
          <w:sz w:val="26"/>
          <w:szCs w:val="26"/>
          <w:lang w:val="en-US"/>
        </w:rPr>
        <w:t xml:space="preserve"> for government debt,</w:t>
      </w:r>
      <w:r w:rsidR="007D7C71" w:rsidRPr="003B7F57">
        <w:rPr>
          <w:sz w:val="26"/>
          <w:szCs w:val="26"/>
          <w:lang w:val="en-US"/>
        </w:rPr>
        <w:t xml:space="preserve"> by the attraction of new external borrowings to mitigate the socio-economic impact of the crisis caused by the spread of the COVID-19 virus and to finance government programs for the develo</w:t>
      </w:r>
      <w:r w:rsidR="007E264B">
        <w:rPr>
          <w:sz w:val="26"/>
          <w:szCs w:val="26"/>
          <w:lang w:val="en-US"/>
        </w:rPr>
        <w:t>pment</w:t>
      </w:r>
      <w:r w:rsidR="00940AE2">
        <w:rPr>
          <w:sz w:val="26"/>
          <w:szCs w:val="26"/>
          <w:lang w:val="en-US"/>
        </w:rPr>
        <w:t xml:space="preserve"> of industries and region, while</w:t>
      </w:r>
      <w:r w:rsidR="00940AE2">
        <w:rPr>
          <w:rFonts w:cs="Calibri"/>
          <w:sz w:val="26"/>
          <w:szCs w:val="26"/>
          <w:lang w:val="en-US"/>
        </w:rPr>
        <w:t xml:space="preserve"> </w:t>
      </w:r>
      <w:r w:rsidR="00940AE2" w:rsidRPr="00F45A80">
        <w:rPr>
          <w:rFonts w:cs="Calibri"/>
          <w:sz w:val="26"/>
          <w:szCs w:val="26"/>
          <w:lang w:val="en-US"/>
        </w:rPr>
        <w:t xml:space="preserve">private sector debt started to increase mostly </w:t>
      </w:r>
      <w:r w:rsidR="00940AE2">
        <w:rPr>
          <w:rFonts w:cs="Calibri"/>
          <w:sz w:val="26"/>
          <w:szCs w:val="26"/>
          <w:lang w:val="en-US"/>
        </w:rPr>
        <w:t>due</w:t>
      </w:r>
      <w:r w:rsidR="00940AE2" w:rsidRPr="00F45A80">
        <w:rPr>
          <w:rFonts w:cs="Calibri"/>
          <w:sz w:val="26"/>
          <w:szCs w:val="26"/>
          <w:lang w:val="en-US"/>
        </w:rPr>
        <w:t xml:space="preserve"> to the growth in borrowings of</w:t>
      </w:r>
      <w:r w:rsidR="00940AE2">
        <w:rPr>
          <w:rFonts w:cs="Calibri"/>
          <w:sz w:val="26"/>
          <w:szCs w:val="26"/>
          <w:lang w:val="en-US"/>
        </w:rPr>
        <w:t xml:space="preserve"> commercial banks.</w:t>
      </w:r>
      <w:r w:rsidR="00274AE7">
        <w:rPr>
          <w:rFonts w:cs="Calibri"/>
          <w:sz w:val="26"/>
          <w:szCs w:val="26"/>
          <w:lang w:val="en-US"/>
        </w:rPr>
        <w:t xml:space="preserve"> </w:t>
      </w:r>
      <w:r>
        <w:rPr>
          <w:rFonts w:cs="Calibri"/>
          <w:sz w:val="26"/>
          <w:szCs w:val="26"/>
          <w:lang w:val="en-US"/>
        </w:rPr>
        <w:t>Also</w:t>
      </w:r>
      <w:r w:rsidR="00274AE7">
        <w:rPr>
          <w:rFonts w:cs="Calibri"/>
          <w:sz w:val="26"/>
          <w:szCs w:val="26"/>
          <w:lang w:val="en-US"/>
        </w:rPr>
        <w:t xml:space="preserve"> sharp increase in </w:t>
      </w:r>
      <w:r w:rsidR="00274AE7" w:rsidRPr="00274AE7">
        <w:rPr>
          <w:rFonts w:cs="Calibri"/>
          <w:sz w:val="26"/>
          <w:szCs w:val="26"/>
          <w:lang w:val="en-US"/>
        </w:rPr>
        <w:t>government external debt</w:t>
      </w:r>
      <w:r w:rsidR="007D7C71" w:rsidRPr="0076549B">
        <w:rPr>
          <w:rFonts w:cs="Calibri"/>
          <w:sz w:val="26"/>
          <w:szCs w:val="26"/>
          <w:lang w:val="en-US"/>
        </w:rPr>
        <w:t xml:space="preserve"> </w:t>
      </w:r>
      <w:r>
        <w:rPr>
          <w:rFonts w:cs="Calibri"/>
          <w:sz w:val="26"/>
          <w:szCs w:val="26"/>
          <w:lang w:val="en-US"/>
        </w:rPr>
        <w:t>can be observed from</w:t>
      </w:r>
      <w:r w:rsidR="00274AE7">
        <w:rPr>
          <w:rFonts w:cs="Calibri"/>
          <w:sz w:val="26"/>
          <w:szCs w:val="26"/>
          <w:lang w:val="en-US"/>
        </w:rPr>
        <w:t xml:space="preserve"> 2019 </w:t>
      </w:r>
      <w:r w:rsidR="007D7C71" w:rsidRPr="0076549B">
        <w:rPr>
          <w:rFonts w:cs="Calibri"/>
          <w:color w:val="0070C0"/>
          <w:sz w:val="26"/>
          <w:szCs w:val="26"/>
          <w:lang w:val="en-US"/>
        </w:rPr>
        <w:t>(</w:t>
      </w:r>
      <w:r w:rsidR="007D7C71">
        <w:rPr>
          <w:rFonts w:cs="Calibri"/>
          <w:color w:val="0070C0"/>
          <w:sz w:val="26"/>
          <w:szCs w:val="26"/>
          <w:lang w:val="en-US"/>
        </w:rPr>
        <w:t>Figure</w:t>
      </w:r>
      <w:r w:rsidR="007D7C71" w:rsidRPr="0076549B">
        <w:rPr>
          <w:rFonts w:cs="Calibri"/>
          <w:color w:val="0070C0"/>
          <w:sz w:val="26"/>
          <w:szCs w:val="26"/>
          <w:lang w:val="en-US"/>
        </w:rPr>
        <w:t xml:space="preserve"> </w:t>
      </w:r>
      <w:r w:rsidR="000366DF">
        <w:rPr>
          <w:rFonts w:cs="Calibri"/>
          <w:color w:val="0070C0"/>
          <w:sz w:val="26"/>
          <w:szCs w:val="26"/>
          <w:lang w:val="en-US"/>
        </w:rPr>
        <w:t>2</w:t>
      </w:r>
      <w:r w:rsidR="00AD4257">
        <w:rPr>
          <w:rFonts w:cs="Calibri"/>
          <w:color w:val="0070C0"/>
          <w:sz w:val="26"/>
          <w:szCs w:val="26"/>
          <w:lang w:val="en-US"/>
        </w:rPr>
        <w:t>1</w:t>
      </w:r>
      <w:r w:rsidR="007D7C71" w:rsidRPr="0076549B">
        <w:rPr>
          <w:rFonts w:cs="Calibri"/>
          <w:color w:val="0070C0"/>
          <w:sz w:val="26"/>
          <w:szCs w:val="26"/>
          <w:lang w:val="en-US"/>
        </w:rPr>
        <w:t>)</w:t>
      </w:r>
      <w:r w:rsidR="007D7C71" w:rsidRPr="0076549B">
        <w:rPr>
          <w:rFonts w:cs="Calibri"/>
          <w:sz w:val="26"/>
          <w:szCs w:val="26"/>
          <w:lang w:val="en-US"/>
        </w:rPr>
        <w:t>.</w:t>
      </w:r>
    </w:p>
    <w:p w:rsidR="006B50A3" w:rsidRPr="00F45A80" w:rsidRDefault="00274AE7" w:rsidP="007D7C71">
      <w:pPr>
        <w:spacing w:before="240" w:after="240"/>
        <w:jc w:val="right"/>
        <w:rPr>
          <w:lang w:val="en-US"/>
        </w:rPr>
      </w:pPr>
      <w:r>
        <w:rPr>
          <w:lang w:val="en-US"/>
        </w:rPr>
        <w:t>F</w:t>
      </w:r>
      <w:r w:rsidR="00B23450">
        <w:rPr>
          <w:lang w:val="en-US"/>
        </w:rPr>
        <w:t>igure</w:t>
      </w:r>
      <w:r w:rsidR="000F636F" w:rsidRPr="00F45A80">
        <w:rPr>
          <w:lang w:val="en-US"/>
        </w:rPr>
        <w:t xml:space="preserve"> </w:t>
      </w:r>
      <w:r w:rsidR="000366DF">
        <w:rPr>
          <w:lang w:val="en-US"/>
        </w:rPr>
        <w:t>2</w:t>
      </w:r>
      <w:r w:rsidR="00AD4257">
        <w:rPr>
          <w:lang w:val="en-US"/>
        </w:rPr>
        <w:t>1</w:t>
      </w:r>
    </w:p>
    <w:p w:rsidR="008A5928" w:rsidRPr="00F45A80" w:rsidRDefault="008A5928" w:rsidP="007D7C71">
      <w:pPr>
        <w:spacing w:before="80" w:after="240"/>
        <w:jc w:val="center"/>
        <w:rPr>
          <w:rFonts w:cs="Calibri"/>
          <w:b/>
          <w:sz w:val="26"/>
          <w:szCs w:val="26"/>
          <w:lang w:val="en-US"/>
        </w:rPr>
      </w:pPr>
      <w:r w:rsidRPr="00CF4FF0">
        <w:rPr>
          <w:rFonts w:cs="Calibri"/>
          <w:b/>
          <w:sz w:val="28"/>
          <w:szCs w:val="26"/>
          <w:lang w:val="en-US"/>
        </w:rPr>
        <w:t>TIME SERIES OF TOTAL EXTERNAL DEBT OF THE REPUBLIC OF UZBEKISTAN</w:t>
      </w:r>
      <w:r w:rsidRPr="00102733">
        <w:rPr>
          <w:rStyle w:val="a9"/>
          <w:rFonts w:cs="Calibri"/>
          <w:sz w:val="26"/>
          <w:szCs w:val="26"/>
          <w:lang w:val="en-US"/>
        </w:rPr>
        <w:footnoteReference w:id="11"/>
      </w:r>
    </w:p>
    <w:p w:rsidR="00372E68" w:rsidRPr="00F45A80" w:rsidRDefault="000F636F" w:rsidP="00095CD1">
      <w:pPr>
        <w:spacing w:before="80"/>
        <w:jc w:val="right"/>
        <w:rPr>
          <w:i/>
          <w:lang w:val="en-US"/>
        </w:rPr>
      </w:pPr>
      <w:r w:rsidRPr="00095CD1">
        <w:rPr>
          <w:i/>
          <w:sz w:val="22"/>
          <w:lang w:val="en-US"/>
        </w:rPr>
        <w:t>(</w:t>
      </w:r>
      <w:r w:rsidR="008A5928" w:rsidRPr="00095CD1">
        <w:rPr>
          <w:i/>
          <w:sz w:val="22"/>
          <w:lang w:val="en-US"/>
        </w:rPr>
        <w:t>b</w:t>
      </w:r>
      <w:r w:rsidR="00A94B6B">
        <w:rPr>
          <w:i/>
          <w:sz w:val="22"/>
          <w:lang w:val="en-US"/>
        </w:rPr>
        <w:t>i</w:t>
      </w:r>
      <w:r w:rsidR="008A5928" w:rsidRPr="00095CD1">
        <w:rPr>
          <w:i/>
          <w:sz w:val="22"/>
          <w:lang w:val="en-US"/>
        </w:rPr>
        <w:t>l</w:t>
      </w:r>
      <w:r w:rsidR="00A94B6B">
        <w:rPr>
          <w:i/>
          <w:sz w:val="22"/>
          <w:lang w:val="en-US"/>
        </w:rPr>
        <w:t>lion</w:t>
      </w:r>
      <w:r w:rsidR="006733FA" w:rsidRPr="00095CD1">
        <w:rPr>
          <w:i/>
          <w:sz w:val="22"/>
          <w:lang w:val="en-US"/>
        </w:rPr>
        <w:t xml:space="preserve"> </w:t>
      </w:r>
      <w:r w:rsidR="008A5928" w:rsidRPr="00095CD1">
        <w:rPr>
          <w:i/>
          <w:sz w:val="22"/>
          <w:lang w:val="en-US"/>
        </w:rPr>
        <w:t>USD</w:t>
      </w:r>
      <w:r w:rsidR="006733FA" w:rsidRPr="00095CD1">
        <w:rPr>
          <w:i/>
          <w:sz w:val="22"/>
          <w:lang w:val="en-US"/>
        </w:rPr>
        <w:t>)</w:t>
      </w:r>
    </w:p>
    <w:p w:rsidR="00733304" w:rsidRPr="00F45A80" w:rsidRDefault="00A94B6B" w:rsidP="00733304">
      <w:pPr>
        <w:rPr>
          <w:rFonts w:cs="Arial"/>
          <w:lang w:val="en-US"/>
        </w:rPr>
      </w:pPr>
      <w:r>
        <w:rPr>
          <w:noProof/>
        </w:rPr>
        <w:drawing>
          <wp:inline distT="0" distB="0" distL="0" distR="0" wp14:anchorId="7C7BBA6F" wp14:editId="0BD81DED">
            <wp:extent cx="6330315" cy="3906981"/>
            <wp:effectExtent l="0" t="0" r="13335" b="17780"/>
            <wp:docPr id="15" name="Диаграмма 15">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6733FA" w:rsidRPr="00F45A80" w:rsidRDefault="007D7C71" w:rsidP="006920C5">
      <w:pPr>
        <w:spacing w:before="120" w:after="120" w:line="288" w:lineRule="auto"/>
        <w:ind w:firstLine="709"/>
        <w:jc w:val="both"/>
        <w:rPr>
          <w:i/>
          <w:lang w:val="en-US"/>
        </w:rPr>
      </w:pPr>
      <w:r w:rsidRPr="00F45A80">
        <w:rPr>
          <w:sz w:val="26"/>
          <w:szCs w:val="26"/>
          <w:lang w:val="en-US"/>
        </w:rPr>
        <w:lastRenderedPageBreak/>
        <w:t xml:space="preserve">The volume of </w:t>
      </w:r>
      <w:r w:rsidR="008F42D9">
        <w:rPr>
          <w:sz w:val="26"/>
          <w:szCs w:val="26"/>
          <w:lang w:val="en-US"/>
        </w:rPr>
        <w:t>total</w:t>
      </w:r>
      <w:r w:rsidRPr="00F45A80">
        <w:rPr>
          <w:sz w:val="26"/>
          <w:szCs w:val="26"/>
          <w:lang w:val="en-US"/>
        </w:rPr>
        <w:t xml:space="preserve"> external debt of the Republic of Uzbekistan </w:t>
      </w:r>
      <w:r w:rsidRPr="00DA1B9D">
        <w:rPr>
          <w:sz w:val="26"/>
          <w:szCs w:val="26"/>
          <w:lang w:val="en-US"/>
        </w:rPr>
        <w:t xml:space="preserve">as of </w:t>
      </w:r>
      <w:r w:rsidR="000366DF">
        <w:rPr>
          <w:sz w:val="26"/>
          <w:szCs w:val="26"/>
          <w:lang w:val="en-US"/>
        </w:rPr>
        <w:t>January</w:t>
      </w:r>
      <w:r w:rsidRPr="00DA1B9D">
        <w:rPr>
          <w:sz w:val="26"/>
          <w:szCs w:val="26"/>
          <w:lang w:val="en-US"/>
        </w:rPr>
        <w:t xml:space="preserve"> 1, 202</w:t>
      </w:r>
      <w:r w:rsidR="000366DF">
        <w:rPr>
          <w:sz w:val="26"/>
          <w:szCs w:val="26"/>
          <w:lang w:val="en-US"/>
        </w:rPr>
        <w:t>1</w:t>
      </w:r>
      <w:r w:rsidRPr="00F45A80">
        <w:rPr>
          <w:sz w:val="26"/>
          <w:szCs w:val="26"/>
          <w:lang w:val="en-US"/>
        </w:rPr>
        <w:t xml:space="preserve"> </w:t>
      </w:r>
      <w:r>
        <w:rPr>
          <w:sz w:val="26"/>
          <w:szCs w:val="26"/>
          <w:lang w:val="en-US"/>
        </w:rPr>
        <w:t>stood at</w:t>
      </w:r>
      <w:r w:rsidRPr="00F45A80">
        <w:rPr>
          <w:sz w:val="26"/>
          <w:szCs w:val="26"/>
          <w:lang w:val="en-US"/>
        </w:rPr>
        <w:t xml:space="preserve"> USD </w:t>
      </w:r>
      <w:r w:rsidR="000366DF">
        <w:rPr>
          <w:sz w:val="26"/>
          <w:szCs w:val="26"/>
          <w:lang w:val="en-US"/>
        </w:rPr>
        <w:t>33</w:t>
      </w:r>
      <w:r w:rsidRPr="00F45A80">
        <w:rPr>
          <w:sz w:val="26"/>
          <w:szCs w:val="26"/>
          <w:lang w:val="en-US"/>
        </w:rPr>
        <w:t>.</w:t>
      </w:r>
      <w:r w:rsidR="000366DF">
        <w:rPr>
          <w:sz w:val="26"/>
          <w:szCs w:val="26"/>
          <w:lang w:val="en-US"/>
        </w:rPr>
        <w:t>8</w:t>
      </w:r>
      <w:r w:rsidRPr="00F45A80">
        <w:rPr>
          <w:sz w:val="26"/>
          <w:szCs w:val="26"/>
          <w:lang w:val="en-US"/>
        </w:rPr>
        <w:t xml:space="preserve"> billion, showing an increase by </w:t>
      </w:r>
      <w:r w:rsidR="000366DF">
        <w:rPr>
          <w:sz w:val="26"/>
          <w:szCs w:val="26"/>
          <w:lang w:val="en-US"/>
        </w:rPr>
        <w:t>37</w:t>
      </w:r>
      <w:r>
        <w:rPr>
          <w:sz w:val="26"/>
          <w:szCs w:val="26"/>
          <w:lang w:val="en-US"/>
        </w:rPr>
        <w:t>.</w:t>
      </w:r>
      <w:r w:rsidR="000366DF">
        <w:rPr>
          <w:sz w:val="26"/>
          <w:szCs w:val="26"/>
          <w:lang w:val="en-US"/>
        </w:rPr>
        <w:t>4</w:t>
      </w:r>
      <w:r w:rsidRPr="00F45A80">
        <w:rPr>
          <w:sz w:val="26"/>
          <w:szCs w:val="26"/>
          <w:lang w:val="en-US"/>
        </w:rPr>
        <w:t xml:space="preserve">% </w:t>
      </w:r>
      <w:r>
        <w:rPr>
          <w:sz w:val="26"/>
          <w:szCs w:val="26"/>
          <w:lang w:val="en-US"/>
        </w:rPr>
        <w:t>or USD </w:t>
      </w:r>
      <w:r w:rsidR="000366DF">
        <w:rPr>
          <w:sz w:val="26"/>
          <w:szCs w:val="26"/>
          <w:lang w:val="en-US"/>
        </w:rPr>
        <w:t>9</w:t>
      </w:r>
      <w:r>
        <w:rPr>
          <w:sz w:val="26"/>
          <w:szCs w:val="26"/>
          <w:lang w:val="en-US"/>
        </w:rPr>
        <w:t>.</w:t>
      </w:r>
      <w:r w:rsidR="000366DF">
        <w:rPr>
          <w:sz w:val="26"/>
          <w:szCs w:val="26"/>
          <w:lang w:val="en-US"/>
        </w:rPr>
        <w:t>2</w:t>
      </w:r>
      <w:r>
        <w:rPr>
          <w:sz w:val="26"/>
          <w:szCs w:val="26"/>
          <w:lang w:val="en-US"/>
        </w:rPr>
        <w:t xml:space="preserve"> bi</w:t>
      </w:r>
      <w:r w:rsidRPr="00F45A80">
        <w:rPr>
          <w:sz w:val="26"/>
          <w:szCs w:val="26"/>
          <w:lang w:val="en-US"/>
        </w:rPr>
        <w:t xml:space="preserve">llion </w:t>
      </w:r>
      <w:r>
        <w:rPr>
          <w:sz w:val="26"/>
          <w:szCs w:val="26"/>
          <w:lang w:val="en-US"/>
        </w:rPr>
        <w:t>in comparison</w:t>
      </w:r>
      <w:r w:rsidRPr="00F45A80">
        <w:rPr>
          <w:sz w:val="26"/>
          <w:szCs w:val="26"/>
          <w:lang w:val="en-US"/>
        </w:rPr>
        <w:t xml:space="preserve"> with the beginning of </w:t>
      </w:r>
      <w:r>
        <w:rPr>
          <w:sz w:val="26"/>
          <w:szCs w:val="26"/>
          <w:lang w:val="en-US"/>
        </w:rPr>
        <w:t>2020</w:t>
      </w:r>
      <w:r w:rsidRPr="00F45A80">
        <w:rPr>
          <w:rStyle w:val="a9"/>
          <w:rFonts w:cs="Calibri"/>
          <w:sz w:val="26"/>
          <w:szCs w:val="26"/>
          <w:lang w:val="en-US"/>
        </w:rPr>
        <w:footnoteReference w:id="12"/>
      </w:r>
      <w:r w:rsidRPr="00F45A80">
        <w:rPr>
          <w:rFonts w:cs="Calibri"/>
          <w:sz w:val="26"/>
          <w:szCs w:val="26"/>
          <w:lang w:val="en-US"/>
        </w:rPr>
        <w:t xml:space="preserve"> </w:t>
      </w:r>
      <w:r w:rsidRPr="00FD0350">
        <w:rPr>
          <w:rFonts w:cs="Calibri"/>
          <w:color w:val="0070C0"/>
          <w:sz w:val="26"/>
          <w:szCs w:val="26"/>
          <w:lang w:val="en-US"/>
        </w:rPr>
        <w:t xml:space="preserve">(Table </w:t>
      </w:r>
      <w:r w:rsidR="000366DF">
        <w:rPr>
          <w:rFonts w:cs="Calibri"/>
          <w:color w:val="0070C0"/>
          <w:sz w:val="26"/>
          <w:szCs w:val="26"/>
          <w:lang w:val="en-US"/>
        </w:rPr>
        <w:t>4</w:t>
      </w:r>
      <w:r w:rsidRPr="00FD0350">
        <w:rPr>
          <w:rFonts w:cs="Calibri"/>
          <w:color w:val="0070C0"/>
          <w:sz w:val="26"/>
          <w:szCs w:val="26"/>
          <w:lang w:val="en-US"/>
        </w:rPr>
        <w:t>).</w:t>
      </w:r>
    </w:p>
    <w:p w:rsidR="006B50A3" w:rsidRPr="00163BCC" w:rsidRDefault="006920C5" w:rsidP="00095CD1">
      <w:pPr>
        <w:ind w:right="-1"/>
        <w:jc w:val="right"/>
        <w:rPr>
          <w:lang w:val="en-US"/>
        </w:rPr>
      </w:pPr>
      <w:r w:rsidRPr="00163BCC">
        <w:rPr>
          <w:lang w:val="en-US"/>
        </w:rPr>
        <w:t>Table</w:t>
      </w:r>
      <w:r w:rsidR="00733304" w:rsidRPr="00163BCC">
        <w:rPr>
          <w:lang w:val="en-US"/>
        </w:rPr>
        <w:t xml:space="preserve"> </w:t>
      </w:r>
      <w:r w:rsidR="000366DF">
        <w:rPr>
          <w:lang w:val="en-US"/>
        </w:rPr>
        <w:t>4</w:t>
      </w:r>
    </w:p>
    <w:p w:rsidR="00733304" w:rsidRPr="00F45A80" w:rsidRDefault="006920C5" w:rsidP="006B50A3">
      <w:pPr>
        <w:ind w:right="-284"/>
        <w:jc w:val="center"/>
        <w:rPr>
          <w:b/>
          <w:sz w:val="26"/>
          <w:szCs w:val="26"/>
          <w:lang w:val="en-US"/>
        </w:rPr>
      </w:pPr>
      <w:r w:rsidRPr="00CF4FF0">
        <w:rPr>
          <w:rFonts w:cs="Calibri"/>
          <w:b/>
          <w:sz w:val="28"/>
          <w:szCs w:val="26"/>
          <w:lang w:val="en-US"/>
        </w:rPr>
        <w:t>STRUCTURE AND CHANGE OF TOTAL EXTERNAL DEBT</w:t>
      </w:r>
      <w:r w:rsidRPr="00CF4FF0">
        <w:rPr>
          <w:rStyle w:val="a9"/>
          <w:rFonts w:cs="Calibri"/>
          <w:sz w:val="28"/>
          <w:szCs w:val="26"/>
          <w:lang w:val="en-US"/>
        </w:rPr>
        <w:t xml:space="preserve"> </w:t>
      </w:r>
      <w:r w:rsidRPr="00CF4FF0">
        <w:rPr>
          <w:rStyle w:val="a9"/>
          <w:rFonts w:cs="Calibri"/>
          <w:b/>
          <w:sz w:val="26"/>
          <w:szCs w:val="26"/>
          <w:lang w:val="en-US"/>
        </w:rPr>
        <w:footnoteReference w:id="13"/>
      </w:r>
    </w:p>
    <w:p w:rsidR="006B50A3" w:rsidRPr="00F45A80" w:rsidRDefault="006B50A3" w:rsidP="006B50A3">
      <w:pPr>
        <w:ind w:right="-284"/>
        <w:jc w:val="right"/>
        <w:rPr>
          <w:i/>
          <w:lang w:val="en-US"/>
        </w:rPr>
      </w:pPr>
    </w:p>
    <w:p w:rsidR="00733304" w:rsidRPr="00F45A80" w:rsidRDefault="006B50A3" w:rsidP="006B50A3">
      <w:pPr>
        <w:ind w:right="-2"/>
        <w:jc w:val="right"/>
        <w:rPr>
          <w:i/>
          <w:lang w:val="en-US"/>
        </w:rPr>
      </w:pPr>
      <w:r w:rsidRPr="00F45A80">
        <w:rPr>
          <w:i/>
          <w:lang w:val="en-US"/>
        </w:rPr>
        <w:t>(</w:t>
      </w:r>
      <w:r w:rsidR="00C1736C" w:rsidRPr="00F45A80">
        <w:rPr>
          <w:i/>
          <w:lang w:val="en-US"/>
        </w:rPr>
        <w:t>mln</w:t>
      </w:r>
      <w:r w:rsidR="0061403B" w:rsidRPr="00F45A80">
        <w:rPr>
          <w:i/>
          <w:lang w:val="en-US"/>
        </w:rPr>
        <w:t>.</w:t>
      </w:r>
      <w:r w:rsidR="00C1736C" w:rsidRPr="00F45A80">
        <w:rPr>
          <w:i/>
          <w:lang w:val="en-US"/>
        </w:rPr>
        <w:t xml:space="preserve"> USD</w:t>
      </w:r>
      <w:r w:rsidRPr="00F45A80">
        <w:rPr>
          <w:i/>
          <w:lang w:val="en-US"/>
        </w:rPr>
        <w:t>)</w:t>
      </w:r>
    </w:p>
    <w:tbl>
      <w:tblPr>
        <w:tblW w:w="9936"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700"/>
        <w:gridCol w:w="1419"/>
        <w:gridCol w:w="1418"/>
        <w:gridCol w:w="1417"/>
        <w:gridCol w:w="1286"/>
        <w:gridCol w:w="1696"/>
      </w:tblGrid>
      <w:tr w:rsidR="00C1736C" w:rsidRPr="0082101B" w:rsidTr="007A7115">
        <w:trPr>
          <w:trHeight w:val="600"/>
          <w:jc w:val="center"/>
        </w:trPr>
        <w:tc>
          <w:tcPr>
            <w:tcW w:w="2700" w:type="dxa"/>
            <w:vMerge w:val="restart"/>
            <w:shd w:val="clear" w:color="auto" w:fill="auto"/>
            <w:vAlign w:val="center"/>
          </w:tcPr>
          <w:p w:rsidR="00C1736C" w:rsidRPr="00F45A80" w:rsidRDefault="00C1736C" w:rsidP="00C1736C">
            <w:pPr>
              <w:spacing w:before="120" w:after="120"/>
              <w:jc w:val="center"/>
              <w:rPr>
                <w:rFonts w:cs="Calibri"/>
                <w:b/>
                <w:color w:val="000000"/>
                <w:lang w:val="en-US"/>
              </w:rPr>
            </w:pPr>
            <w:r w:rsidRPr="00F45A80">
              <w:rPr>
                <w:rFonts w:cs="Calibri"/>
                <w:b/>
                <w:color w:val="000000"/>
                <w:lang w:val="en-US"/>
              </w:rPr>
              <w:t>Sector of economy</w:t>
            </w:r>
          </w:p>
        </w:tc>
        <w:tc>
          <w:tcPr>
            <w:tcW w:w="4254" w:type="dxa"/>
            <w:gridSpan w:val="3"/>
            <w:shd w:val="clear" w:color="auto" w:fill="auto"/>
            <w:vAlign w:val="center"/>
          </w:tcPr>
          <w:p w:rsidR="00C1736C" w:rsidRPr="00F45A80" w:rsidRDefault="00C1736C" w:rsidP="00C1736C">
            <w:pPr>
              <w:spacing w:before="120" w:after="120"/>
              <w:jc w:val="center"/>
              <w:rPr>
                <w:rFonts w:cs="Calibri"/>
                <w:b/>
                <w:color w:val="000000"/>
                <w:lang w:val="en-US"/>
              </w:rPr>
            </w:pPr>
            <w:r w:rsidRPr="00F45A80">
              <w:rPr>
                <w:rFonts w:cs="Calibri"/>
                <w:b/>
                <w:color w:val="000000"/>
                <w:lang w:val="en-US"/>
              </w:rPr>
              <w:t>External debt as of</w:t>
            </w:r>
          </w:p>
        </w:tc>
        <w:tc>
          <w:tcPr>
            <w:tcW w:w="1286" w:type="dxa"/>
            <w:vMerge w:val="restart"/>
            <w:shd w:val="clear" w:color="auto" w:fill="auto"/>
            <w:vAlign w:val="center"/>
          </w:tcPr>
          <w:p w:rsidR="00C1736C" w:rsidRPr="00F45A80" w:rsidRDefault="00C1736C" w:rsidP="00C1736C">
            <w:pPr>
              <w:spacing w:before="120" w:after="120"/>
              <w:jc w:val="center"/>
              <w:rPr>
                <w:rFonts w:cs="Calibri"/>
                <w:b/>
                <w:color w:val="000000"/>
                <w:lang w:val="en-US"/>
              </w:rPr>
            </w:pPr>
            <w:r w:rsidRPr="00F45A80">
              <w:rPr>
                <w:rFonts w:cs="Calibri"/>
                <w:b/>
                <w:color w:val="000000"/>
                <w:lang w:val="en-US"/>
              </w:rPr>
              <w:t>Share</w:t>
            </w:r>
          </w:p>
        </w:tc>
        <w:tc>
          <w:tcPr>
            <w:tcW w:w="1696" w:type="dxa"/>
            <w:vMerge w:val="restart"/>
            <w:shd w:val="clear" w:color="auto" w:fill="auto"/>
            <w:vAlign w:val="center"/>
          </w:tcPr>
          <w:p w:rsidR="00C1736C" w:rsidRPr="00F45A80" w:rsidRDefault="00C1736C" w:rsidP="000366DF">
            <w:pPr>
              <w:spacing w:before="120" w:after="120"/>
              <w:jc w:val="center"/>
              <w:rPr>
                <w:rFonts w:cs="Calibri"/>
                <w:b/>
                <w:color w:val="000000"/>
                <w:lang w:val="en-US"/>
              </w:rPr>
            </w:pPr>
            <w:r w:rsidRPr="00A5505D">
              <w:rPr>
                <w:rFonts w:cs="Calibri"/>
                <w:b/>
                <w:color w:val="000000"/>
                <w:lang w:val="en-US"/>
              </w:rPr>
              <w:t>Change</w:t>
            </w:r>
            <w:r w:rsidR="000366DF">
              <w:rPr>
                <w:rFonts w:cs="Calibri"/>
                <w:b/>
                <w:color w:val="000000"/>
                <w:lang w:val="en-US"/>
              </w:rPr>
              <w:t>s</w:t>
            </w:r>
            <w:r w:rsidRPr="00A5505D">
              <w:rPr>
                <w:rFonts w:cs="Calibri"/>
                <w:b/>
                <w:color w:val="000000"/>
                <w:lang w:val="en-US"/>
              </w:rPr>
              <w:t xml:space="preserve"> </w:t>
            </w:r>
            <w:r w:rsidR="000366DF">
              <w:rPr>
                <w:rFonts w:cs="Calibri"/>
                <w:b/>
                <w:color w:val="000000"/>
                <w:lang w:val="en-US"/>
              </w:rPr>
              <w:t>for</w:t>
            </w:r>
            <w:r w:rsidR="00502A6F">
              <w:rPr>
                <w:rFonts w:cs="Calibri"/>
                <w:b/>
                <w:color w:val="000000"/>
                <w:lang w:val="en-US"/>
              </w:rPr>
              <w:t xml:space="preserve"> </w:t>
            </w:r>
            <w:r w:rsidR="00FD39FA">
              <w:rPr>
                <w:rFonts w:cs="Calibri"/>
                <w:b/>
                <w:color w:val="000000"/>
                <w:lang w:val="en-US"/>
              </w:rPr>
              <w:t>2020</w:t>
            </w:r>
          </w:p>
        </w:tc>
      </w:tr>
      <w:tr w:rsidR="000366DF" w:rsidRPr="00F45A80" w:rsidTr="00281BC9">
        <w:trPr>
          <w:trHeight w:val="727"/>
          <w:jc w:val="center"/>
        </w:trPr>
        <w:tc>
          <w:tcPr>
            <w:tcW w:w="2700" w:type="dxa"/>
            <w:vMerge/>
            <w:shd w:val="clear" w:color="auto" w:fill="auto"/>
            <w:vAlign w:val="center"/>
          </w:tcPr>
          <w:p w:rsidR="000366DF" w:rsidRPr="00F45A80" w:rsidRDefault="000366DF" w:rsidP="000366DF">
            <w:pPr>
              <w:spacing w:before="120" w:after="120"/>
              <w:rPr>
                <w:rFonts w:cs="Calibri"/>
                <w:b/>
                <w:color w:val="000000"/>
                <w:lang w:val="en-US"/>
              </w:rPr>
            </w:pPr>
          </w:p>
        </w:tc>
        <w:tc>
          <w:tcPr>
            <w:tcW w:w="1419" w:type="dxa"/>
            <w:shd w:val="clear" w:color="auto" w:fill="auto"/>
            <w:vAlign w:val="center"/>
          </w:tcPr>
          <w:p w:rsidR="000366DF" w:rsidRPr="00C92486" w:rsidRDefault="000366DF" w:rsidP="000366DF">
            <w:pPr>
              <w:spacing w:before="120" w:after="120"/>
              <w:jc w:val="center"/>
              <w:rPr>
                <w:rFonts w:asciiTheme="minorHAnsi" w:hAnsiTheme="minorHAnsi" w:cstheme="minorHAnsi"/>
                <w:b/>
                <w:color w:val="000000"/>
                <w:sz w:val="20"/>
                <w:szCs w:val="20"/>
              </w:rPr>
            </w:pPr>
            <w:r w:rsidRPr="00C92486">
              <w:rPr>
                <w:rFonts w:asciiTheme="minorHAnsi" w:hAnsiTheme="minorHAnsi" w:cstheme="minorHAnsi"/>
                <w:b/>
                <w:color w:val="000000"/>
                <w:sz w:val="20"/>
                <w:szCs w:val="20"/>
              </w:rPr>
              <w:t>01.01.2019 г.</w:t>
            </w:r>
          </w:p>
        </w:tc>
        <w:tc>
          <w:tcPr>
            <w:tcW w:w="1418" w:type="dxa"/>
            <w:shd w:val="clear" w:color="auto" w:fill="auto"/>
            <w:vAlign w:val="center"/>
          </w:tcPr>
          <w:p w:rsidR="000366DF" w:rsidRPr="00C92486" w:rsidRDefault="000366DF" w:rsidP="000366DF">
            <w:pPr>
              <w:spacing w:before="120" w:after="120"/>
              <w:jc w:val="center"/>
              <w:rPr>
                <w:rFonts w:asciiTheme="minorHAnsi" w:hAnsiTheme="minorHAnsi" w:cstheme="minorHAnsi"/>
                <w:b/>
                <w:color w:val="000000"/>
                <w:sz w:val="20"/>
                <w:szCs w:val="20"/>
              </w:rPr>
            </w:pPr>
            <w:r w:rsidRPr="00C92486">
              <w:rPr>
                <w:rFonts w:asciiTheme="minorHAnsi" w:hAnsiTheme="minorHAnsi" w:cstheme="minorHAnsi"/>
                <w:b/>
                <w:color w:val="000000"/>
                <w:sz w:val="20"/>
                <w:szCs w:val="20"/>
              </w:rPr>
              <w:t>01.01.2020 г.</w:t>
            </w:r>
          </w:p>
        </w:tc>
        <w:tc>
          <w:tcPr>
            <w:tcW w:w="1417" w:type="dxa"/>
            <w:shd w:val="clear" w:color="auto" w:fill="auto"/>
            <w:vAlign w:val="center"/>
          </w:tcPr>
          <w:p w:rsidR="000366DF" w:rsidRPr="00C92486" w:rsidRDefault="000366DF" w:rsidP="000366DF">
            <w:pPr>
              <w:spacing w:before="120" w:after="120"/>
              <w:jc w:val="center"/>
              <w:rPr>
                <w:rFonts w:asciiTheme="minorHAnsi" w:hAnsiTheme="minorHAnsi" w:cstheme="minorHAnsi"/>
                <w:b/>
                <w:color w:val="000000"/>
                <w:sz w:val="20"/>
                <w:szCs w:val="20"/>
              </w:rPr>
            </w:pPr>
            <w:r w:rsidRPr="00C92486">
              <w:rPr>
                <w:rFonts w:asciiTheme="minorHAnsi" w:hAnsiTheme="minorHAnsi" w:cstheme="minorHAnsi"/>
                <w:b/>
                <w:color w:val="000000"/>
                <w:sz w:val="20"/>
                <w:szCs w:val="20"/>
              </w:rPr>
              <w:t>01.01.2021 г.</w:t>
            </w:r>
          </w:p>
        </w:tc>
        <w:tc>
          <w:tcPr>
            <w:tcW w:w="1286" w:type="dxa"/>
            <w:vMerge/>
            <w:shd w:val="clear" w:color="auto" w:fill="auto"/>
            <w:vAlign w:val="center"/>
          </w:tcPr>
          <w:p w:rsidR="000366DF" w:rsidRPr="00F45A80" w:rsidRDefault="000366DF" w:rsidP="000366DF">
            <w:pPr>
              <w:spacing w:before="120" w:after="120"/>
              <w:jc w:val="center"/>
              <w:rPr>
                <w:rFonts w:cs="Calibri"/>
                <w:color w:val="000000"/>
                <w:lang w:val="en-US"/>
              </w:rPr>
            </w:pPr>
          </w:p>
        </w:tc>
        <w:tc>
          <w:tcPr>
            <w:tcW w:w="1696" w:type="dxa"/>
            <w:vMerge/>
            <w:shd w:val="clear" w:color="auto" w:fill="auto"/>
            <w:vAlign w:val="center"/>
          </w:tcPr>
          <w:p w:rsidR="000366DF" w:rsidRPr="00F45A80" w:rsidRDefault="000366DF" w:rsidP="000366DF">
            <w:pPr>
              <w:spacing w:before="120" w:after="120"/>
              <w:jc w:val="center"/>
              <w:rPr>
                <w:rFonts w:cs="Calibri"/>
                <w:color w:val="000000"/>
                <w:lang w:val="en-US"/>
              </w:rPr>
            </w:pPr>
          </w:p>
        </w:tc>
      </w:tr>
      <w:tr w:rsidR="000366DF" w:rsidRPr="00F45A80" w:rsidTr="007A7115">
        <w:trPr>
          <w:trHeight w:val="440"/>
          <w:jc w:val="center"/>
        </w:trPr>
        <w:tc>
          <w:tcPr>
            <w:tcW w:w="2700" w:type="dxa"/>
            <w:shd w:val="clear" w:color="auto" w:fill="BDD6EE" w:themeFill="accent1" w:themeFillTint="66"/>
            <w:vAlign w:val="center"/>
          </w:tcPr>
          <w:p w:rsidR="000366DF" w:rsidRPr="00F45A80" w:rsidRDefault="000366DF" w:rsidP="001A732A">
            <w:pPr>
              <w:spacing w:before="120" w:after="120"/>
              <w:jc w:val="center"/>
              <w:rPr>
                <w:rFonts w:cs="Calibri"/>
                <w:b/>
                <w:color w:val="000000"/>
                <w:lang w:val="en-US"/>
              </w:rPr>
            </w:pPr>
            <w:r w:rsidRPr="00F45A80">
              <w:rPr>
                <w:rFonts w:cs="Calibri"/>
                <w:b/>
                <w:color w:val="000000"/>
                <w:lang w:val="en-US"/>
              </w:rPr>
              <w:t>Total</w:t>
            </w:r>
          </w:p>
        </w:tc>
        <w:tc>
          <w:tcPr>
            <w:tcW w:w="14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vAlign w:val="center"/>
          </w:tcPr>
          <w:p w:rsidR="000366DF" w:rsidRPr="00C92486" w:rsidRDefault="000366DF" w:rsidP="000366DF">
            <w:pPr>
              <w:jc w:val="center"/>
              <w:rPr>
                <w:rFonts w:asciiTheme="minorHAnsi" w:hAnsiTheme="minorHAnsi" w:cstheme="minorHAnsi"/>
                <w:b/>
                <w:bCs/>
                <w:color w:val="000000"/>
              </w:rPr>
            </w:pPr>
            <w:r w:rsidRPr="00C92486">
              <w:rPr>
                <w:rFonts w:asciiTheme="minorHAnsi" w:hAnsiTheme="minorHAnsi" w:cstheme="minorHAnsi"/>
                <w:b/>
                <w:bCs/>
                <w:color w:val="000000"/>
              </w:rPr>
              <w:t>17 159,1</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vAlign w:val="center"/>
          </w:tcPr>
          <w:p w:rsidR="000366DF" w:rsidRPr="00C92486" w:rsidRDefault="000366DF" w:rsidP="000366DF">
            <w:pPr>
              <w:jc w:val="center"/>
              <w:rPr>
                <w:rFonts w:asciiTheme="minorHAnsi" w:hAnsiTheme="minorHAnsi" w:cstheme="minorHAnsi"/>
                <w:b/>
                <w:color w:val="000000"/>
              </w:rPr>
            </w:pPr>
            <w:r w:rsidRPr="00C92486">
              <w:rPr>
                <w:rFonts w:asciiTheme="minorHAnsi" w:hAnsiTheme="minorHAnsi" w:cstheme="minorHAnsi"/>
                <w:b/>
                <w:color w:val="000000"/>
              </w:rPr>
              <w:t>24 632,0</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vAlign w:val="center"/>
          </w:tcPr>
          <w:p w:rsidR="000366DF" w:rsidRPr="00C92486" w:rsidRDefault="000366DF" w:rsidP="000366DF">
            <w:pPr>
              <w:jc w:val="center"/>
              <w:rPr>
                <w:rFonts w:asciiTheme="minorHAnsi" w:hAnsiTheme="minorHAnsi" w:cstheme="minorHAnsi"/>
                <w:b/>
                <w:color w:val="000000"/>
                <w:lang w:val="en-US"/>
              </w:rPr>
            </w:pPr>
            <w:r w:rsidRPr="00C92486">
              <w:rPr>
                <w:rFonts w:asciiTheme="minorHAnsi" w:hAnsiTheme="minorHAnsi" w:cstheme="minorHAnsi"/>
                <w:b/>
                <w:color w:val="000000"/>
              </w:rPr>
              <w:t xml:space="preserve">33 </w:t>
            </w:r>
            <w:r w:rsidRPr="00C92486">
              <w:rPr>
                <w:rFonts w:asciiTheme="minorHAnsi" w:hAnsiTheme="minorHAnsi" w:cstheme="minorHAnsi"/>
                <w:b/>
                <w:color w:val="000000"/>
                <w:lang w:val="en-US"/>
              </w:rPr>
              <w:t>841</w:t>
            </w:r>
            <w:r w:rsidRPr="00C92486">
              <w:rPr>
                <w:rFonts w:asciiTheme="minorHAnsi" w:hAnsiTheme="minorHAnsi" w:cstheme="minorHAnsi"/>
                <w:b/>
                <w:color w:val="000000"/>
              </w:rPr>
              <w:t>,</w:t>
            </w:r>
            <w:r w:rsidRPr="00C92486">
              <w:rPr>
                <w:rFonts w:asciiTheme="minorHAnsi" w:hAnsiTheme="minorHAnsi" w:cstheme="minorHAnsi"/>
                <w:b/>
                <w:color w:val="000000"/>
                <w:lang w:val="en-US"/>
              </w:rPr>
              <w:t>8</w:t>
            </w:r>
          </w:p>
        </w:tc>
        <w:tc>
          <w:tcPr>
            <w:tcW w:w="12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vAlign w:val="center"/>
          </w:tcPr>
          <w:p w:rsidR="000366DF" w:rsidRPr="00C92486" w:rsidRDefault="000366DF" w:rsidP="000366DF">
            <w:pPr>
              <w:spacing w:before="120" w:after="120"/>
              <w:jc w:val="center"/>
              <w:rPr>
                <w:rFonts w:asciiTheme="minorHAnsi" w:hAnsiTheme="minorHAnsi" w:cstheme="minorHAnsi"/>
                <w:b/>
                <w:color w:val="000000"/>
              </w:rPr>
            </w:pPr>
            <w:r w:rsidRPr="00C92486">
              <w:rPr>
                <w:rFonts w:asciiTheme="minorHAnsi" w:hAnsiTheme="minorHAnsi" w:cstheme="minorHAnsi"/>
                <w:b/>
                <w:color w:val="000000"/>
              </w:rPr>
              <w:t>100%</w:t>
            </w:r>
          </w:p>
        </w:tc>
        <w:tc>
          <w:tcPr>
            <w:tcW w:w="16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vAlign w:val="center"/>
          </w:tcPr>
          <w:p w:rsidR="000366DF" w:rsidRPr="00C92486" w:rsidRDefault="000366DF" w:rsidP="000366DF">
            <w:pPr>
              <w:jc w:val="center"/>
              <w:rPr>
                <w:rFonts w:asciiTheme="minorHAnsi" w:hAnsiTheme="minorHAnsi" w:cstheme="minorHAnsi"/>
                <w:b/>
                <w:color w:val="000000"/>
                <w:lang w:val="en-US"/>
              </w:rPr>
            </w:pPr>
            <w:r w:rsidRPr="00C92486">
              <w:rPr>
                <w:rFonts w:asciiTheme="minorHAnsi" w:hAnsiTheme="minorHAnsi" w:cstheme="minorHAnsi"/>
                <w:b/>
                <w:color w:val="000000"/>
              </w:rPr>
              <w:t xml:space="preserve">9 </w:t>
            </w:r>
            <w:r w:rsidRPr="00C92486">
              <w:rPr>
                <w:rFonts w:asciiTheme="minorHAnsi" w:hAnsiTheme="minorHAnsi" w:cstheme="minorHAnsi"/>
                <w:b/>
                <w:color w:val="000000"/>
                <w:lang w:val="en-US"/>
              </w:rPr>
              <w:t>209</w:t>
            </w:r>
            <w:r w:rsidRPr="00C92486">
              <w:rPr>
                <w:rFonts w:asciiTheme="minorHAnsi" w:hAnsiTheme="minorHAnsi" w:cstheme="minorHAnsi"/>
                <w:b/>
                <w:color w:val="000000"/>
              </w:rPr>
              <w:t>,</w:t>
            </w:r>
            <w:r w:rsidRPr="00C92486">
              <w:rPr>
                <w:rFonts w:asciiTheme="minorHAnsi" w:hAnsiTheme="minorHAnsi" w:cstheme="minorHAnsi"/>
                <w:b/>
                <w:color w:val="000000"/>
                <w:lang w:val="en-US"/>
              </w:rPr>
              <w:t>9</w:t>
            </w:r>
          </w:p>
        </w:tc>
      </w:tr>
      <w:tr w:rsidR="000366DF" w:rsidRPr="00F45A80" w:rsidTr="007A7115">
        <w:trPr>
          <w:trHeight w:val="300"/>
          <w:jc w:val="center"/>
        </w:trPr>
        <w:tc>
          <w:tcPr>
            <w:tcW w:w="2700" w:type="dxa"/>
            <w:shd w:val="clear" w:color="auto" w:fill="auto"/>
            <w:noWrap/>
            <w:vAlign w:val="center"/>
          </w:tcPr>
          <w:p w:rsidR="000366DF" w:rsidRPr="00F45A80" w:rsidRDefault="000366DF" w:rsidP="000366DF">
            <w:pPr>
              <w:spacing w:before="120" w:after="120"/>
              <w:rPr>
                <w:rFonts w:cs="Calibri"/>
                <w:b/>
                <w:color w:val="000000"/>
                <w:lang w:val="en-US"/>
              </w:rPr>
            </w:pPr>
            <w:r w:rsidRPr="00F45A80">
              <w:rPr>
                <w:rFonts w:cs="Calibri"/>
                <w:b/>
                <w:color w:val="000000"/>
                <w:lang w:val="en-US"/>
              </w:rPr>
              <w:t>Government external debt</w:t>
            </w:r>
          </w:p>
        </w:tc>
        <w:tc>
          <w:tcPr>
            <w:tcW w:w="14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6E1628" w:rsidRDefault="000366DF" w:rsidP="000366DF">
            <w:pPr>
              <w:jc w:val="center"/>
              <w:rPr>
                <w:rFonts w:asciiTheme="minorHAnsi" w:hAnsiTheme="minorHAnsi" w:cstheme="minorHAnsi"/>
                <w:color w:val="000000"/>
              </w:rPr>
            </w:pPr>
            <w:r w:rsidRPr="006E1628">
              <w:rPr>
                <w:rFonts w:asciiTheme="minorHAnsi" w:hAnsiTheme="minorHAnsi" w:cstheme="minorHAnsi"/>
                <w:color w:val="000000"/>
              </w:rPr>
              <w:t>9 950,5</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6E1628" w:rsidRDefault="000366DF" w:rsidP="000366DF">
            <w:pPr>
              <w:jc w:val="center"/>
              <w:rPr>
                <w:rFonts w:asciiTheme="minorHAnsi" w:hAnsiTheme="minorHAnsi" w:cstheme="minorHAnsi"/>
                <w:color w:val="000000"/>
              </w:rPr>
            </w:pPr>
            <w:r w:rsidRPr="006E1628">
              <w:rPr>
                <w:rFonts w:asciiTheme="minorHAnsi" w:hAnsiTheme="minorHAnsi" w:cstheme="minorHAnsi"/>
                <w:color w:val="000000"/>
              </w:rPr>
              <w:t>15 869,6</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6E1628" w:rsidRDefault="000366DF" w:rsidP="000366DF">
            <w:pPr>
              <w:jc w:val="center"/>
              <w:rPr>
                <w:rFonts w:asciiTheme="minorHAnsi" w:hAnsiTheme="minorHAnsi" w:cstheme="minorHAnsi"/>
                <w:color w:val="000000"/>
              </w:rPr>
            </w:pPr>
            <w:r w:rsidRPr="006E1628">
              <w:rPr>
                <w:rFonts w:asciiTheme="minorHAnsi" w:hAnsiTheme="minorHAnsi" w:cstheme="minorHAnsi"/>
                <w:color w:val="000000"/>
              </w:rPr>
              <w:t>21 346,0</w:t>
            </w:r>
          </w:p>
        </w:tc>
        <w:tc>
          <w:tcPr>
            <w:tcW w:w="12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6E1628" w:rsidRDefault="000366DF" w:rsidP="000366DF">
            <w:pPr>
              <w:spacing w:before="120" w:after="120"/>
              <w:jc w:val="center"/>
              <w:rPr>
                <w:rFonts w:asciiTheme="minorHAnsi" w:hAnsiTheme="minorHAnsi" w:cstheme="minorHAnsi"/>
                <w:color w:val="000000"/>
              </w:rPr>
            </w:pPr>
            <w:r w:rsidRPr="006E1628">
              <w:rPr>
                <w:rFonts w:asciiTheme="minorHAnsi" w:hAnsiTheme="minorHAnsi" w:cstheme="minorHAnsi"/>
                <w:color w:val="000000"/>
              </w:rPr>
              <w:t>63%</w:t>
            </w:r>
          </w:p>
        </w:tc>
        <w:tc>
          <w:tcPr>
            <w:tcW w:w="16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6E1628" w:rsidRDefault="000366DF" w:rsidP="000366DF">
            <w:pPr>
              <w:jc w:val="center"/>
              <w:rPr>
                <w:rFonts w:asciiTheme="minorHAnsi" w:hAnsiTheme="minorHAnsi" w:cstheme="minorHAnsi"/>
                <w:color w:val="000000"/>
              </w:rPr>
            </w:pPr>
            <w:r w:rsidRPr="006E1628">
              <w:rPr>
                <w:rFonts w:asciiTheme="minorHAnsi" w:hAnsiTheme="minorHAnsi" w:cstheme="minorHAnsi"/>
                <w:color w:val="000000"/>
              </w:rPr>
              <w:t>5 476,4</w:t>
            </w:r>
          </w:p>
        </w:tc>
      </w:tr>
      <w:tr w:rsidR="000366DF" w:rsidRPr="00F45A80" w:rsidTr="007A7115">
        <w:trPr>
          <w:trHeight w:val="300"/>
          <w:jc w:val="center"/>
        </w:trPr>
        <w:tc>
          <w:tcPr>
            <w:tcW w:w="2700" w:type="dxa"/>
            <w:shd w:val="clear" w:color="auto" w:fill="auto"/>
            <w:noWrap/>
            <w:vAlign w:val="center"/>
          </w:tcPr>
          <w:p w:rsidR="000366DF" w:rsidRPr="00F45A80" w:rsidRDefault="000366DF" w:rsidP="000366DF">
            <w:pPr>
              <w:ind w:left="179"/>
              <w:rPr>
                <w:rFonts w:cs="Calibri"/>
                <w:i/>
                <w:color w:val="000000"/>
                <w:lang w:val="en-US"/>
              </w:rPr>
            </w:pPr>
            <w:r w:rsidRPr="00F45A80">
              <w:rPr>
                <w:rFonts w:cs="Calibri"/>
                <w:i/>
                <w:color w:val="000000"/>
                <w:lang w:val="en-US"/>
              </w:rPr>
              <w:t>of which:</w:t>
            </w:r>
          </w:p>
          <w:p w:rsidR="000366DF" w:rsidRPr="00F45A80" w:rsidRDefault="000366DF" w:rsidP="000366DF">
            <w:pPr>
              <w:rPr>
                <w:rFonts w:cs="Calibri"/>
                <w:i/>
                <w:color w:val="000000"/>
                <w:lang w:val="en-US"/>
              </w:rPr>
            </w:pPr>
            <w:r w:rsidRPr="00F45A80">
              <w:rPr>
                <w:rFonts w:cs="Calibri"/>
                <w:i/>
                <w:color w:val="000000"/>
                <w:lang w:val="en-US"/>
              </w:rPr>
              <w:t xml:space="preserve">international bonds of the Republic of Uzbekistan </w:t>
            </w:r>
          </w:p>
        </w:tc>
        <w:tc>
          <w:tcPr>
            <w:tcW w:w="14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i/>
                <w:color w:val="000000"/>
              </w:rPr>
            </w:pPr>
            <w:r w:rsidRPr="00C92486">
              <w:rPr>
                <w:rFonts w:asciiTheme="minorHAnsi" w:hAnsiTheme="minorHAnsi" w:cstheme="minorHAnsi"/>
                <w:i/>
                <w:color w:val="000000"/>
              </w:rPr>
              <w:t>-</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C92486" w:rsidRDefault="000366DF" w:rsidP="000366DF">
            <w:pPr>
              <w:spacing w:before="120" w:after="120"/>
              <w:jc w:val="center"/>
              <w:rPr>
                <w:rFonts w:asciiTheme="minorHAnsi" w:hAnsiTheme="minorHAnsi" w:cstheme="minorHAnsi"/>
                <w:i/>
                <w:color w:val="000000"/>
              </w:rPr>
            </w:pPr>
            <w:r w:rsidRPr="00C92486">
              <w:rPr>
                <w:rFonts w:asciiTheme="minorHAnsi" w:hAnsiTheme="minorHAnsi" w:cstheme="minorHAnsi"/>
                <w:i/>
                <w:color w:val="000000"/>
              </w:rPr>
              <w:t>1 107,0</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C92486" w:rsidRDefault="000366DF" w:rsidP="000366DF">
            <w:pPr>
              <w:spacing w:before="120" w:after="120"/>
              <w:jc w:val="center"/>
              <w:rPr>
                <w:rFonts w:asciiTheme="minorHAnsi" w:hAnsiTheme="minorHAnsi" w:cstheme="minorHAnsi"/>
                <w:i/>
                <w:color w:val="000000"/>
                <w:lang w:val="en-US"/>
              </w:rPr>
            </w:pPr>
            <w:r w:rsidRPr="00C92486">
              <w:rPr>
                <w:rFonts w:asciiTheme="minorHAnsi" w:hAnsiTheme="minorHAnsi" w:cstheme="minorHAnsi"/>
                <w:i/>
                <w:color w:val="000000"/>
              </w:rPr>
              <w:t>1 92</w:t>
            </w:r>
            <w:r w:rsidRPr="00C92486">
              <w:rPr>
                <w:rFonts w:asciiTheme="minorHAnsi" w:hAnsiTheme="minorHAnsi" w:cstheme="minorHAnsi"/>
                <w:i/>
                <w:color w:val="000000"/>
                <w:lang w:val="en-US"/>
              </w:rPr>
              <w:t>9</w:t>
            </w:r>
            <w:r w:rsidRPr="00C92486">
              <w:rPr>
                <w:rFonts w:asciiTheme="minorHAnsi" w:hAnsiTheme="minorHAnsi" w:cstheme="minorHAnsi"/>
                <w:i/>
                <w:color w:val="000000"/>
              </w:rPr>
              <w:t>,</w:t>
            </w:r>
            <w:r w:rsidRPr="00C92486">
              <w:rPr>
                <w:rFonts w:asciiTheme="minorHAnsi" w:hAnsiTheme="minorHAnsi" w:cstheme="minorHAnsi"/>
                <w:i/>
                <w:color w:val="000000"/>
                <w:lang w:val="en-US"/>
              </w:rPr>
              <w:t>4</w:t>
            </w:r>
          </w:p>
        </w:tc>
        <w:tc>
          <w:tcPr>
            <w:tcW w:w="12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i/>
                <w:color w:val="000000"/>
              </w:rPr>
            </w:pPr>
            <w:r w:rsidRPr="00C92486">
              <w:rPr>
                <w:rFonts w:asciiTheme="minorHAnsi" w:hAnsiTheme="minorHAnsi" w:cstheme="minorHAnsi"/>
                <w:i/>
                <w:color w:val="000000"/>
              </w:rPr>
              <w:t>6%</w:t>
            </w:r>
          </w:p>
        </w:tc>
        <w:tc>
          <w:tcPr>
            <w:tcW w:w="16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i/>
                <w:color w:val="000000"/>
                <w:lang w:val="en-US"/>
              </w:rPr>
            </w:pPr>
            <w:r w:rsidRPr="00C92486">
              <w:rPr>
                <w:rFonts w:asciiTheme="minorHAnsi" w:hAnsiTheme="minorHAnsi" w:cstheme="minorHAnsi"/>
                <w:i/>
                <w:color w:val="000000"/>
              </w:rPr>
              <w:t>82</w:t>
            </w:r>
            <w:r w:rsidRPr="00C92486">
              <w:rPr>
                <w:rFonts w:asciiTheme="minorHAnsi" w:hAnsiTheme="minorHAnsi" w:cstheme="minorHAnsi"/>
                <w:i/>
                <w:color w:val="000000"/>
                <w:lang w:val="en-US"/>
              </w:rPr>
              <w:t>2</w:t>
            </w:r>
            <w:r w:rsidRPr="00C92486">
              <w:rPr>
                <w:rFonts w:asciiTheme="minorHAnsi" w:hAnsiTheme="minorHAnsi" w:cstheme="minorHAnsi"/>
                <w:i/>
                <w:color w:val="000000"/>
              </w:rPr>
              <w:t>,</w:t>
            </w:r>
            <w:r w:rsidRPr="00C92486">
              <w:rPr>
                <w:rFonts w:asciiTheme="minorHAnsi" w:hAnsiTheme="minorHAnsi" w:cstheme="minorHAnsi"/>
                <w:i/>
                <w:color w:val="000000"/>
                <w:lang w:val="en-US"/>
              </w:rPr>
              <w:t>4</w:t>
            </w:r>
          </w:p>
        </w:tc>
      </w:tr>
      <w:tr w:rsidR="000366DF" w:rsidRPr="00F45A80" w:rsidTr="007A7115">
        <w:trPr>
          <w:trHeight w:val="786"/>
          <w:jc w:val="center"/>
        </w:trPr>
        <w:tc>
          <w:tcPr>
            <w:tcW w:w="2700" w:type="dxa"/>
            <w:shd w:val="clear" w:color="auto" w:fill="auto"/>
            <w:noWrap/>
            <w:vAlign w:val="center"/>
          </w:tcPr>
          <w:p w:rsidR="000366DF" w:rsidRPr="00F45A80" w:rsidRDefault="000366DF" w:rsidP="000366DF">
            <w:pPr>
              <w:spacing w:before="120" w:after="120"/>
              <w:rPr>
                <w:rFonts w:cs="Calibri"/>
                <w:b/>
                <w:color w:val="000000"/>
                <w:lang w:val="en-US"/>
              </w:rPr>
            </w:pPr>
            <w:r w:rsidRPr="00F45A80">
              <w:rPr>
                <w:rFonts w:cs="Calibri"/>
                <w:b/>
                <w:color w:val="000000"/>
                <w:lang w:val="en-US"/>
              </w:rPr>
              <w:t>Private external debt</w:t>
            </w:r>
          </w:p>
        </w:tc>
        <w:tc>
          <w:tcPr>
            <w:tcW w:w="14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6E1628" w:rsidRDefault="000366DF" w:rsidP="000366DF">
            <w:pPr>
              <w:spacing w:before="120" w:after="120"/>
              <w:jc w:val="center"/>
              <w:rPr>
                <w:rFonts w:asciiTheme="minorHAnsi" w:hAnsiTheme="minorHAnsi" w:cstheme="minorHAnsi"/>
                <w:color w:val="000000"/>
              </w:rPr>
            </w:pPr>
            <w:r w:rsidRPr="006E1628">
              <w:rPr>
                <w:rFonts w:asciiTheme="minorHAnsi" w:hAnsiTheme="minorHAnsi" w:cstheme="minorHAnsi"/>
                <w:color w:val="000000"/>
              </w:rPr>
              <w:t>7 208,6</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6E1628" w:rsidRDefault="000366DF" w:rsidP="000366DF">
            <w:pPr>
              <w:spacing w:before="120" w:after="120"/>
              <w:jc w:val="center"/>
              <w:rPr>
                <w:rFonts w:asciiTheme="minorHAnsi" w:hAnsiTheme="minorHAnsi" w:cstheme="minorHAnsi"/>
                <w:color w:val="000000"/>
              </w:rPr>
            </w:pPr>
            <w:r w:rsidRPr="006E1628">
              <w:rPr>
                <w:rFonts w:asciiTheme="minorHAnsi" w:hAnsiTheme="minorHAnsi" w:cstheme="minorHAnsi"/>
                <w:color w:val="000000"/>
              </w:rPr>
              <w:t>8 762,4</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6E1628" w:rsidRDefault="000366DF" w:rsidP="000366DF">
            <w:pPr>
              <w:spacing w:before="120" w:after="120"/>
              <w:jc w:val="center"/>
              <w:rPr>
                <w:rFonts w:asciiTheme="minorHAnsi" w:hAnsiTheme="minorHAnsi" w:cstheme="minorHAnsi"/>
                <w:color w:val="000000"/>
              </w:rPr>
            </w:pPr>
            <w:r w:rsidRPr="006E1628">
              <w:rPr>
                <w:rFonts w:asciiTheme="minorHAnsi" w:hAnsiTheme="minorHAnsi" w:cstheme="minorHAnsi"/>
                <w:color w:val="000000"/>
                <w:lang w:val="en-US"/>
              </w:rPr>
              <w:t>1</w:t>
            </w:r>
            <w:r w:rsidRPr="006E1628">
              <w:rPr>
                <w:rFonts w:asciiTheme="minorHAnsi" w:hAnsiTheme="minorHAnsi" w:cstheme="minorHAnsi"/>
                <w:color w:val="000000"/>
              </w:rPr>
              <w:t>2</w:t>
            </w:r>
            <w:r w:rsidRPr="006E1628">
              <w:rPr>
                <w:rFonts w:asciiTheme="minorHAnsi" w:hAnsiTheme="minorHAnsi" w:cstheme="minorHAnsi"/>
                <w:color w:val="000000"/>
                <w:lang w:val="en-US"/>
              </w:rPr>
              <w:t xml:space="preserve"> </w:t>
            </w:r>
            <w:r w:rsidRPr="006E1628">
              <w:rPr>
                <w:rFonts w:asciiTheme="minorHAnsi" w:hAnsiTheme="minorHAnsi" w:cstheme="minorHAnsi"/>
                <w:color w:val="000000"/>
              </w:rPr>
              <w:t>495</w:t>
            </w:r>
            <w:r w:rsidRPr="006E1628">
              <w:rPr>
                <w:rFonts w:asciiTheme="minorHAnsi" w:hAnsiTheme="minorHAnsi" w:cstheme="minorHAnsi"/>
                <w:color w:val="000000"/>
                <w:lang w:val="en-US"/>
              </w:rPr>
              <w:t>,</w:t>
            </w:r>
            <w:r w:rsidRPr="006E1628">
              <w:rPr>
                <w:rFonts w:asciiTheme="minorHAnsi" w:hAnsiTheme="minorHAnsi" w:cstheme="minorHAnsi"/>
                <w:color w:val="000000"/>
              </w:rPr>
              <w:t>8</w:t>
            </w:r>
          </w:p>
        </w:tc>
        <w:tc>
          <w:tcPr>
            <w:tcW w:w="12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6E1628" w:rsidRDefault="000366DF" w:rsidP="000366DF">
            <w:pPr>
              <w:spacing w:before="120" w:after="120"/>
              <w:jc w:val="center"/>
              <w:rPr>
                <w:rFonts w:asciiTheme="minorHAnsi" w:hAnsiTheme="minorHAnsi" w:cstheme="minorHAnsi"/>
                <w:color w:val="000000"/>
              </w:rPr>
            </w:pPr>
            <w:r w:rsidRPr="006E1628">
              <w:rPr>
                <w:rFonts w:asciiTheme="minorHAnsi" w:hAnsiTheme="minorHAnsi" w:cstheme="minorHAnsi"/>
                <w:color w:val="000000"/>
              </w:rPr>
              <w:t>37%</w:t>
            </w:r>
          </w:p>
        </w:tc>
        <w:tc>
          <w:tcPr>
            <w:tcW w:w="16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6E1628" w:rsidRDefault="000366DF" w:rsidP="000366DF">
            <w:pPr>
              <w:spacing w:before="120" w:after="120"/>
              <w:jc w:val="center"/>
              <w:rPr>
                <w:rFonts w:asciiTheme="minorHAnsi" w:hAnsiTheme="minorHAnsi" w:cstheme="minorHAnsi"/>
                <w:color w:val="000000"/>
              </w:rPr>
            </w:pPr>
            <w:r w:rsidRPr="006E1628">
              <w:rPr>
                <w:rFonts w:asciiTheme="minorHAnsi" w:hAnsiTheme="minorHAnsi" w:cstheme="minorHAnsi"/>
                <w:color w:val="000000"/>
              </w:rPr>
              <w:t>3 733,4</w:t>
            </w:r>
          </w:p>
        </w:tc>
      </w:tr>
      <w:tr w:rsidR="000366DF" w:rsidRPr="00F45A80" w:rsidTr="007A7115">
        <w:trPr>
          <w:trHeight w:val="300"/>
          <w:jc w:val="center"/>
        </w:trPr>
        <w:tc>
          <w:tcPr>
            <w:tcW w:w="2700" w:type="dxa"/>
            <w:shd w:val="clear" w:color="auto" w:fill="auto"/>
            <w:noWrap/>
            <w:vAlign w:val="center"/>
          </w:tcPr>
          <w:p w:rsidR="000366DF" w:rsidRPr="00F45A80" w:rsidRDefault="000366DF" w:rsidP="000366DF">
            <w:pPr>
              <w:ind w:left="179"/>
              <w:rPr>
                <w:rFonts w:cs="Calibri"/>
                <w:i/>
                <w:color w:val="000000"/>
                <w:lang w:val="en-US"/>
              </w:rPr>
            </w:pPr>
            <w:r w:rsidRPr="00F45A80">
              <w:rPr>
                <w:rFonts w:cs="Calibri"/>
                <w:i/>
                <w:color w:val="000000"/>
                <w:lang w:val="en-US"/>
              </w:rPr>
              <w:t>of which:</w:t>
            </w:r>
          </w:p>
          <w:p w:rsidR="000366DF" w:rsidRPr="00F45A80" w:rsidRDefault="000366DF" w:rsidP="000366DF">
            <w:pPr>
              <w:ind w:left="184" w:hanging="142"/>
              <w:rPr>
                <w:rFonts w:cs="Calibri"/>
                <w:i/>
                <w:color w:val="000000"/>
                <w:lang w:val="en-US"/>
              </w:rPr>
            </w:pPr>
            <w:r w:rsidRPr="00F45A80">
              <w:rPr>
                <w:rFonts w:cs="Calibri"/>
                <w:i/>
                <w:color w:val="000000"/>
                <w:lang w:val="en-US"/>
              </w:rPr>
              <w:t>from parent companies</w:t>
            </w:r>
          </w:p>
        </w:tc>
        <w:tc>
          <w:tcPr>
            <w:tcW w:w="14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i/>
                <w:color w:val="000000"/>
              </w:rPr>
            </w:pPr>
            <w:r w:rsidRPr="00C92486">
              <w:rPr>
                <w:rFonts w:asciiTheme="minorHAnsi" w:hAnsiTheme="minorHAnsi" w:cstheme="minorHAnsi"/>
                <w:i/>
                <w:color w:val="000000"/>
              </w:rPr>
              <w:t>687,8</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C92486" w:rsidRDefault="000366DF" w:rsidP="000366DF">
            <w:pPr>
              <w:spacing w:before="120" w:after="120"/>
              <w:jc w:val="center"/>
              <w:rPr>
                <w:rFonts w:asciiTheme="minorHAnsi" w:hAnsiTheme="minorHAnsi" w:cstheme="minorHAnsi"/>
                <w:i/>
                <w:color w:val="000000"/>
              </w:rPr>
            </w:pPr>
            <w:r w:rsidRPr="00C92486">
              <w:rPr>
                <w:rFonts w:asciiTheme="minorHAnsi" w:hAnsiTheme="minorHAnsi" w:cstheme="minorHAnsi"/>
                <w:i/>
                <w:color w:val="000000"/>
              </w:rPr>
              <w:t>825,8</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C92486" w:rsidRDefault="000366DF" w:rsidP="000366DF">
            <w:pPr>
              <w:spacing w:before="120" w:after="120"/>
              <w:jc w:val="center"/>
              <w:rPr>
                <w:rFonts w:asciiTheme="minorHAnsi" w:hAnsiTheme="minorHAnsi" w:cstheme="minorHAnsi"/>
                <w:i/>
                <w:color w:val="000000"/>
                <w:lang w:val="en-US"/>
              </w:rPr>
            </w:pPr>
            <w:r w:rsidRPr="00C92486">
              <w:rPr>
                <w:rFonts w:asciiTheme="minorHAnsi" w:hAnsiTheme="minorHAnsi" w:cstheme="minorHAnsi"/>
                <w:i/>
                <w:color w:val="000000"/>
              </w:rPr>
              <w:t>911,</w:t>
            </w:r>
            <w:r w:rsidRPr="00C92486">
              <w:rPr>
                <w:rFonts w:asciiTheme="minorHAnsi" w:hAnsiTheme="minorHAnsi" w:cstheme="minorHAnsi"/>
                <w:i/>
                <w:color w:val="000000"/>
                <w:lang w:val="en-US"/>
              </w:rPr>
              <w:t>4</w:t>
            </w:r>
          </w:p>
        </w:tc>
        <w:tc>
          <w:tcPr>
            <w:tcW w:w="12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i/>
                <w:color w:val="000000"/>
              </w:rPr>
            </w:pPr>
            <w:r w:rsidRPr="00C92486">
              <w:rPr>
                <w:rFonts w:asciiTheme="minorHAnsi" w:hAnsiTheme="minorHAnsi" w:cstheme="minorHAnsi"/>
                <w:i/>
                <w:color w:val="000000"/>
              </w:rPr>
              <w:t>3%</w:t>
            </w:r>
          </w:p>
        </w:tc>
        <w:tc>
          <w:tcPr>
            <w:tcW w:w="16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i/>
                <w:color w:val="000000"/>
              </w:rPr>
            </w:pPr>
            <w:r w:rsidRPr="00C92486">
              <w:rPr>
                <w:rFonts w:asciiTheme="minorHAnsi" w:hAnsiTheme="minorHAnsi" w:cstheme="minorHAnsi"/>
                <w:i/>
                <w:color w:val="000000"/>
              </w:rPr>
              <w:t>85,6</w:t>
            </w:r>
          </w:p>
        </w:tc>
      </w:tr>
      <w:tr w:rsidR="005D2E39" w:rsidRPr="00D040FC" w:rsidTr="007A7115">
        <w:trPr>
          <w:trHeight w:val="349"/>
          <w:jc w:val="center"/>
        </w:trPr>
        <w:tc>
          <w:tcPr>
            <w:tcW w:w="9936" w:type="dxa"/>
            <w:gridSpan w:val="6"/>
            <w:shd w:val="clear" w:color="auto" w:fill="BDD6EE" w:themeFill="accent1" w:themeFillTint="66"/>
            <w:noWrap/>
            <w:vAlign w:val="center"/>
          </w:tcPr>
          <w:p w:rsidR="005D2E39" w:rsidRPr="00F45A80" w:rsidRDefault="00C1736C" w:rsidP="005D2E39">
            <w:pPr>
              <w:rPr>
                <w:rFonts w:cs="Calibri"/>
                <w:b/>
                <w:iCs/>
                <w:color w:val="000000"/>
                <w:lang w:val="en-US"/>
              </w:rPr>
            </w:pPr>
            <w:r w:rsidRPr="00F45A80">
              <w:rPr>
                <w:rFonts w:cs="Calibri"/>
                <w:b/>
                <w:color w:val="000000"/>
                <w:lang w:val="en-US"/>
              </w:rPr>
              <w:t>Shares of sectors in private foreign debt</w:t>
            </w:r>
          </w:p>
        </w:tc>
      </w:tr>
      <w:tr w:rsidR="000366DF" w:rsidRPr="00F45A80" w:rsidTr="007A7115">
        <w:trPr>
          <w:trHeight w:val="300"/>
          <w:jc w:val="center"/>
        </w:trPr>
        <w:tc>
          <w:tcPr>
            <w:tcW w:w="2700" w:type="dxa"/>
            <w:shd w:val="clear" w:color="auto" w:fill="auto"/>
            <w:noWrap/>
            <w:vAlign w:val="center"/>
          </w:tcPr>
          <w:p w:rsidR="000366DF" w:rsidRPr="00F45A80" w:rsidRDefault="000366DF" w:rsidP="000366DF">
            <w:pPr>
              <w:spacing w:before="120" w:after="120"/>
              <w:rPr>
                <w:rFonts w:cs="Calibri"/>
                <w:color w:val="000000"/>
                <w:lang w:val="en-US"/>
              </w:rPr>
            </w:pPr>
            <w:r w:rsidRPr="00F45A80">
              <w:rPr>
                <w:rFonts w:cs="Calibri"/>
                <w:color w:val="000000"/>
                <w:lang w:val="en-US"/>
              </w:rPr>
              <w:t>Banking sector</w:t>
            </w:r>
          </w:p>
        </w:tc>
        <w:tc>
          <w:tcPr>
            <w:tcW w:w="14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color w:val="000000"/>
              </w:rPr>
            </w:pPr>
            <w:r w:rsidRPr="00C92486">
              <w:rPr>
                <w:rFonts w:asciiTheme="minorHAnsi" w:hAnsiTheme="minorHAnsi" w:cstheme="minorHAnsi"/>
                <w:color w:val="000000"/>
              </w:rPr>
              <w:t>978,2</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0366DF" w:rsidRPr="00C92486" w:rsidRDefault="000366DF" w:rsidP="000366DF">
            <w:pPr>
              <w:spacing w:before="120" w:after="120"/>
              <w:jc w:val="center"/>
              <w:rPr>
                <w:rFonts w:asciiTheme="minorHAnsi" w:hAnsiTheme="minorHAnsi" w:cstheme="minorHAnsi"/>
                <w:color w:val="000000"/>
              </w:rPr>
            </w:pPr>
            <w:r w:rsidRPr="00C92486">
              <w:rPr>
                <w:rFonts w:asciiTheme="minorHAnsi" w:hAnsiTheme="minorHAnsi" w:cstheme="minorHAnsi"/>
                <w:color w:val="000000"/>
              </w:rPr>
              <w:t>2</w:t>
            </w:r>
            <w:r w:rsidRPr="00C92486">
              <w:rPr>
                <w:rFonts w:asciiTheme="minorHAnsi" w:hAnsiTheme="minorHAnsi" w:cstheme="minorHAnsi"/>
                <w:color w:val="000000"/>
                <w:lang w:val="en-US"/>
              </w:rPr>
              <w:t xml:space="preserve"> </w:t>
            </w:r>
            <w:r w:rsidRPr="00C92486">
              <w:rPr>
                <w:rFonts w:asciiTheme="minorHAnsi" w:hAnsiTheme="minorHAnsi" w:cstheme="minorHAnsi"/>
                <w:color w:val="000000"/>
              </w:rPr>
              <w:t>920,2</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C92486" w:rsidRDefault="000366DF" w:rsidP="000366DF">
            <w:pPr>
              <w:spacing w:before="120" w:after="120"/>
              <w:jc w:val="center"/>
              <w:rPr>
                <w:rFonts w:asciiTheme="minorHAnsi" w:hAnsiTheme="minorHAnsi" w:cstheme="minorHAnsi"/>
                <w:i/>
                <w:color w:val="000000"/>
              </w:rPr>
            </w:pPr>
            <w:r w:rsidRPr="00C92486">
              <w:rPr>
                <w:rFonts w:asciiTheme="minorHAnsi" w:hAnsiTheme="minorHAnsi" w:cstheme="minorHAnsi"/>
                <w:i/>
                <w:color w:val="000000"/>
              </w:rPr>
              <w:t>6</w:t>
            </w:r>
            <w:r w:rsidRPr="00C92486">
              <w:rPr>
                <w:rFonts w:asciiTheme="minorHAnsi" w:hAnsiTheme="minorHAnsi" w:cstheme="minorHAnsi"/>
                <w:i/>
                <w:color w:val="000000"/>
                <w:lang w:val="en-US"/>
              </w:rPr>
              <w:t xml:space="preserve"> </w:t>
            </w:r>
            <w:r w:rsidRPr="00C92486">
              <w:rPr>
                <w:rFonts w:asciiTheme="minorHAnsi" w:hAnsiTheme="minorHAnsi" w:cstheme="minorHAnsi"/>
                <w:i/>
                <w:color w:val="000000"/>
              </w:rPr>
              <w:t>280</w:t>
            </w:r>
            <w:r w:rsidRPr="00C92486">
              <w:rPr>
                <w:rFonts w:asciiTheme="minorHAnsi" w:hAnsiTheme="minorHAnsi" w:cstheme="minorHAnsi"/>
                <w:i/>
                <w:color w:val="000000"/>
                <w:lang w:val="en-US"/>
              </w:rPr>
              <w:t>,</w:t>
            </w:r>
            <w:r w:rsidRPr="00C92486">
              <w:rPr>
                <w:rFonts w:asciiTheme="minorHAnsi" w:hAnsiTheme="minorHAnsi" w:cstheme="minorHAnsi"/>
                <w:i/>
                <w:color w:val="000000"/>
              </w:rPr>
              <w:t>9</w:t>
            </w:r>
          </w:p>
        </w:tc>
        <w:tc>
          <w:tcPr>
            <w:tcW w:w="12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color w:val="000000"/>
              </w:rPr>
            </w:pPr>
            <w:r w:rsidRPr="00C92486">
              <w:rPr>
                <w:rFonts w:asciiTheme="minorHAnsi" w:hAnsiTheme="minorHAnsi" w:cstheme="minorHAnsi"/>
                <w:color w:val="000000"/>
              </w:rPr>
              <w:t>19%</w:t>
            </w:r>
          </w:p>
        </w:tc>
        <w:tc>
          <w:tcPr>
            <w:tcW w:w="16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color w:val="000000"/>
              </w:rPr>
            </w:pPr>
            <w:r w:rsidRPr="00C92486">
              <w:rPr>
                <w:rFonts w:asciiTheme="minorHAnsi" w:hAnsiTheme="minorHAnsi" w:cstheme="minorHAnsi"/>
                <w:color w:val="000000"/>
              </w:rPr>
              <w:t>3 360,8</w:t>
            </w:r>
          </w:p>
        </w:tc>
      </w:tr>
      <w:tr w:rsidR="000366DF" w:rsidRPr="00F45A80" w:rsidTr="007A7115">
        <w:trPr>
          <w:trHeight w:val="300"/>
          <w:jc w:val="center"/>
        </w:trPr>
        <w:tc>
          <w:tcPr>
            <w:tcW w:w="2700" w:type="dxa"/>
            <w:shd w:val="clear" w:color="auto" w:fill="auto"/>
            <w:noWrap/>
            <w:vAlign w:val="center"/>
          </w:tcPr>
          <w:p w:rsidR="000366DF" w:rsidRPr="00F45A80" w:rsidRDefault="000366DF" w:rsidP="000366DF">
            <w:pPr>
              <w:ind w:left="179"/>
              <w:rPr>
                <w:rFonts w:cs="Calibri"/>
                <w:i/>
                <w:color w:val="000000"/>
                <w:lang w:val="en-US"/>
              </w:rPr>
            </w:pPr>
            <w:r w:rsidRPr="00F45A80">
              <w:rPr>
                <w:rFonts w:cs="Calibri"/>
                <w:i/>
                <w:color w:val="000000"/>
                <w:lang w:val="en-US"/>
              </w:rPr>
              <w:t>of which:</w:t>
            </w:r>
          </w:p>
          <w:p w:rsidR="000366DF" w:rsidRPr="00B83611" w:rsidRDefault="000366DF" w:rsidP="000366DF">
            <w:pPr>
              <w:rPr>
                <w:rFonts w:cs="Calibri"/>
                <w:color w:val="000000"/>
                <w:lang w:val="en-US"/>
              </w:rPr>
            </w:pPr>
            <w:r w:rsidRPr="00F45A80">
              <w:rPr>
                <w:rFonts w:cs="Calibri"/>
                <w:i/>
                <w:color w:val="000000"/>
                <w:lang w:val="en-US"/>
              </w:rPr>
              <w:t xml:space="preserve">international bonds of </w:t>
            </w:r>
            <w:r>
              <w:rPr>
                <w:rFonts w:cs="Calibri"/>
                <w:i/>
                <w:color w:val="000000"/>
                <w:lang w:val="uz-Cyrl-UZ"/>
              </w:rPr>
              <w:t>commercial banks</w:t>
            </w:r>
          </w:p>
        </w:tc>
        <w:tc>
          <w:tcPr>
            <w:tcW w:w="14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i/>
                <w:color w:val="000000"/>
                <w:lang w:val="uz-Cyrl-UZ"/>
              </w:rPr>
            </w:pPr>
            <w:r w:rsidRPr="00C92486">
              <w:rPr>
                <w:rFonts w:asciiTheme="minorHAnsi" w:hAnsiTheme="minorHAnsi" w:cstheme="minorHAnsi"/>
                <w:i/>
                <w:color w:val="000000"/>
              </w:rPr>
              <w:t>-</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0366DF" w:rsidRPr="00C92486" w:rsidRDefault="000366DF" w:rsidP="000366DF">
            <w:pPr>
              <w:spacing w:before="120" w:after="120"/>
              <w:jc w:val="center"/>
              <w:rPr>
                <w:rFonts w:asciiTheme="minorHAnsi" w:hAnsiTheme="minorHAnsi" w:cstheme="minorHAnsi"/>
                <w:i/>
                <w:color w:val="000000"/>
              </w:rPr>
            </w:pPr>
            <w:r w:rsidRPr="00C92486">
              <w:rPr>
                <w:rFonts w:asciiTheme="minorHAnsi" w:hAnsiTheme="minorHAnsi" w:cstheme="minorHAnsi"/>
                <w:i/>
                <w:color w:val="000000"/>
              </w:rPr>
              <w:t>307,4</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C92486" w:rsidRDefault="000366DF" w:rsidP="000366DF">
            <w:pPr>
              <w:spacing w:before="120" w:after="120"/>
              <w:jc w:val="center"/>
              <w:rPr>
                <w:rFonts w:asciiTheme="minorHAnsi" w:hAnsiTheme="minorHAnsi" w:cstheme="minorHAnsi"/>
                <w:i/>
                <w:color w:val="000000"/>
              </w:rPr>
            </w:pPr>
            <w:r w:rsidRPr="00C92486">
              <w:rPr>
                <w:rFonts w:asciiTheme="minorHAnsi" w:hAnsiTheme="minorHAnsi" w:cstheme="minorHAnsi"/>
                <w:i/>
                <w:color w:val="000000"/>
              </w:rPr>
              <w:t>937,5</w:t>
            </w:r>
          </w:p>
        </w:tc>
        <w:tc>
          <w:tcPr>
            <w:tcW w:w="12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i/>
                <w:color w:val="000000"/>
                <w:lang w:val="en-US"/>
              </w:rPr>
            </w:pPr>
            <w:r w:rsidRPr="00C92486">
              <w:rPr>
                <w:rFonts w:asciiTheme="minorHAnsi" w:hAnsiTheme="minorHAnsi" w:cstheme="minorHAnsi"/>
                <w:i/>
                <w:color w:val="000000"/>
              </w:rPr>
              <w:t>3%</w:t>
            </w:r>
          </w:p>
        </w:tc>
        <w:tc>
          <w:tcPr>
            <w:tcW w:w="16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i/>
                <w:color w:val="000000"/>
              </w:rPr>
            </w:pPr>
            <w:r w:rsidRPr="00C92486">
              <w:rPr>
                <w:rFonts w:asciiTheme="minorHAnsi" w:hAnsiTheme="minorHAnsi" w:cstheme="minorHAnsi"/>
                <w:i/>
                <w:color w:val="000000"/>
              </w:rPr>
              <w:t>630,1</w:t>
            </w:r>
          </w:p>
        </w:tc>
      </w:tr>
      <w:tr w:rsidR="000366DF" w:rsidRPr="00F45A80" w:rsidTr="007A7115">
        <w:trPr>
          <w:trHeight w:val="300"/>
          <w:jc w:val="center"/>
        </w:trPr>
        <w:tc>
          <w:tcPr>
            <w:tcW w:w="2700" w:type="dxa"/>
            <w:shd w:val="clear" w:color="auto" w:fill="auto"/>
            <w:noWrap/>
            <w:vAlign w:val="center"/>
          </w:tcPr>
          <w:p w:rsidR="000366DF" w:rsidRPr="00F45A80" w:rsidRDefault="000366DF" w:rsidP="000366DF">
            <w:pPr>
              <w:spacing w:before="120" w:after="120"/>
              <w:rPr>
                <w:rFonts w:cs="Calibri"/>
                <w:color w:val="000000"/>
                <w:lang w:val="en-US"/>
              </w:rPr>
            </w:pPr>
            <w:r w:rsidRPr="00F45A80">
              <w:rPr>
                <w:rFonts w:cs="Calibri"/>
                <w:color w:val="000000"/>
                <w:lang w:val="en-US"/>
              </w:rPr>
              <w:t>Oil and gas and energy sector</w:t>
            </w:r>
          </w:p>
        </w:tc>
        <w:tc>
          <w:tcPr>
            <w:tcW w:w="14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color w:val="000000"/>
              </w:rPr>
            </w:pPr>
            <w:r w:rsidRPr="00C92486">
              <w:rPr>
                <w:rFonts w:asciiTheme="minorHAnsi" w:hAnsiTheme="minorHAnsi" w:cstheme="minorHAnsi"/>
                <w:color w:val="000000"/>
              </w:rPr>
              <w:t>5 386,5</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0366DF" w:rsidRPr="00C92486" w:rsidRDefault="000366DF" w:rsidP="000366DF">
            <w:pPr>
              <w:spacing w:before="120" w:after="120"/>
              <w:jc w:val="center"/>
              <w:rPr>
                <w:rFonts w:asciiTheme="minorHAnsi" w:hAnsiTheme="minorHAnsi" w:cstheme="minorHAnsi"/>
                <w:color w:val="000000"/>
              </w:rPr>
            </w:pPr>
            <w:r w:rsidRPr="00C92486">
              <w:rPr>
                <w:rFonts w:asciiTheme="minorHAnsi" w:hAnsiTheme="minorHAnsi" w:cstheme="minorHAnsi"/>
                <w:color w:val="000000"/>
              </w:rPr>
              <w:t>4 852,3</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C92486" w:rsidRDefault="000366DF" w:rsidP="000366DF">
            <w:pPr>
              <w:spacing w:before="120" w:after="120"/>
              <w:jc w:val="center"/>
              <w:rPr>
                <w:rFonts w:asciiTheme="minorHAnsi" w:hAnsiTheme="minorHAnsi" w:cstheme="minorHAnsi"/>
                <w:i/>
                <w:color w:val="000000"/>
              </w:rPr>
            </w:pPr>
            <w:r w:rsidRPr="00C92486">
              <w:rPr>
                <w:rFonts w:asciiTheme="minorHAnsi" w:hAnsiTheme="minorHAnsi" w:cstheme="minorHAnsi"/>
                <w:i/>
                <w:color w:val="000000"/>
                <w:lang w:val="en-US"/>
              </w:rPr>
              <w:t xml:space="preserve">4 </w:t>
            </w:r>
            <w:r w:rsidRPr="00C92486">
              <w:rPr>
                <w:rFonts w:asciiTheme="minorHAnsi" w:hAnsiTheme="minorHAnsi" w:cstheme="minorHAnsi"/>
                <w:i/>
                <w:color w:val="000000"/>
              </w:rPr>
              <w:t>437</w:t>
            </w:r>
            <w:r w:rsidRPr="00C92486">
              <w:rPr>
                <w:rFonts w:asciiTheme="minorHAnsi" w:hAnsiTheme="minorHAnsi" w:cstheme="minorHAnsi"/>
                <w:i/>
                <w:color w:val="000000"/>
                <w:lang w:val="en-US"/>
              </w:rPr>
              <w:t>,</w:t>
            </w:r>
            <w:r w:rsidRPr="00C92486">
              <w:rPr>
                <w:rFonts w:asciiTheme="minorHAnsi" w:hAnsiTheme="minorHAnsi" w:cstheme="minorHAnsi"/>
                <w:i/>
                <w:color w:val="000000"/>
              </w:rPr>
              <w:t>3</w:t>
            </w:r>
          </w:p>
        </w:tc>
        <w:tc>
          <w:tcPr>
            <w:tcW w:w="12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color w:val="000000"/>
              </w:rPr>
            </w:pPr>
            <w:r w:rsidRPr="00C92486">
              <w:rPr>
                <w:rFonts w:asciiTheme="minorHAnsi" w:hAnsiTheme="minorHAnsi" w:cstheme="minorHAnsi"/>
                <w:color w:val="000000"/>
              </w:rPr>
              <w:t>13%</w:t>
            </w:r>
          </w:p>
        </w:tc>
        <w:tc>
          <w:tcPr>
            <w:tcW w:w="16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color w:val="000000"/>
              </w:rPr>
            </w:pPr>
            <w:r w:rsidRPr="00C92486">
              <w:rPr>
                <w:rFonts w:asciiTheme="minorHAnsi" w:hAnsiTheme="minorHAnsi" w:cstheme="minorHAnsi"/>
                <w:color w:val="000000"/>
              </w:rPr>
              <w:t>-415,1</w:t>
            </w:r>
          </w:p>
        </w:tc>
      </w:tr>
      <w:tr w:rsidR="000366DF" w:rsidRPr="00F45A80" w:rsidTr="007A7115">
        <w:trPr>
          <w:trHeight w:val="300"/>
          <w:jc w:val="center"/>
        </w:trPr>
        <w:tc>
          <w:tcPr>
            <w:tcW w:w="2700" w:type="dxa"/>
            <w:shd w:val="clear" w:color="auto" w:fill="auto"/>
            <w:noWrap/>
            <w:vAlign w:val="center"/>
          </w:tcPr>
          <w:p w:rsidR="000366DF" w:rsidRPr="00F45A80" w:rsidRDefault="000366DF" w:rsidP="000366DF">
            <w:pPr>
              <w:spacing w:before="120" w:after="120"/>
              <w:rPr>
                <w:rFonts w:cs="Calibri"/>
                <w:color w:val="000000"/>
                <w:lang w:val="en-US"/>
              </w:rPr>
            </w:pPr>
            <w:r w:rsidRPr="00F45A80">
              <w:rPr>
                <w:rFonts w:cs="Calibri"/>
                <w:color w:val="000000"/>
                <w:lang w:val="en-US"/>
              </w:rPr>
              <w:t>Telecommunications sector</w:t>
            </w:r>
          </w:p>
        </w:tc>
        <w:tc>
          <w:tcPr>
            <w:tcW w:w="14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color w:val="000000"/>
              </w:rPr>
            </w:pPr>
            <w:r w:rsidRPr="00C92486">
              <w:rPr>
                <w:rFonts w:asciiTheme="minorHAnsi" w:hAnsiTheme="minorHAnsi" w:cstheme="minorHAnsi"/>
                <w:color w:val="000000"/>
              </w:rPr>
              <w:t>248,2</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0366DF" w:rsidRPr="00C92486" w:rsidRDefault="000366DF" w:rsidP="000366DF">
            <w:pPr>
              <w:spacing w:before="120" w:after="120"/>
              <w:jc w:val="center"/>
              <w:rPr>
                <w:rFonts w:asciiTheme="minorHAnsi" w:hAnsiTheme="minorHAnsi" w:cstheme="minorHAnsi"/>
                <w:color w:val="000000"/>
              </w:rPr>
            </w:pPr>
            <w:r w:rsidRPr="00C92486">
              <w:rPr>
                <w:rFonts w:asciiTheme="minorHAnsi" w:hAnsiTheme="minorHAnsi" w:cstheme="minorHAnsi"/>
                <w:color w:val="000000"/>
              </w:rPr>
              <w:t>225,5</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C92486" w:rsidRDefault="000366DF" w:rsidP="000366DF">
            <w:pPr>
              <w:spacing w:before="120" w:after="120"/>
              <w:jc w:val="center"/>
              <w:rPr>
                <w:rFonts w:asciiTheme="minorHAnsi" w:hAnsiTheme="minorHAnsi" w:cstheme="minorHAnsi"/>
                <w:color w:val="000000"/>
              </w:rPr>
            </w:pPr>
            <w:r w:rsidRPr="00C92486">
              <w:rPr>
                <w:rFonts w:asciiTheme="minorHAnsi" w:hAnsiTheme="minorHAnsi" w:cstheme="minorHAnsi"/>
                <w:color w:val="000000"/>
              </w:rPr>
              <w:t>193,6</w:t>
            </w:r>
          </w:p>
        </w:tc>
        <w:tc>
          <w:tcPr>
            <w:tcW w:w="12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color w:val="000000"/>
              </w:rPr>
            </w:pPr>
            <w:r w:rsidRPr="00C92486">
              <w:rPr>
                <w:rFonts w:asciiTheme="minorHAnsi" w:hAnsiTheme="minorHAnsi" w:cstheme="minorHAnsi"/>
                <w:color w:val="000000"/>
              </w:rPr>
              <w:t>1%</w:t>
            </w:r>
          </w:p>
        </w:tc>
        <w:tc>
          <w:tcPr>
            <w:tcW w:w="16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color w:val="000000"/>
              </w:rPr>
            </w:pPr>
            <w:r w:rsidRPr="00C92486">
              <w:rPr>
                <w:rFonts w:asciiTheme="minorHAnsi" w:hAnsiTheme="minorHAnsi" w:cstheme="minorHAnsi"/>
                <w:color w:val="000000"/>
              </w:rPr>
              <w:t>-31,9</w:t>
            </w:r>
          </w:p>
        </w:tc>
      </w:tr>
      <w:tr w:rsidR="000366DF" w:rsidRPr="00F45A80" w:rsidTr="007A7115">
        <w:trPr>
          <w:trHeight w:val="300"/>
          <w:jc w:val="center"/>
        </w:trPr>
        <w:tc>
          <w:tcPr>
            <w:tcW w:w="2700" w:type="dxa"/>
            <w:shd w:val="clear" w:color="auto" w:fill="auto"/>
            <w:noWrap/>
            <w:vAlign w:val="center"/>
          </w:tcPr>
          <w:p w:rsidR="000366DF" w:rsidRPr="00F45A80" w:rsidRDefault="000366DF" w:rsidP="000366DF">
            <w:pPr>
              <w:spacing w:before="120" w:after="120"/>
              <w:rPr>
                <w:rFonts w:cs="Calibri"/>
                <w:color w:val="000000"/>
                <w:lang w:val="en-US"/>
              </w:rPr>
            </w:pPr>
            <w:r w:rsidRPr="00F45A80">
              <w:rPr>
                <w:rFonts w:cs="Calibri"/>
                <w:color w:val="000000"/>
                <w:lang w:val="en-US"/>
              </w:rPr>
              <w:t>Textile sector</w:t>
            </w:r>
          </w:p>
        </w:tc>
        <w:tc>
          <w:tcPr>
            <w:tcW w:w="14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color w:val="000000"/>
              </w:rPr>
            </w:pPr>
            <w:r w:rsidRPr="00C92486">
              <w:rPr>
                <w:rFonts w:asciiTheme="minorHAnsi" w:hAnsiTheme="minorHAnsi" w:cstheme="minorHAnsi"/>
                <w:color w:val="000000"/>
              </w:rPr>
              <w:t>132,2</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0366DF" w:rsidRPr="00C92486" w:rsidRDefault="000366DF" w:rsidP="000366DF">
            <w:pPr>
              <w:spacing w:before="120" w:after="120"/>
              <w:jc w:val="center"/>
              <w:rPr>
                <w:rFonts w:asciiTheme="minorHAnsi" w:hAnsiTheme="minorHAnsi" w:cstheme="minorHAnsi"/>
                <w:color w:val="000000"/>
              </w:rPr>
            </w:pPr>
            <w:r w:rsidRPr="00C92486">
              <w:rPr>
                <w:rFonts w:asciiTheme="minorHAnsi" w:hAnsiTheme="minorHAnsi" w:cstheme="minorHAnsi"/>
                <w:color w:val="000000"/>
              </w:rPr>
              <w:t>162,7</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C92486" w:rsidRDefault="000366DF" w:rsidP="000366DF">
            <w:pPr>
              <w:spacing w:before="120" w:after="120"/>
              <w:jc w:val="center"/>
              <w:rPr>
                <w:rFonts w:asciiTheme="minorHAnsi" w:hAnsiTheme="minorHAnsi" w:cstheme="minorHAnsi"/>
                <w:color w:val="000000"/>
              </w:rPr>
            </w:pPr>
            <w:r w:rsidRPr="00C92486">
              <w:rPr>
                <w:rFonts w:asciiTheme="minorHAnsi" w:hAnsiTheme="minorHAnsi" w:cstheme="minorHAnsi"/>
                <w:color w:val="000000"/>
                <w:lang w:val="en-US"/>
              </w:rPr>
              <w:t>2</w:t>
            </w:r>
            <w:r w:rsidRPr="00C92486">
              <w:rPr>
                <w:rFonts w:asciiTheme="minorHAnsi" w:hAnsiTheme="minorHAnsi" w:cstheme="minorHAnsi"/>
                <w:color w:val="000000"/>
              </w:rPr>
              <w:t>48</w:t>
            </w:r>
            <w:r w:rsidRPr="00C92486">
              <w:rPr>
                <w:rFonts w:asciiTheme="minorHAnsi" w:hAnsiTheme="minorHAnsi" w:cstheme="minorHAnsi"/>
                <w:color w:val="000000"/>
                <w:lang w:val="en-US"/>
              </w:rPr>
              <w:t>,</w:t>
            </w:r>
            <w:r w:rsidRPr="00C92486">
              <w:rPr>
                <w:rFonts w:asciiTheme="minorHAnsi" w:hAnsiTheme="minorHAnsi" w:cstheme="minorHAnsi"/>
                <w:color w:val="000000"/>
              </w:rPr>
              <w:t>8</w:t>
            </w:r>
          </w:p>
        </w:tc>
        <w:tc>
          <w:tcPr>
            <w:tcW w:w="12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color w:val="000000"/>
              </w:rPr>
            </w:pPr>
            <w:r w:rsidRPr="00C92486">
              <w:rPr>
                <w:rFonts w:asciiTheme="minorHAnsi" w:hAnsiTheme="minorHAnsi" w:cstheme="minorHAnsi"/>
                <w:color w:val="000000"/>
              </w:rPr>
              <w:t>1%</w:t>
            </w:r>
          </w:p>
        </w:tc>
        <w:tc>
          <w:tcPr>
            <w:tcW w:w="16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color w:val="000000"/>
              </w:rPr>
            </w:pPr>
            <w:r w:rsidRPr="00C92486">
              <w:rPr>
                <w:rFonts w:asciiTheme="minorHAnsi" w:hAnsiTheme="minorHAnsi" w:cstheme="minorHAnsi"/>
                <w:color w:val="000000"/>
              </w:rPr>
              <w:t>86,1</w:t>
            </w:r>
          </w:p>
        </w:tc>
      </w:tr>
      <w:tr w:rsidR="000366DF" w:rsidRPr="00F45A80" w:rsidTr="007A7115">
        <w:trPr>
          <w:trHeight w:val="300"/>
          <w:jc w:val="center"/>
        </w:trPr>
        <w:tc>
          <w:tcPr>
            <w:tcW w:w="2700" w:type="dxa"/>
            <w:shd w:val="clear" w:color="auto" w:fill="auto"/>
            <w:noWrap/>
            <w:vAlign w:val="center"/>
          </w:tcPr>
          <w:p w:rsidR="000366DF" w:rsidRPr="00F45A80" w:rsidRDefault="000366DF" w:rsidP="000366DF">
            <w:pPr>
              <w:spacing w:before="120" w:after="120"/>
              <w:rPr>
                <w:rFonts w:cs="Calibri"/>
                <w:color w:val="000000"/>
                <w:lang w:val="en-US"/>
              </w:rPr>
            </w:pPr>
            <w:r w:rsidRPr="00F45A80">
              <w:rPr>
                <w:rFonts w:cs="Calibri"/>
                <w:color w:val="000000"/>
                <w:lang w:val="en-US"/>
              </w:rPr>
              <w:t>Other sectors</w:t>
            </w:r>
          </w:p>
        </w:tc>
        <w:tc>
          <w:tcPr>
            <w:tcW w:w="14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color w:val="000000"/>
              </w:rPr>
            </w:pPr>
            <w:r w:rsidRPr="00C92486">
              <w:rPr>
                <w:rFonts w:asciiTheme="minorHAnsi" w:hAnsiTheme="minorHAnsi" w:cstheme="minorHAnsi"/>
                <w:color w:val="000000"/>
              </w:rPr>
              <w:t>463,4</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0366DF" w:rsidRPr="00C92486" w:rsidRDefault="000366DF" w:rsidP="000366DF">
            <w:pPr>
              <w:spacing w:before="120" w:after="120"/>
              <w:jc w:val="center"/>
              <w:rPr>
                <w:rFonts w:asciiTheme="minorHAnsi" w:hAnsiTheme="minorHAnsi" w:cstheme="minorHAnsi"/>
                <w:color w:val="000000"/>
              </w:rPr>
            </w:pPr>
            <w:r w:rsidRPr="00C92486">
              <w:rPr>
                <w:rFonts w:asciiTheme="minorHAnsi" w:hAnsiTheme="minorHAnsi" w:cstheme="minorHAnsi"/>
                <w:color w:val="000000"/>
              </w:rPr>
              <w:t>601,6</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C92486" w:rsidRDefault="000366DF" w:rsidP="000366DF">
            <w:pPr>
              <w:spacing w:before="120" w:after="120"/>
              <w:jc w:val="center"/>
              <w:rPr>
                <w:rFonts w:asciiTheme="minorHAnsi" w:hAnsiTheme="minorHAnsi" w:cstheme="minorHAnsi"/>
                <w:color w:val="000000"/>
              </w:rPr>
            </w:pPr>
            <w:r w:rsidRPr="00C92486">
              <w:rPr>
                <w:rFonts w:asciiTheme="minorHAnsi" w:hAnsiTheme="minorHAnsi" w:cstheme="minorHAnsi"/>
                <w:color w:val="000000"/>
              </w:rPr>
              <w:t>1 335</w:t>
            </w:r>
            <w:r w:rsidRPr="00C92486">
              <w:rPr>
                <w:rFonts w:asciiTheme="minorHAnsi" w:hAnsiTheme="minorHAnsi" w:cstheme="minorHAnsi"/>
                <w:color w:val="000000"/>
                <w:lang w:val="en-US"/>
              </w:rPr>
              <w:t>,</w:t>
            </w:r>
            <w:r w:rsidRPr="00C92486">
              <w:rPr>
                <w:rFonts w:asciiTheme="minorHAnsi" w:hAnsiTheme="minorHAnsi" w:cstheme="minorHAnsi"/>
                <w:color w:val="000000"/>
              </w:rPr>
              <w:t>2</w:t>
            </w:r>
          </w:p>
        </w:tc>
        <w:tc>
          <w:tcPr>
            <w:tcW w:w="12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color w:val="000000"/>
              </w:rPr>
            </w:pPr>
            <w:r w:rsidRPr="00C92486">
              <w:rPr>
                <w:rFonts w:asciiTheme="minorHAnsi" w:hAnsiTheme="minorHAnsi" w:cstheme="minorHAnsi"/>
                <w:color w:val="000000"/>
              </w:rPr>
              <w:t>4%</w:t>
            </w:r>
          </w:p>
        </w:tc>
        <w:tc>
          <w:tcPr>
            <w:tcW w:w="16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0366DF" w:rsidRPr="00C92486" w:rsidRDefault="000366DF" w:rsidP="000366DF">
            <w:pPr>
              <w:spacing w:before="120" w:after="120"/>
              <w:jc w:val="center"/>
              <w:rPr>
                <w:rFonts w:asciiTheme="minorHAnsi" w:hAnsiTheme="minorHAnsi" w:cstheme="minorHAnsi"/>
                <w:color w:val="000000"/>
                <w:lang w:val="en-US"/>
              </w:rPr>
            </w:pPr>
            <w:r w:rsidRPr="00C92486">
              <w:rPr>
                <w:rFonts w:asciiTheme="minorHAnsi" w:hAnsiTheme="minorHAnsi" w:cstheme="minorHAnsi"/>
                <w:color w:val="000000"/>
              </w:rPr>
              <w:t>733,</w:t>
            </w:r>
            <w:r w:rsidRPr="00C92486">
              <w:rPr>
                <w:rFonts w:asciiTheme="minorHAnsi" w:hAnsiTheme="minorHAnsi" w:cstheme="minorHAnsi"/>
                <w:color w:val="000000"/>
                <w:lang w:val="en-US"/>
              </w:rPr>
              <w:t>5</w:t>
            </w:r>
          </w:p>
        </w:tc>
      </w:tr>
    </w:tbl>
    <w:p w:rsidR="009B4D0A" w:rsidRDefault="009B4D0A" w:rsidP="006B50A3">
      <w:pPr>
        <w:jc w:val="right"/>
        <w:rPr>
          <w:lang w:val="en-US"/>
        </w:rPr>
      </w:pPr>
    </w:p>
    <w:p w:rsidR="009B4D0A" w:rsidRDefault="009B4D0A" w:rsidP="006B50A3">
      <w:pPr>
        <w:jc w:val="right"/>
        <w:rPr>
          <w:lang w:val="en-US"/>
        </w:rPr>
      </w:pPr>
    </w:p>
    <w:p w:rsidR="009B4D0A" w:rsidRDefault="009B4D0A" w:rsidP="006B50A3">
      <w:pPr>
        <w:jc w:val="right"/>
        <w:rPr>
          <w:lang w:val="en-US"/>
        </w:rPr>
      </w:pPr>
    </w:p>
    <w:p w:rsidR="009B4D0A" w:rsidRDefault="009B4D0A" w:rsidP="006B50A3">
      <w:pPr>
        <w:jc w:val="right"/>
        <w:rPr>
          <w:lang w:val="en-US"/>
        </w:rPr>
      </w:pPr>
    </w:p>
    <w:p w:rsidR="001760FA" w:rsidRPr="00163BCC" w:rsidRDefault="00767E24" w:rsidP="006B50A3">
      <w:pPr>
        <w:jc w:val="right"/>
        <w:rPr>
          <w:lang w:val="en-US"/>
        </w:rPr>
      </w:pPr>
      <w:r w:rsidRPr="00163BCC">
        <w:rPr>
          <w:lang w:val="en-US"/>
        </w:rPr>
        <w:t>Table</w:t>
      </w:r>
      <w:r w:rsidR="001760FA" w:rsidRPr="00163BCC">
        <w:rPr>
          <w:lang w:val="en-US"/>
        </w:rPr>
        <w:t xml:space="preserve"> </w:t>
      </w:r>
      <w:r w:rsidR="000366DF">
        <w:rPr>
          <w:lang w:val="en-US"/>
        </w:rPr>
        <w:t>5</w:t>
      </w:r>
    </w:p>
    <w:p w:rsidR="006B50A3" w:rsidRPr="00F45A80" w:rsidRDefault="006B50A3" w:rsidP="006B50A3">
      <w:pPr>
        <w:jc w:val="right"/>
        <w:rPr>
          <w:highlight w:val="yellow"/>
          <w:lang w:val="en-US"/>
        </w:rPr>
      </w:pPr>
    </w:p>
    <w:p w:rsidR="00767E24" w:rsidRPr="00CF4FF0" w:rsidRDefault="00767E24" w:rsidP="00767E24">
      <w:pPr>
        <w:jc w:val="center"/>
        <w:rPr>
          <w:rFonts w:cs="Calibri"/>
          <w:b/>
          <w:sz w:val="28"/>
          <w:szCs w:val="26"/>
          <w:lang w:val="en-US"/>
        </w:rPr>
      </w:pPr>
      <w:r w:rsidRPr="00CF4FF0">
        <w:rPr>
          <w:rFonts w:cs="Calibri"/>
          <w:b/>
          <w:sz w:val="28"/>
          <w:szCs w:val="26"/>
          <w:lang w:val="en-US"/>
        </w:rPr>
        <w:t>THE STRUCTURE OF EXTERNAL DEBT ON THE BASIS OF MATURITY</w:t>
      </w:r>
      <w:r w:rsidRPr="00CF4FF0">
        <w:rPr>
          <w:rStyle w:val="a9"/>
          <w:rFonts w:cs="Calibri"/>
          <w:b/>
          <w:sz w:val="28"/>
          <w:szCs w:val="26"/>
          <w:lang w:val="en-US"/>
        </w:rPr>
        <w:footnoteReference w:id="14"/>
      </w:r>
    </w:p>
    <w:p w:rsidR="00767E24" w:rsidRPr="00F45A80" w:rsidRDefault="00767E24" w:rsidP="00767E24">
      <w:pPr>
        <w:jc w:val="center"/>
        <w:rPr>
          <w:rFonts w:cs="Calibri"/>
          <w:i/>
          <w:lang w:val="en-US"/>
        </w:rPr>
      </w:pPr>
      <w:r w:rsidRPr="00F45A80">
        <w:rPr>
          <w:rFonts w:cs="Calibri"/>
          <w:i/>
          <w:lang w:val="en-US"/>
        </w:rPr>
        <w:t xml:space="preserve">(as of </w:t>
      </w:r>
      <w:r w:rsidR="00A94B6B">
        <w:rPr>
          <w:rFonts w:cs="Calibri"/>
          <w:i/>
          <w:lang w:val="en-US"/>
        </w:rPr>
        <w:t>January</w:t>
      </w:r>
      <w:r w:rsidRPr="00F45A80">
        <w:rPr>
          <w:rFonts w:cs="Calibri"/>
          <w:i/>
          <w:lang w:val="en-US"/>
        </w:rPr>
        <w:t xml:space="preserve"> 1, 20</w:t>
      </w:r>
      <w:r w:rsidR="0083677F">
        <w:rPr>
          <w:rFonts w:cs="Calibri"/>
          <w:i/>
          <w:lang w:val="en-US"/>
        </w:rPr>
        <w:t>2</w:t>
      </w:r>
      <w:r w:rsidR="00A94B6B">
        <w:rPr>
          <w:rFonts w:cs="Calibri"/>
          <w:i/>
          <w:lang w:val="en-US"/>
        </w:rPr>
        <w:t>1</w:t>
      </w:r>
      <w:r w:rsidRPr="00F45A80">
        <w:rPr>
          <w:rFonts w:cs="Calibri"/>
          <w:i/>
          <w:lang w:val="en-US"/>
        </w:rPr>
        <w:t>)</w:t>
      </w:r>
    </w:p>
    <w:p w:rsidR="001760FA" w:rsidRPr="00F45A80" w:rsidRDefault="001760FA" w:rsidP="001760FA">
      <w:pPr>
        <w:ind w:firstLine="709"/>
        <w:jc w:val="center"/>
        <w:rPr>
          <w:i/>
          <w:lang w:val="en-US"/>
        </w:rPr>
      </w:pPr>
    </w:p>
    <w:tbl>
      <w:tblPr>
        <w:tblW w:w="9923"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407"/>
        <w:gridCol w:w="3256"/>
        <w:gridCol w:w="3260"/>
      </w:tblGrid>
      <w:tr w:rsidR="00767E24" w:rsidRPr="00F45A80" w:rsidTr="00F724F9">
        <w:trPr>
          <w:trHeight w:val="761"/>
          <w:jc w:val="center"/>
        </w:trPr>
        <w:tc>
          <w:tcPr>
            <w:tcW w:w="3407" w:type="dxa"/>
            <w:shd w:val="clear" w:color="auto" w:fill="BDD6EE" w:themeFill="accent1" w:themeFillTint="66"/>
            <w:vAlign w:val="center"/>
          </w:tcPr>
          <w:p w:rsidR="00767E24" w:rsidRPr="00F45A80" w:rsidRDefault="00767E24" w:rsidP="00767E24">
            <w:pPr>
              <w:ind w:left="604"/>
              <w:rPr>
                <w:rFonts w:cs="Calibri"/>
                <w:b/>
                <w:lang w:val="en-US"/>
              </w:rPr>
            </w:pPr>
            <w:r w:rsidRPr="00F45A80">
              <w:rPr>
                <w:rFonts w:cs="Calibri"/>
                <w:b/>
                <w:lang w:val="en-US"/>
              </w:rPr>
              <w:t>Maturity</w:t>
            </w:r>
          </w:p>
        </w:tc>
        <w:tc>
          <w:tcPr>
            <w:tcW w:w="3256" w:type="dxa"/>
            <w:shd w:val="clear" w:color="auto" w:fill="BDD6EE" w:themeFill="accent1" w:themeFillTint="66"/>
            <w:vAlign w:val="center"/>
          </w:tcPr>
          <w:p w:rsidR="00767E24" w:rsidRPr="00F45A80" w:rsidRDefault="00767E24" w:rsidP="00767E24">
            <w:pPr>
              <w:spacing w:after="40"/>
              <w:jc w:val="center"/>
              <w:rPr>
                <w:rFonts w:cs="Calibri"/>
                <w:b/>
                <w:lang w:val="en-US"/>
              </w:rPr>
            </w:pPr>
            <w:r w:rsidRPr="00F45A80">
              <w:rPr>
                <w:rFonts w:cs="Calibri"/>
                <w:b/>
                <w:lang w:val="en-US"/>
              </w:rPr>
              <w:t>Amount</w:t>
            </w:r>
            <w:r w:rsidR="00CF02A4" w:rsidRPr="00F45A80">
              <w:rPr>
                <w:rFonts w:cs="Calibri"/>
                <w:b/>
                <w:lang w:val="en-US"/>
              </w:rPr>
              <w:t xml:space="preserve"> of</w:t>
            </w:r>
            <w:r w:rsidRPr="00F45A80">
              <w:rPr>
                <w:rFonts w:cs="Calibri"/>
                <w:b/>
                <w:lang w:val="en-US"/>
              </w:rPr>
              <w:t xml:space="preserve"> debt</w:t>
            </w:r>
          </w:p>
          <w:p w:rsidR="00767E24" w:rsidRPr="00F45A80" w:rsidRDefault="00767E24" w:rsidP="00497BD9">
            <w:pPr>
              <w:spacing w:after="40"/>
              <w:jc w:val="center"/>
              <w:rPr>
                <w:rFonts w:cs="Calibri"/>
                <w:i/>
                <w:lang w:val="en-US"/>
              </w:rPr>
            </w:pPr>
            <w:r w:rsidRPr="00F45A80">
              <w:rPr>
                <w:rFonts w:cs="Calibri"/>
                <w:i/>
                <w:lang w:val="en-US"/>
              </w:rPr>
              <w:t>(</w:t>
            </w:r>
            <w:r w:rsidR="00497BD9" w:rsidRPr="00F45A80">
              <w:rPr>
                <w:rFonts w:cs="Calibri"/>
                <w:i/>
                <w:lang w:val="en-US"/>
              </w:rPr>
              <w:t xml:space="preserve">mln. </w:t>
            </w:r>
            <w:r w:rsidRPr="00F45A80">
              <w:rPr>
                <w:rFonts w:cs="Calibri"/>
                <w:i/>
                <w:lang w:val="en-US"/>
              </w:rPr>
              <w:t>USD)</w:t>
            </w:r>
          </w:p>
        </w:tc>
        <w:tc>
          <w:tcPr>
            <w:tcW w:w="3260" w:type="dxa"/>
            <w:shd w:val="clear" w:color="auto" w:fill="BDD6EE" w:themeFill="accent1" w:themeFillTint="66"/>
            <w:vAlign w:val="center"/>
          </w:tcPr>
          <w:p w:rsidR="00767E24" w:rsidRPr="00F45A80" w:rsidRDefault="00767E24" w:rsidP="00767E24">
            <w:pPr>
              <w:spacing w:after="40"/>
              <w:jc w:val="center"/>
              <w:rPr>
                <w:rFonts w:cs="Calibri"/>
                <w:b/>
                <w:i/>
                <w:lang w:val="en-US"/>
              </w:rPr>
            </w:pPr>
            <w:r w:rsidRPr="00F45A80">
              <w:rPr>
                <w:rFonts w:cs="Calibri"/>
                <w:b/>
                <w:lang w:val="en-US"/>
              </w:rPr>
              <w:t>Share</w:t>
            </w:r>
          </w:p>
          <w:p w:rsidR="00767E24" w:rsidRPr="00F45A80" w:rsidRDefault="00767E24" w:rsidP="00F761DA">
            <w:pPr>
              <w:spacing w:after="40"/>
              <w:jc w:val="center"/>
              <w:rPr>
                <w:rFonts w:cs="Calibri"/>
                <w:i/>
                <w:lang w:val="en-US"/>
              </w:rPr>
            </w:pPr>
            <w:r w:rsidRPr="00F45A80">
              <w:rPr>
                <w:rFonts w:cs="Calibri"/>
                <w:i/>
                <w:lang w:val="en-US"/>
              </w:rPr>
              <w:t>(in %)</w:t>
            </w:r>
          </w:p>
        </w:tc>
      </w:tr>
      <w:tr w:rsidR="000366DF" w:rsidRPr="00F45A80" w:rsidTr="00F724F9">
        <w:trPr>
          <w:trHeight w:val="495"/>
          <w:jc w:val="center"/>
        </w:trPr>
        <w:tc>
          <w:tcPr>
            <w:tcW w:w="3407" w:type="dxa"/>
            <w:shd w:val="clear" w:color="auto" w:fill="auto"/>
            <w:vAlign w:val="center"/>
          </w:tcPr>
          <w:p w:rsidR="000366DF" w:rsidRPr="00F45A80" w:rsidRDefault="000366DF" w:rsidP="000366DF">
            <w:pPr>
              <w:ind w:left="604"/>
              <w:rPr>
                <w:rFonts w:cs="Calibri"/>
                <w:lang w:val="en-US"/>
              </w:rPr>
            </w:pPr>
            <w:r w:rsidRPr="00F45A80">
              <w:rPr>
                <w:rFonts w:cs="Calibri"/>
                <w:lang w:val="en-US"/>
              </w:rPr>
              <w:t>up to 1 year</w:t>
            </w:r>
          </w:p>
        </w:tc>
        <w:tc>
          <w:tcPr>
            <w:tcW w:w="32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C92486" w:rsidRDefault="000366DF" w:rsidP="000366DF">
            <w:pPr>
              <w:ind w:left="447" w:right="1170"/>
              <w:jc w:val="right"/>
              <w:rPr>
                <w:rFonts w:asciiTheme="minorHAnsi" w:hAnsiTheme="minorHAnsi" w:cstheme="minorHAnsi"/>
              </w:rPr>
            </w:pPr>
            <w:r w:rsidRPr="00C92486">
              <w:rPr>
                <w:rFonts w:asciiTheme="minorHAnsi" w:hAnsiTheme="minorHAnsi" w:cstheme="minorHAnsi"/>
              </w:rPr>
              <w:t>1 624,4</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C92486" w:rsidRDefault="000366DF" w:rsidP="000366DF">
            <w:pPr>
              <w:ind w:left="447" w:right="1170"/>
              <w:jc w:val="right"/>
              <w:rPr>
                <w:rFonts w:asciiTheme="minorHAnsi" w:hAnsiTheme="minorHAnsi" w:cstheme="minorHAnsi"/>
              </w:rPr>
            </w:pPr>
            <w:r w:rsidRPr="00C92486">
              <w:rPr>
                <w:rFonts w:asciiTheme="minorHAnsi" w:hAnsiTheme="minorHAnsi" w:cstheme="minorHAnsi"/>
              </w:rPr>
              <w:t>4,8%</w:t>
            </w:r>
          </w:p>
        </w:tc>
      </w:tr>
      <w:tr w:rsidR="000366DF" w:rsidRPr="00F45A80" w:rsidTr="00F724F9">
        <w:trPr>
          <w:trHeight w:val="495"/>
          <w:jc w:val="center"/>
        </w:trPr>
        <w:tc>
          <w:tcPr>
            <w:tcW w:w="3407" w:type="dxa"/>
            <w:shd w:val="clear" w:color="auto" w:fill="auto"/>
            <w:vAlign w:val="center"/>
          </w:tcPr>
          <w:p w:rsidR="000366DF" w:rsidRPr="00F45A80" w:rsidRDefault="000366DF" w:rsidP="000366DF">
            <w:pPr>
              <w:ind w:left="604"/>
              <w:rPr>
                <w:rFonts w:cs="Calibri"/>
                <w:lang w:val="en-US"/>
              </w:rPr>
            </w:pPr>
            <w:r w:rsidRPr="00F45A80">
              <w:rPr>
                <w:rFonts w:cs="Calibri"/>
                <w:lang w:val="en-US"/>
              </w:rPr>
              <w:t>from 1 to 5 years</w:t>
            </w:r>
          </w:p>
        </w:tc>
        <w:tc>
          <w:tcPr>
            <w:tcW w:w="32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C92486" w:rsidRDefault="000366DF" w:rsidP="000366DF">
            <w:pPr>
              <w:ind w:left="447" w:right="1170"/>
              <w:jc w:val="right"/>
              <w:rPr>
                <w:rFonts w:asciiTheme="minorHAnsi" w:hAnsiTheme="minorHAnsi" w:cstheme="minorHAnsi"/>
              </w:rPr>
            </w:pPr>
            <w:r w:rsidRPr="00C92486">
              <w:rPr>
                <w:rFonts w:asciiTheme="minorHAnsi" w:hAnsiTheme="minorHAnsi" w:cstheme="minorHAnsi"/>
              </w:rPr>
              <w:t>5 745,9</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C92486" w:rsidRDefault="000366DF" w:rsidP="000366DF">
            <w:pPr>
              <w:ind w:left="447" w:right="1170"/>
              <w:jc w:val="right"/>
              <w:rPr>
                <w:rFonts w:asciiTheme="minorHAnsi" w:hAnsiTheme="minorHAnsi" w:cstheme="minorHAnsi"/>
              </w:rPr>
            </w:pPr>
            <w:r w:rsidRPr="00C92486">
              <w:rPr>
                <w:rFonts w:asciiTheme="minorHAnsi" w:hAnsiTheme="minorHAnsi" w:cstheme="minorHAnsi"/>
              </w:rPr>
              <w:t>17,</w:t>
            </w:r>
            <w:r w:rsidRPr="00C92486">
              <w:rPr>
                <w:rFonts w:asciiTheme="minorHAnsi" w:hAnsiTheme="minorHAnsi" w:cstheme="minorHAnsi"/>
                <w:lang w:val="en-US"/>
              </w:rPr>
              <w:t>0</w:t>
            </w:r>
            <w:r w:rsidRPr="00C92486">
              <w:rPr>
                <w:rFonts w:asciiTheme="minorHAnsi" w:hAnsiTheme="minorHAnsi" w:cstheme="minorHAnsi"/>
              </w:rPr>
              <w:t>%</w:t>
            </w:r>
          </w:p>
        </w:tc>
      </w:tr>
      <w:tr w:rsidR="000366DF" w:rsidRPr="00F45A80" w:rsidTr="00F724F9">
        <w:trPr>
          <w:trHeight w:val="495"/>
          <w:jc w:val="center"/>
        </w:trPr>
        <w:tc>
          <w:tcPr>
            <w:tcW w:w="3407" w:type="dxa"/>
            <w:shd w:val="clear" w:color="auto" w:fill="auto"/>
            <w:vAlign w:val="center"/>
          </w:tcPr>
          <w:p w:rsidR="000366DF" w:rsidRPr="00F45A80" w:rsidRDefault="000366DF" w:rsidP="000366DF">
            <w:pPr>
              <w:ind w:left="604"/>
              <w:rPr>
                <w:rFonts w:cs="Calibri"/>
                <w:lang w:val="en-US"/>
              </w:rPr>
            </w:pPr>
            <w:r w:rsidRPr="00F45A80">
              <w:rPr>
                <w:rFonts w:cs="Calibri"/>
                <w:lang w:val="en-US"/>
              </w:rPr>
              <w:t>from 5 to 10 years</w:t>
            </w:r>
          </w:p>
        </w:tc>
        <w:tc>
          <w:tcPr>
            <w:tcW w:w="32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C92486" w:rsidRDefault="000366DF" w:rsidP="000366DF">
            <w:pPr>
              <w:ind w:left="447" w:right="1170"/>
              <w:jc w:val="right"/>
              <w:rPr>
                <w:rFonts w:asciiTheme="minorHAnsi" w:hAnsiTheme="minorHAnsi" w:cstheme="minorHAnsi"/>
              </w:rPr>
            </w:pPr>
            <w:r w:rsidRPr="00C92486">
              <w:rPr>
                <w:rFonts w:asciiTheme="minorHAnsi" w:hAnsiTheme="minorHAnsi" w:cstheme="minorHAnsi"/>
              </w:rPr>
              <w:t>3 446,8</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C92486" w:rsidRDefault="000366DF" w:rsidP="000366DF">
            <w:pPr>
              <w:ind w:left="447" w:right="1170"/>
              <w:jc w:val="right"/>
              <w:rPr>
                <w:rFonts w:asciiTheme="minorHAnsi" w:hAnsiTheme="minorHAnsi" w:cstheme="minorHAnsi"/>
              </w:rPr>
            </w:pPr>
            <w:r w:rsidRPr="00C92486">
              <w:rPr>
                <w:rFonts w:asciiTheme="minorHAnsi" w:hAnsiTheme="minorHAnsi" w:cstheme="minorHAnsi"/>
              </w:rPr>
              <w:t>10,2%</w:t>
            </w:r>
          </w:p>
        </w:tc>
      </w:tr>
      <w:tr w:rsidR="000366DF" w:rsidRPr="00F45A80" w:rsidTr="00F724F9">
        <w:trPr>
          <w:trHeight w:val="495"/>
          <w:jc w:val="center"/>
        </w:trPr>
        <w:tc>
          <w:tcPr>
            <w:tcW w:w="3407" w:type="dxa"/>
            <w:shd w:val="clear" w:color="auto" w:fill="auto"/>
            <w:vAlign w:val="center"/>
          </w:tcPr>
          <w:p w:rsidR="000366DF" w:rsidRPr="00F45A80" w:rsidRDefault="000366DF" w:rsidP="000366DF">
            <w:pPr>
              <w:ind w:left="604"/>
              <w:rPr>
                <w:rFonts w:cs="Calibri"/>
                <w:lang w:val="en-US"/>
              </w:rPr>
            </w:pPr>
            <w:r w:rsidRPr="00F45A80">
              <w:rPr>
                <w:rFonts w:cs="Calibri"/>
                <w:lang w:val="en-US"/>
              </w:rPr>
              <w:t>more than 10 years</w:t>
            </w:r>
          </w:p>
        </w:tc>
        <w:tc>
          <w:tcPr>
            <w:tcW w:w="32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C92486" w:rsidRDefault="000366DF" w:rsidP="000366DF">
            <w:pPr>
              <w:ind w:left="447" w:right="1170"/>
              <w:jc w:val="right"/>
              <w:rPr>
                <w:rFonts w:asciiTheme="minorHAnsi" w:hAnsiTheme="minorHAnsi" w:cstheme="minorHAnsi"/>
                <w:lang w:val="en-US"/>
              </w:rPr>
            </w:pPr>
            <w:r w:rsidRPr="00C92486">
              <w:rPr>
                <w:rFonts w:asciiTheme="minorHAnsi" w:hAnsiTheme="minorHAnsi" w:cstheme="minorHAnsi"/>
              </w:rPr>
              <w:t>2</w:t>
            </w:r>
            <w:r w:rsidRPr="00C92486">
              <w:rPr>
                <w:rFonts w:asciiTheme="minorHAnsi" w:hAnsiTheme="minorHAnsi" w:cstheme="minorHAnsi"/>
                <w:lang w:val="en-US"/>
              </w:rPr>
              <w:t>3</w:t>
            </w:r>
            <w:r w:rsidRPr="00C92486">
              <w:rPr>
                <w:rFonts w:asciiTheme="minorHAnsi" w:hAnsiTheme="minorHAnsi" w:cstheme="minorHAnsi"/>
              </w:rPr>
              <w:t xml:space="preserve"> </w:t>
            </w:r>
            <w:r w:rsidRPr="00C92486">
              <w:rPr>
                <w:rFonts w:asciiTheme="minorHAnsi" w:hAnsiTheme="minorHAnsi" w:cstheme="minorHAnsi"/>
                <w:lang w:val="en-US"/>
              </w:rPr>
              <w:t>024</w:t>
            </w:r>
            <w:r w:rsidRPr="00C92486">
              <w:rPr>
                <w:rFonts w:asciiTheme="minorHAnsi" w:hAnsiTheme="minorHAnsi" w:cstheme="minorHAnsi"/>
              </w:rPr>
              <w:t>,</w:t>
            </w:r>
            <w:r w:rsidRPr="00C92486">
              <w:rPr>
                <w:rFonts w:asciiTheme="minorHAnsi" w:hAnsiTheme="minorHAnsi" w:cstheme="minorHAnsi"/>
                <w:lang w:val="en-US"/>
              </w:rPr>
              <w:t>8</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C92486" w:rsidRDefault="000366DF" w:rsidP="000366DF">
            <w:pPr>
              <w:ind w:left="447" w:right="1170"/>
              <w:jc w:val="right"/>
              <w:rPr>
                <w:rFonts w:asciiTheme="minorHAnsi" w:hAnsiTheme="minorHAnsi" w:cstheme="minorHAnsi"/>
              </w:rPr>
            </w:pPr>
            <w:r w:rsidRPr="00C92486">
              <w:rPr>
                <w:rFonts w:asciiTheme="minorHAnsi" w:hAnsiTheme="minorHAnsi" w:cstheme="minorHAnsi"/>
              </w:rPr>
              <w:t>6</w:t>
            </w:r>
            <w:r w:rsidRPr="00C92486">
              <w:rPr>
                <w:rFonts w:asciiTheme="minorHAnsi" w:hAnsiTheme="minorHAnsi" w:cstheme="minorHAnsi"/>
                <w:lang w:val="en-US"/>
              </w:rPr>
              <w:t>8</w:t>
            </w:r>
            <w:r w:rsidRPr="00C92486">
              <w:rPr>
                <w:rFonts w:asciiTheme="minorHAnsi" w:hAnsiTheme="minorHAnsi" w:cstheme="minorHAnsi"/>
              </w:rPr>
              <w:t>,</w:t>
            </w:r>
            <w:r w:rsidRPr="00C92486">
              <w:rPr>
                <w:rFonts w:asciiTheme="minorHAnsi" w:hAnsiTheme="minorHAnsi" w:cstheme="minorHAnsi"/>
                <w:lang w:val="en-US"/>
              </w:rPr>
              <w:t>0</w:t>
            </w:r>
            <w:r w:rsidRPr="00C92486">
              <w:rPr>
                <w:rFonts w:asciiTheme="minorHAnsi" w:hAnsiTheme="minorHAnsi" w:cstheme="minorHAnsi"/>
              </w:rPr>
              <w:t>%</w:t>
            </w:r>
          </w:p>
        </w:tc>
      </w:tr>
      <w:tr w:rsidR="000366DF" w:rsidRPr="00F45A80" w:rsidTr="00F724F9">
        <w:trPr>
          <w:trHeight w:val="464"/>
          <w:jc w:val="center"/>
        </w:trPr>
        <w:tc>
          <w:tcPr>
            <w:tcW w:w="3407" w:type="dxa"/>
            <w:shd w:val="clear" w:color="auto" w:fill="auto"/>
            <w:vAlign w:val="center"/>
          </w:tcPr>
          <w:p w:rsidR="000366DF" w:rsidRPr="00F45A80" w:rsidRDefault="000366DF" w:rsidP="000366DF">
            <w:pPr>
              <w:ind w:left="600"/>
              <w:rPr>
                <w:b/>
                <w:lang w:val="en-US"/>
              </w:rPr>
            </w:pPr>
            <w:r w:rsidRPr="00F45A80">
              <w:rPr>
                <w:rFonts w:cs="Calibri"/>
                <w:b/>
                <w:lang w:val="en-US"/>
              </w:rPr>
              <w:t>Total:</w:t>
            </w:r>
          </w:p>
        </w:tc>
        <w:tc>
          <w:tcPr>
            <w:tcW w:w="32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C92486" w:rsidRDefault="000366DF" w:rsidP="000366DF">
            <w:pPr>
              <w:ind w:left="447" w:right="1170"/>
              <w:jc w:val="right"/>
              <w:rPr>
                <w:rFonts w:asciiTheme="minorHAnsi" w:hAnsiTheme="minorHAnsi" w:cstheme="minorHAnsi"/>
                <w:b/>
                <w:lang w:val="en-US"/>
              </w:rPr>
            </w:pPr>
            <w:r w:rsidRPr="00C92486">
              <w:rPr>
                <w:rFonts w:asciiTheme="minorHAnsi" w:hAnsiTheme="minorHAnsi" w:cstheme="minorHAnsi"/>
                <w:b/>
              </w:rPr>
              <w:t xml:space="preserve">33 </w:t>
            </w:r>
            <w:r w:rsidRPr="00C92486">
              <w:rPr>
                <w:rFonts w:asciiTheme="minorHAnsi" w:hAnsiTheme="minorHAnsi" w:cstheme="minorHAnsi"/>
                <w:b/>
                <w:lang w:val="en-US"/>
              </w:rPr>
              <w:t>841</w:t>
            </w:r>
            <w:r w:rsidRPr="00C92486">
              <w:rPr>
                <w:rFonts w:asciiTheme="minorHAnsi" w:hAnsiTheme="minorHAnsi" w:cstheme="minorHAnsi"/>
                <w:b/>
              </w:rPr>
              <w:t>,</w:t>
            </w:r>
            <w:r w:rsidRPr="00C92486">
              <w:rPr>
                <w:rFonts w:asciiTheme="minorHAnsi" w:hAnsiTheme="minorHAnsi" w:cstheme="minorHAnsi"/>
                <w:b/>
                <w:lang w:val="en-US"/>
              </w:rPr>
              <w:t>8</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366DF" w:rsidRPr="00C92486" w:rsidRDefault="000366DF" w:rsidP="000366DF">
            <w:pPr>
              <w:ind w:left="447" w:right="1170"/>
              <w:jc w:val="right"/>
              <w:rPr>
                <w:rFonts w:asciiTheme="minorHAnsi" w:hAnsiTheme="minorHAnsi" w:cstheme="minorHAnsi"/>
                <w:b/>
              </w:rPr>
            </w:pPr>
            <w:r w:rsidRPr="00C92486">
              <w:rPr>
                <w:rFonts w:asciiTheme="minorHAnsi" w:hAnsiTheme="minorHAnsi" w:cstheme="minorHAnsi"/>
                <w:b/>
              </w:rPr>
              <w:t>100%</w:t>
            </w:r>
          </w:p>
        </w:tc>
      </w:tr>
    </w:tbl>
    <w:p w:rsidR="001760FA" w:rsidRPr="00F45A80" w:rsidRDefault="001760FA" w:rsidP="001760FA">
      <w:pPr>
        <w:spacing w:before="120" w:after="120"/>
        <w:ind w:firstLine="709"/>
        <w:jc w:val="both"/>
        <w:rPr>
          <w:highlight w:val="yellow"/>
          <w:lang w:val="en-US"/>
        </w:rPr>
      </w:pPr>
    </w:p>
    <w:p w:rsidR="00497BD9" w:rsidRPr="00F45A80" w:rsidRDefault="007D7C71" w:rsidP="00497BD9">
      <w:pPr>
        <w:spacing w:before="120" w:after="120" w:line="288" w:lineRule="auto"/>
        <w:ind w:firstLine="709"/>
        <w:jc w:val="both"/>
        <w:rPr>
          <w:rFonts w:cs="Calibri"/>
          <w:sz w:val="26"/>
          <w:szCs w:val="26"/>
          <w:lang w:val="en-US"/>
        </w:rPr>
      </w:pPr>
      <w:r w:rsidRPr="00F45A80">
        <w:rPr>
          <w:rFonts w:cs="Calibri"/>
          <w:sz w:val="26"/>
          <w:szCs w:val="26"/>
          <w:lang w:val="en-US"/>
        </w:rPr>
        <w:t xml:space="preserve">Increase </w:t>
      </w:r>
      <w:r>
        <w:rPr>
          <w:rFonts w:cs="Calibri"/>
          <w:sz w:val="26"/>
          <w:szCs w:val="26"/>
          <w:lang w:val="en-US"/>
        </w:rPr>
        <w:t>in</w:t>
      </w:r>
      <w:r w:rsidRPr="00F45A80">
        <w:rPr>
          <w:rFonts w:cs="Calibri"/>
          <w:sz w:val="26"/>
          <w:szCs w:val="26"/>
          <w:lang w:val="en-US"/>
        </w:rPr>
        <w:t xml:space="preserve"> external debt </w:t>
      </w:r>
      <w:r>
        <w:rPr>
          <w:rFonts w:cs="Calibri"/>
          <w:sz w:val="26"/>
          <w:szCs w:val="26"/>
          <w:lang w:val="en-US"/>
        </w:rPr>
        <w:t xml:space="preserve">of the </w:t>
      </w:r>
      <w:r w:rsidRPr="00F45A80">
        <w:rPr>
          <w:rFonts w:cs="Calibri"/>
          <w:sz w:val="26"/>
          <w:szCs w:val="26"/>
          <w:lang w:val="en-US"/>
        </w:rPr>
        <w:t xml:space="preserve">government sector </w:t>
      </w:r>
      <w:r w:rsidR="00D67C16">
        <w:rPr>
          <w:rFonts w:cs="Calibri"/>
          <w:sz w:val="26"/>
          <w:szCs w:val="26"/>
          <w:lang w:val="en-US"/>
        </w:rPr>
        <w:t>for</w:t>
      </w:r>
      <w:r>
        <w:rPr>
          <w:rFonts w:cs="Calibri"/>
          <w:sz w:val="26"/>
          <w:szCs w:val="26"/>
          <w:lang w:val="en-US"/>
        </w:rPr>
        <w:t xml:space="preserve"> 2020</w:t>
      </w:r>
      <w:r w:rsidRPr="00F45A80">
        <w:rPr>
          <w:rFonts w:cs="Calibri"/>
          <w:sz w:val="26"/>
          <w:szCs w:val="26"/>
          <w:lang w:val="en-US"/>
        </w:rPr>
        <w:t xml:space="preserve"> accou</w:t>
      </w:r>
      <w:r>
        <w:rPr>
          <w:rFonts w:cs="Calibri"/>
          <w:sz w:val="26"/>
          <w:szCs w:val="26"/>
          <w:lang w:val="en-US"/>
        </w:rPr>
        <w:t>nted</w:t>
      </w:r>
      <w:r w:rsidRPr="00F45A80">
        <w:rPr>
          <w:rFonts w:cs="Calibri"/>
          <w:sz w:val="26"/>
          <w:szCs w:val="26"/>
          <w:lang w:val="en-US"/>
        </w:rPr>
        <w:t xml:space="preserve"> </w:t>
      </w:r>
      <w:r>
        <w:rPr>
          <w:rFonts w:cs="Calibri"/>
          <w:sz w:val="26"/>
          <w:szCs w:val="26"/>
          <w:lang w:val="en-US"/>
        </w:rPr>
        <w:t xml:space="preserve">for </w:t>
      </w:r>
      <w:r w:rsidR="00900A18">
        <w:rPr>
          <w:rFonts w:cs="Calibri"/>
          <w:sz w:val="26"/>
          <w:szCs w:val="26"/>
          <w:lang w:val="en-US"/>
        </w:rPr>
        <w:br/>
      </w:r>
      <w:r w:rsidRPr="00F45A80">
        <w:rPr>
          <w:rFonts w:cs="Calibri"/>
          <w:sz w:val="26"/>
          <w:szCs w:val="26"/>
          <w:lang w:val="en-US"/>
        </w:rPr>
        <w:t xml:space="preserve">USD </w:t>
      </w:r>
      <w:r w:rsidR="000366DF">
        <w:rPr>
          <w:rFonts w:cs="Calibri"/>
          <w:sz w:val="26"/>
          <w:szCs w:val="26"/>
          <w:lang w:val="en-US"/>
        </w:rPr>
        <w:t>5</w:t>
      </w:r>
      <w:r>
        <w:rPr>
          <w:rFonts w:cs="Calibri"/>
          <w:sz w:val="26"/>
          <w:szCs w:val="26"/>
          <w:lang w:val="en-US"/>
        </w:rPr>
        <w:t>.</w:t>
      </w:r>
      <w:r w:rsidR="000366DF">
        <w:rPr>
          <w:rFonts w:cs="Calibri"/>
          <w:sz w:val="26"/>
          <w:szCs w:val="26"/>
          <w:lang w:val="en-US"/>
        </w:rPr>
        <w:t>5</w:t>
      </w:r>
      <w:r>
        <w:rPr>
          <w:rFonts w:cs="Calibri"/>
          <w:sz w:val="26"/>
          <w:szCs w:val="26"/>
          <w:lang w:val="en-US"/>
        </w:rPr>
        <w:t xml:space="preserve"> billion.</w:t>
      </w:r>
      <w:r w:rsidRPr="00F45A80">
        <w:rPr>
          <w:rFonts w:cs="Calibri"/>
          <w:sz w:val="26"/>
          <w:szCs w:val="26"/>
          <w:lang w:val="en-US"/>
        </w:rPr>
        <w:t xml:space="preserve"> </w:t>
      </w:r>
      <w:r>
        <w:rPr>
          <w:rFonts w:cs="Calibri"/>
          <w:sz w:val="26"/>
          <w:szCs w:val="26"/>
          <w:lang w:val="en-US"/>
        </w:rPr>
        <w:t xml:space="preserve">Due </w:t>
      </w:r>
      <w:r w:rsidRPr="009D3953">
        <w:rPr>
          <w:rFonts w:cs="Calibri"/>
          <w:sz w:val="26"/>
          <w:szCs w:val="26"/>
          <w:lang w:val="en-US"/>
        </w:rPr>
        <w:t>to</w:t>
      </w:r>
      <w:r w:rsidRPr="009D3953">
        <w:rPr>
          <w:sz w:val="26"/>
          <w:szCs w:val="26"/>
          <w:lang w:val="en-US"/>
        </w:rPr>
        <w:t xml:space="preserve"> </w:t>
      </w:r>
      <w:r w:rsidR="00197FC2">
        <w:rPr>
          <w:sz w:val="26"/>
          <w:szCs w:val="26"/>
          <w:lang w:val="en-US"/>
        </w:rPr>
        <w:t>new borrowing new external debts and issuing Eurobonds, nominated in sums and in dollars</w:t>
      </w:r>
      <w:r w:rsidRPr="009D3953">
        <w:rPr>
          <w:sz w:val="26"/>
          <w:szCs w:val="26"/>
          <w:lang w:val="en-US"/>
        </w:rPr>
        <w:t>.</w:t>
      </w:r>
      <w:r w:rsidR="00197FC2">
        <w:rPr>
          <w:sz w:val="26"/>
          <w:szCs w:val="26"/>
          <w:lang w:val="en-US"/>
        </w:rPr>
        <w:t xml:space="preserve"> Liabilities of private sector increased by USD 3.7 billion, due to borrowings of banks.</w:t>
      </w:r>
    </w:p>
    <w:p w:rsidR="00A302C0" w:rsidRPr="00F45A80" w:rsidRDefault="00C27F36" w:rsidP="00497BD9">
      <w:pPr>
        <w:spacing w:before="120" w:after="120" w:line="288" w:lineRule="auto"/>
        <w:ind w:firstLine="709"/>
        <w:jc w:val="both"/>
        <w:rPr>
          <w:rFonts w:cs="Calibri"/>
          <w:sz w:val="26"/>
          <w:szCs w:val="26"/>
          <w:lang w:val="en-US"/>
        </w:rPr>
      </w:pPr>
      <w:r>
        <w:rPr>
          <w:noProof/>
        </w:rPr>
        <w:drawing>
          <wp:anchor distT="0" distB="0" distL="114300" distR="114300" simplePos="0" relativeHeight="251692032" behindDoc="0" locked="0" layoutInCell="1" allowOverlap="1" wp14:anchorId="5FC05B0A" wp14:editId="71716CAA">
            <wp:simplePos x="0" y="0"/>
            <wp:positionH relativeFrom="margin">
              <wp:posOffset>2640330</wp:posOffset>
            </wp:positionH>
            <wp:positionV relativeFrom="paragraph">
              <wp:posOffset>627380</wp:posOffset>
            </wp:positionV>
            <wp:extent cx="3691890" cy="3715385"/>
            <wp:effectExtent l="0" t="0" r="3810" b="0"/>
            <wp:wrapSquare wrapText="bothSides"/>
            <wp:docPr id="72" name="Диаграмма 72" title="ывыв">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margin">
              <wp14:pctWidth>0</wp14:pctWidth>
            </wp14:sizeRelH>
            <wp14:sizeRelV relativeFrom="margin">
              <wp14:pctHeight>0</wp14:pctHeight>
            </wp14:sizeRelV>
          </wp:anchor>
        </w:drawing>
      </w:r>
      <w:r w:rsidR="00147A87" w:rsidRPr="00F45A80">
        <w:rPr>
          <w:rFonts w:cs="Calibri"/>
          <w:noProof/>
          <w:sz w:val="26"/>
          <w:szCs w:val="26"/>
        </w:rPr>
        <mc:AlternateContent>
          <mc:Choice Requires="wps">
            <w:drawing>
              <wp:anchor distT="0" distB="0" distL="114300" distR="114300" simplePos="0" relativeHeight="251654144" behindDoc="0" locked="0" layoutInCell="1" allowOverlap="1" wp14:anchorId="122D7E8D" wp14:editId="765C95D3">
                <wp:simplePos x="0" y="0"/>
                <wp:positionH relativeFrom="margin">
                  <wp:posOffset>2644140</wp:posOffset>
                </wp:positionH>
                <wp:positionV relativeFrom="page">
                  <wp:posOffset>5201285</wp:posOffset>
                </wp:positionV>
                <wp:extent cx="3686175" cy="646430"/>
                <wp:effectExtent l="0" t="0" r="9525" b="1270"/>
                <wp:wrapSquare wrapText="bothSides"/>
                <wp:docPr id="3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64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CDA" w:rsidRPr="00EE1489" w:rsidRDefault="001B2CDA" w:rsidP="00147A87">
                            <w:pPr>
                              <w:pStyle w:val="aff8"/>
                              <w:spacing w:before="0" w:beforeAutospacing="0" w:after="0" w:afterAutospacing="0" w:line="360" w:lineRule="auto"/>
                              <w:ind w:firstLine="284"/>
                              <w:jc w:val="right"/>
                              <w:rPr>
                                <w:rFonts w:ascii="Calibri" w:hAnsi="Calibri" w:cs="Calibri"/>
                                <w:sz w:val="20"/>
                                <w:lang w:val="en-US"/>
                              </w:rPr>
                            </w:pPr>
                            <w:r>
                              <w:rPr>
                                <w:rFonts w:ascii="Calibri" w:hAnsi="Calibri" w:cs="Calibri"/>
                                <w:color w:val="000000"/>
                                <w:sz w:val="18"/>
                                <w:szCs w:val="22"/>
                                <w:lang w:val="en-US"/>
                              </w:rPr>
                              <w:t>Figure 22</w:t>
                            </w:r>
                          </w:p>
                          <w:p w:rsidR="001B2CDA" w:rsidRPr="00A302C0" w:rsidRDefault="001B2CDA" w:rsidP="00147A87">
                            <w:pPr>
                              <w:pStyle w:val="aff8"/>
                              <w:spacing w:before="0" w:beforeAutospacing="0" w:after="0" w:afterAutospacing="0" w:line="360" w:lineRule="auto"/>
                              <w:ind w:firstLine="284"/>
                              <w:jc w:val="center"/>
                              <w:rPr>
                                <w:rFonts w:ascii="Calibri" w:hAnsi="Calibri" w:cs="Calibri"/>
                                <w:b/>
                                <w:bCs/>
                                <w:color w:val="000000"/>
                                <w:sz w:val="20"/>
                                <w:szCs w:val="22"/>
                                <w:lang w:val="en-US"/>
                              </w:rPr>
                            </w:pPr>
                            <w:r w:rsidRPr="00A302C0">
                              <w:rPr>
                                <w:rFonts w:ascii="Calibri" w:hAnsi="Calibri" w:cs="Calibri"/>
                                <w:b/>
                                <w:bCs/>
                                <w:color w:val="000000"/>
                                <w:sz w:val="20"/>
                                <w:szCs w:val="22"/>
                                <w:lang w:val="en-US"/>
                              </w:rPr>
                              <w:t>Attraction of external debt by sectors of economy</w:t>
                            </w:r>
                          </w:p>
                          <w:p w:rsidR="001B2CDA" w:rsidRPr="00D12AC2" w:rsidRDefault="001B2CDA" w:rsidP="00147A87">
                            <w:pPr>
                              <w:pStyle w:val="aff8"/>
                              <w:spacing w:before="0" w:beforeAutospacing="0" w:after="0" w:afterAutospacing="0" w:line="360" w:lineRule="auto"/>
                              <w:ind w:firstLine="284"/>
                              <w:jc w:val="right"/>
                              <w:rPr>
                                <w:rFonts w:ascii="Calibri" w:hAnsi="Calibri" w:cs="Calibri"/>
                                <w:sz w:val="18"/>
                              </w:rPr>
                            </w:pPr>
                            <w:r w:rsidRPr="00A302C0">
                              <w:rPr>
                                <w:rFonts w:ascii="Calibri" w:hAnsi="Calibri" w:cs="Calibri"/>
                                <w:color w:val="000000"/>
                                <w:sz w:val="16"/>
                                <w:szCs w:val="22"/>
                              </w:rPr>
                              <w:t>(mln. USD)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2D7E8D" id="TextBox 6" o:spid="_x0000_s1032" type="#_x0000_t202" style="position:absolute;left:0;text-align:left;margin-left:208.2pt;margin-top:409.55pt;width:290.25pt;height:50.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" stroked="f">
                <v:textbox>
                  <w:txbxContent>
                    <w:p w:rsidR="001B2CDA" w:rsidRPr="00EE1489" w:rsidRDefault="001B2CDA" w:rsidP="00147A87">
                      <w:pPr>
                        <w:pStyle w:val="aff8"/>
                        <w:spacing w:before="0" w:beforeAutospacing="0" w:after="0" w:afterAutospacing="0" w:line="360" w:lineRule="auto"/>
                        <w:ind w:firstLine="284"/>
                        <w:jc w:val="right"/>
                        <w:rPr>
                          <w:rFonts w:ascii="Calibri" w:hAnsi="Calibri" w:cs="Calibri"/>
                          <w:sz w:val="20"/>
                          <w:lang w:val="en-US"/>
                        </w:rPr>
                      </w:pPr>
                      <w:r>
                        <w:rPr>
                          <w:rFonts w:ascii="Calibri" w:hAnsi="Calibri" w:cs="Calibri"/>
                          <w:color w:val="000000"/>
                          <w:sz w:val="18"/>
                          <w:szCs w:val="22"/>
                          <w:lang w:val="en-US"/>
                        </w:rPr>
                        <w:t>Figure 22</w:t>
                      </w:r>
                    </w:p>
                    <w:p w:rsidR="001B2CDA" w:rsidRPr="00A302C0" w:rsidRDefault="001B2CDA" w:rsidP="00147A87">
                      <w:pPr>
                        <w:pStyle w:val="aff8"/>
                        <w:spacing w:before="0" w:beforeAutospacing="0" w:after="0" w:afterAutospacing="0" w:line="360" w:lineRule="auto"/>
                        <w:ind w:firstLine="284"/>
                        <w:jc w:val="center"/>
                        <w:rPr>
                          <w:rFonts w:ascii="Calibri" w:hAnsi="Calibri" w:cs="Calibri"/>
                          <w:b/>
                          <w:bCs/>
                          <w:color w:val="000000"/>
                          <w:sz w:val="20"/>
                          <w:szCs w:val="22"/>
                          <w:lang w:val="en-US"/>
                        </w:rPr>
                      </w:pPr>
                      <w:r w:rsidRPr="00A302C0">
                        <w:rPr>
                          <w:rFonts w:ascii="Calibri" w:hAnsi="Calibri" w:cs="Calibri"/>
                          <w:b/>
                          <w:bCs/>
                          <w:color w:val="000000"/>
                          <w:sz w:val="20"/>
                          <w:szCs w:val="22"/>
                          <w:lang w:val="en-US"/>
                        </w:rPr>
                        <w:t>Attraction of external debt by sectors of economy</w:t>
                      </w:r>
                    </w:p>
                    <w:p w:rsidR="001B2CDA" w:rsidRPr="00D12AC2" w:rsidRDefault="001B2CDA" w:rsidP="00147A87">
                      <w:pPr>
                        <w:pStyle w:val="aff8"/>
                        <w:spacing w:before="0" w:beforeAutospacing="0" w:after="0" w:afterAutospacing="0" w:line="360" w:lineRule="auto"/>
                        <w:ind w:firstLine="284"/>
                        <w:jc w:val="right"/>
                        <w:rPr>
                          <w:rFonts w:ascii="Calibri" w:hAnsi="Calibri" w:cs="Calibri"/>
                          <w:sz w:val="18"/>
                        </w:rPr>
                      </w:pPr>
                      <w:r w:rsidRPr="00A302C0">
                        <w:rPr>
                          <w:rFonts w:ascii="Calibri" w:hAnsi="Calibri" w:cs="Calibri"/>
                          <w:color w:val="000000"/>
                          <w:sz w:val="16"/>
                          <w:szCs w:val="22"/>
                        </w:rPr>
                        <w:t>(mln. USD)</w:t>
                      </w:r>
                    </w:p>
                  </w:txbxContent>
                </v:textbox>
                <w10:wrap type="square" anchorx="margin" anchory="page"/>
              </v:shape>
            </w:pict>
          </mc:Fallback>
        </mc:AlternateContent>
      </w:r>
      <w:r w:rsidR="007D7C71" w:rsidRPr="00F45A80">
        <w:rPr>
          <w:rFonts w:cs="Calibri"/>
          <w:sz w:val="26"/>
          <w:szCs w:val="26"/>
          <w:lang w:val="en-US"/>
        </w:rPr>
        <w:t xml:space="preserve">It is important to note that </w:t>
      </w:r>
      <w:r w:rsidR="00D67C16">
        <w:rPr>
          <w:rFonts w:cs="Calibri"/>
          <w:sz w:val="26"/>
          <w:szCs w:val="26"/>
          <w:lang w:val="en-US"/>
        </w:rPr>
        <w:t xml:space="preserve">for </w:t>
      </w:r>
      <w:r w:rsidR="007D7C71">
        <w:rPr>
          <w:rFonts w:cs="Calibri"/>
          <w:sz w:val="26"/>
          <w:szCs w:val="26"/>
          <w:lang w:val="en-US"/>
        </w:rPr>
        <w:t>2020 the</w:t>
      </w:r>
      <w:r w:rsidR="007D7C71" w:rsidRPr="00F45A80">
        <w:rPr>
          <w:rFonts w:cs="Calibri"/>
          <w:sz w:val="26"/>
          <w:szCs w:val="26"/>
          <w:lang w:val="en-US"/>
        </w:rPr>
        <w:t xml:space="preserve"> private sector attracted loans in the amount of USD </w:t>
      </w:r>
      <w:r w:rsidR="00900A18">
        <w:rPr>
          <w:rFonts w:cs="Calibri"/>
          <w:sz w:val="26"/>
          <w:szCs w:val="26"/>
          <w:lang w:val="en-US"/>
        </w:rPr>
        <w:t>5</w:t>
      </w:r>
      <w:r w:rsidR="00197FC2">
        <w:rPr>
          <w:rFonts w:cs="Calibri"/>
          <w:sz w:val="26"/>
          <w:szCs w:val="26"/>
          <w:lang w:val="en-US"/>
        </w:rPr>
        <w:t>.</w:t>
      </w:r>
      <w:r w:rsidR="00900A18">
        <w:rPr>
          <w:rFonts w:cs="Calibri"/>
          <w:sz w:val="26"/>
          <w:szCs w:val="26"/>
          <w:lang w:val="en-US"/>
        </w:rPr>
        <w:t>5</w:t>
      </w:r>
      <w:r w:rsidR="007D7C71">
        <w:rPr>
          <w:rFonts w:cs="Calibri"/>
          <w:sz w:val="26"/>
          <w:szCs w:val="26"/>
          <w:lang w:val="en-US"/>
        </w:rPr>
        <w:t xml:space="preserve"> b</w:t>
      </w:r>
      <w:r w:rsidR="007D7C71" w:rsidRPr="00F45A80">
        <w:rPr>
          <w:rFonts w:cs="Calibri"/>
          <w:sz w:val="26"/>
          <w:szCs w:val="26"/>
          <w:lang w:val="en-US"/>
        </w:rPr>
        <w:t>illion. Borrowings, mainly, were attracted by commercial banks – USD </w:t>
      </w:r>
      <w:r w:rsidR="00197FC2">
        <w:rPr>
          <w:rFonts w:cs="Calibri"/>
          <w:sz w:val="26"/>
          <w:szCs w:val="26"/>
          <w:lang w:val="en-US"/>
        </w:rPr>
        <w:t>4</w:t>
      </w:r>
      <w:r w:rsidR="007D7C71">
        <w:rPr>
          <w:rFonts w:cs="Calibri"/>
          <w:sz w:val="26"/>
          <w:szCs w:val="26"/>
          <w:lang w:val="en-US"/>
        </w:rPr>
        <w:t>.</w:t>
      </w:r>
      <w:r w:rsidR="00197FC2">
        <w:rPr>
          <w:rFonts w:cs="Calibri"/>
          <w:sz w:val="26"/>
          <w:szCs w:val="26"/>
          <w:lang w:val="en-US"/>
        </w:rPr>
        <w:t>3</w:t>
      </w:r>
      <w:r w:rsidR="007D7C71" w:rsidRPr="00F45A80">
        <w:rPr>
          <w:rFonts w:cs="Calibri"/>
          <w:sz w:val="26"/>
          <w:szCs w:val="26"/>
          <w:lang w:val="en-US"/>
        </w:rPr>
        <w:t xml:space="preserve"> </w:t>
      </w:r>
      <w:r w:rsidR="007D7C71">
        <w:rPr>
          <w:rFonts w:cs="Calibri"/>
          <w:sz w:val="26"/>
          <w:szCs w:val="26"/>
          <w:lang w:val="en-US"/>
        </w:rPr>
        <w:t>bi</w:t>
      </w:r>
      <w:r w:rsidR="007D7C71" w:rsidRPr="00F45A80">
        <w:rPr>
          <w:rFonts w:cs="Calibri"/>
          <w:sz w:val="26"/>
          <w:szCs w:val="26"/>
          <w:lang w:val="en-US"/>
        </w:rPr>
        <w:t>llion</w:t>
      </w:r>
      <w:r w:rsidR="007D7C71">
        <w:rPr>
          <w:rFonts w:cs="Calibri"/>
          <w:sz w:val="26"/>
          <w:szCs w:val="26"/>
          <w:lang w:val="en-US"/>
        </w:rPr>
        <w:t xml:space="preserve">, </w:t>
      </w:r>
      <w:r w:rsidR="00197FC2">
        <w:rPr>
          <w:rFonts w:cs="Calibri"/>
          <w:sz w:val="26"/>
          <w:szCs w:val="26"/>
          <w:lang w:val="en-US"/>
        </w:rPr>
        <w:t>including two banks issued debt securities with overall price of USD 600 million. Oil and</w:t>
      </w:r>
      <w:r w:rsidR="00A54E6A">
        <w:rPr>
          <w:rFonts w:cs="Calibri"/>
          <w:sz w:val="26"/>
          <w:szCs w:val="26"/>
          <w:lang w:val="en-US"/>
        </w:rPr>
        <w:t xml:space="preserve"> gas and</w:t>
      </w:r>
      <w:r w:rsidR="00197FC2">
        <w:rPr>
          <w:rFonts w:cs="Calibri"/>
          <w:sz w:val="26"/>
          <w:szCs w:val="26"/>
          <w:lang w:val="en-US"/>
        </w:rPr>
        <w:t xml:space="preserve"> </w:t>
      </w:r>
      <w:r w:rsidR="001A732A">
        <w:rPr>
          <w:rFonts w:cs="Calibri"/>
          <w:sz w:val="26"/>
          <w:szCs w:val="26"/>
          <w:lang w:val="en-US"/>
        </w:rPr>
        <w:t>energy</w:t>
      </w:r>
      <w:r w:rsidR="00197FC2">
        <w:rPr>
          <w:rFonts w:cs="Calibri"/>
          <w:sz w:val="26"/>
          <w:szCs w:val="26"/>
          <w:lang w:val="en-US"/>
        </w:rPr>
        <w:t xml:space="preserve"> sector attract </w:t>
      </w:r>
      <w:r w:rsidR="007D7C71" w:rsidRPr="00F45A80">
        <w:rPr>
          <w:rFonts w:cs="Calibri"/>
          <w:sz w:val="26"/>
          <w:szCs w:val="26"/>
          <w:lang w:val="en-US"/>
        </w:rPr>
        <w:t xml:space="preserve">– USD </w:t>
      </w:r>
      <w:r w:rsidR="00197FC2">
        <w:rPr>
          <w:rFonts w:cs="Calibri"/>
          <w:sz w:val="26"/>
          <w:szCs w:val="26"/>
          <w:lang w:val="en-US"/>
        </w:rPr>
        <w:t>211.8</w:t>
      </w:r>
      <w:r w:rsidR="007D7C71" w:rsidRPr="00F45A80">
        <w:rPr>
          <w:rFonts w:cs="Calibri"/>
          <w:sz w:val="26"/>
          <w:szCs w:val="26"/>
          <w:lang w:val="en-US"/>
        </w:rPr>
        <w:t xml:space="preserve"> million, and other sectors of the economy – USD </w:t>
      </w:r>
      <w:r w:rsidR="00197FC2">
        <w:rPr>
          <w:rFonts w:cs="Calibri"/>
          <w:sz w:val="26"/>
          <w:szCs w:val="26"/>
          <w:lang w:val="en-US"/>
        </w:rPr>
        <w:t>984.0</w:t>
      </w:r>
      <w:r w:rsidR="007D7C71" w:rsidRPr="00F45A80">
        <w:rPr>
          <w:rFonts w:cs="Calibri"/>
          <w:sz w:val="26"/>
          <w:szCs w:val="26"/>
          <w:lang w:val="en-US"/>
        </w:rPr>
        <w:t xml:space="preserve"> million </w:t>
      </w:r>
      <w:r w:rsidR="009B4D0A">
        <w:rPr>
          <w:rFonts w:cs="Calibri"/>
          <w:sz w:val="26"/>
          <w:szCs w:val="26"/>
          <w:lang w:val="en-US"/>
        </w:rPr>
        <w:br/>
      </w:r>
      <w:r w:rsidR="007D7C71">
        <w:rPr>
          <w:rFonts w:cs="Calibri"/>
          <w:color w:val="0070C0"/>
          <w:sz w:val="26"/>
          <w:szCs w:val="26"/>
          <w:lang w:val="en-US"/>
        </w:rPr>
        <w:t>(Figure 2</w:t>
      </w:r>
      <w:r w:rsidR="00AD4257">
        <w:rPr>
          <w:rFonts w:cs="Calibri"/>
          <w:color w:val="0070C0"/>
          <w:sz w:val="26"/>
          <w:szCs w:val="26"/>
          <w:lang w:val="en-US"/>
        </w:rPr>
        <w:t>2</w:t>
      </w:r>
      <w:r w:rsidR="007D7C71" w:rsidRPr="00F45A80">
        <w:rPr>
          <w:rFonts w:cs="Calibri"/>
          <w:color w:val="0070C0"/>
          <w:sz w:val="26"/>
          <w:szCs w:val="26"/>
          <w:lang w:val="en-US"/>
        </w:rPr>
        <w:t>)</w:t>
      </w:r>
      <w:r w:rsidR="007D7C71" w:rsidRPr="00F45A80">
        <w:rPr>
          <w:rFonts w:cs="Calibri"/>
          <w:sz w:val="26"/>
          <w:szCs w:val="26"/>
          <w:lang w:val="en-US"/>
        </w:rPr>
        <w:t>.</w:t>
      </w:r>
    </w:p>
    <w:p w:rsidR="00497BD9" w:rsidRPr="00F45A80" w:rsidRDefault="00497BD9" w:rsidP="00497BD9">
      <w:pPr>
        <w:spacing w:before="120" w:after="120" w:line="288" w:lineRule="auto"/>
        <w:ind w:firstLine="709"/>
        <w:jc w:val="both"/>
        <w:rPr>
          <w:rFonts w:cs="Calibri"/>
          <w:sz w:val="26"/>
          <w:szCs w:val="26"/>
          <w:lang w:val="en-US"/>
        </w:rPr>
      </w:pPr>
    </w:p>
    <w:p w:rsidR="00497BD9" w:rsidRPr="00F45A80" w:rsidRDefault="00497BD9" w:rsidP="001760FA">
      <w:pPr>
        <w:spacing w:before="120" w:after="120" w:line="288" w:lineRule="auto"/>
        <w:ind w:firstLine="709"/>
        <w:jc w:val="both"/>
        <w:rPr>
          <w:sz w:val="26"/>
          <w:szCs w:val="26"/>
          <w:lang w:val="en-US"/>
        </w:rPr>
      </w:pPr>
    </w:p>
    <w:p w:rsidR="001F4736" w:rsidRPr="00F45A80" w:rsidRDefault="001F4736" w:rsidP="001760FA">
      <w:pPr>
        <w:spacing w:before="120" w:after="120" w:line="288" w:lineRule="auto"/>
        <w:ind w:firstLine="709"/>
        <w:jc w:val="both"/>
        <w:rPr>
          <w:sz w:val="26"/>
          <w:szCs w:val="26"/>
          <w:lang w:val="en-US"/>
        </w:rPr>
      </w:pPr>
    </w:p>
    <w:p w:rsidR="00963C46" w:rsidRPr="00F45A80" w:rsidRDefault="008B55B0" w:rsidP="001760FA">
      <w:pPr>
        <w:spacing w:before="120" w:after="120" w:line="288" w:lineRule="auto"/>
        <w:ind w:firstLine="709"/>
        <w:jc w:val="both"/>
        <w:rPr>
          <w:sz w:val="26"/>
          <w:szCs w:val="26"/>
          <w:lang w:val="en-US"/>
        </w:rPr>
      </w:pPr>
      <w:r w:rsidRPr="00F45A80">
        <w:rPr>
          <w:sz w:val="26"/>
          <w:szCs w:val="26"/>
          <w:lang w:val="en-US"/>
        </w:rPr>
        <w:br w:type="page"/>
      </w:r>
      <w:r w:rsidR="00122CB8" w:rsidRPr="00F45A80">
        <w:rPr>
          <w:rFonts w:cs="Calibri"/>
          <w:noProof/>
          <w:sz w:val="26"/>
          <w:szCs w:val="26"/>
        </w:rPr>
        <w:lastRenderedPageBreak/>
        <mc:AlternateContent>
          <mc:Choice Requires="wps">
            <w:drawing>
              <wp:anchor distT="0" distB="0" distL="114300" distR="114300" simplePos="0" relativeHeight="251661312" behindDoc="0" locked="0" layoutInCell="1" allowOverlap="1" wp14:anchorId="15CAD2D1" wp14:editId="21065B18">
                <wp:simplePos x="0" y="0"/>
                <wp:positionH relativeFrom="margin">
                  <wp:posOffset>2644140</wp:posOffset>
                </wp:positionH>
                <wp:positionV relativeFrom="margin">
                  <wp:posOffset>12700</wp:posOffset>
                </wp:positionV>
                <wp:extent cx="3622675" cy="509905"/>
                <wp:effectExtent l="0" t="0" r="0" b="4445"/>
                <wp:wrapSquare wrapText="bothSides"/>
                <wp:docPr id="34"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509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CDA" w:rsidRPr="00EE1489" w:rsidRDefault="001B2CDA" w:rsidP="00147A87">
                            <w:pPr>
                              <w:pStyle w:val="aff8"/>
                              <w:spacing w:before="0" w:beforeAutospacing="0" w:after="0" w:afterAutospacing="0"/>
                              <w:ind w:firstLine="284"/>
                              <w:jc w:val="right"/>
                              <w:rPr>
                                <w:rFonts w:ascii="Calibri" w:hAnsi="Calibri" w:cs="Calibri"/>
                                <w:sz w:val="20"/>
                                <w:lang w:val="en-US"/>
                              </w:rPr>
                            </w:pPr>
                            <w:r>
                              <w:rPr>
                                <w:rFonts w:ascii="Calibri" w:hAnsi="Calibri" w:cs="Calibri"/>
                                <w:color w:val="000000"/>
                                <w:sz w:val="18"/>
                                <w:szCs w:val="22"/>
                                <w:lang w:val="en-US"/>
                              </w:rPr>
                              <w:t>Figure 23</w:t>
                            </w:r>
                          </w:p>
                          <w:p w:rsidR="001B2CDA" w:rsidRPr="002A63B1" w:rsidRDefault="001B2CDA" w:rsidP="00147A87">
                            <w:pPr>
                              <w:pStyle w:val="aff8"/>
                              <w:spacing w:before="0" w:beforeAutospacing="0" w:after="0" w:afterAutospacing="0"/>
                              <w:ind w:firstLine="284"/>
                              <w:jc w:val="center"/>
                              <w:rPr>
                                <w:rFonts w:ascii="Calibri" w:hAnsi="Calibri" w:cs="Calibri"/>
                                <w:b/>
                                <w:bCs/>
                                <w:color w:val="000000"/>
                                <w:sz w:val="20"/>
                                <w:szCs w:val="22"/>
                                <w:lang w:val="en-US"/>
                              </w:rPr>
                            </w:pPr>
                            <w:r w:rsidRPr="002A63B1">
                              <w:rPr>
                                <w:rFonts w:ascii="Calibri" w:hAnsi="Calibri" w:cs="Calibri"/>
                                <w:b/>
                                <w:bCs/>
                                <w:color w:val="000000"/>
                                <w:sz w:val="20"/>
                                <w:szCs w:val="22"/>
                                <w:lang w:val="en-US"/>
                              </w:rPr>
                              <w:t>Repayment of principal by sectors of economy</w:t>
                            </w:r>
                          </w:p>
                          <w:p w:rsidR="001B2CDA" w:rsidRPr="00D12AC2" w:rsidRDefault="001B2CDA" w:rsidP="00147A87">
                            <w:pPr>
                              <w:pStyle w:val="aff8"/>
                              <w:spacing w:before="0" w:beforeAutospacing="0" w:after="0" w:afterAutospacing="0"/>
                              <w:ind w:firstLine="284"/>
                              <w:jc w:val="right"/>
                              <w:rPr>
                                <w:rFonts w:ascii="Calibri" w:hAnsi="Calibri" w:cs="Calibri"/>
                                <w:sz w:val="18"/>
                              </w:rPr>
                            </w:pPr>
                            <w:r w:rsidRPr="00A302C0">
                              <w:rPr>
                                <w:rFonts w:ascii="Calibri" w:hAnsi="Calibri" w:cs="Calibri"/>
                                <w:color w:val="000000"/>
                                <w:sz w:val="16"/>
                                <w:szCs w:val="22"/>
                              </w:rPr>
                              <w:t>(mln. USD)</w:t>
                            </w:r>
                          </w:p>
                          <w:p w:rsidR="001B2CDA" w:rsidRPr="00566CCC" w:rsidRDefault="001B2CDA" w:rsidP="002A63B1">
                            <w:pPr>
                              <w:pStyle w:val="aff8"/>
                              <w:spacing w:before="0" w:beforeAutospacing="0" w:after="0" w:afterAutospacing="0"/>
                              <w:ind w:firstLine="284"/>
                              <w:rPr>
                                <w:rFonts w:ascii="Calibri" w:hAnsi="Calibri" w:cs="Calibri"/>
                                <w:sz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CAD2D1" id="_x0000_s1033" type="#_x0000_t202" style="position:absolute;left:0;text-align:left;margin-left:208.2pt;margin-top:1pt;width:285.25pt;height:4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" stroked="f">
                <v:textbox>
                  <w:txbxContent>
                    <w:p w:rsidR="001B2CDA" w:rsidRPr="00EE1489" w:rsidRDefault="001B2CDA" w:rsidP="00147A87">
                      <w:pPr>
                        <w:pStyle w:val="aff8"/>
                        <w:spacing w:before="0" w:beforeAutospacing="0" w:after="0" w:afterAutospacing="0"/>
                        <w:ind w:firstLine="284"/>
                        <w:jc w:val="right"/>
                        <w:rPr>
                          <w:rFonts w:ascii="Calibri" w:hAnsi="Calibri" w:cs="Calibri"/>
                          <w:sz w:val="20"/>
                          <w:lang w:val="en-US"/>
                        </w:rPr>
                      </w:pPr>
                      <w:r>
                        <w:rPr>
                          <w:rFonts w:ascii="Calibri" w:hAnsi="Calibri" w:cs="Calibri"/>
                          <w:color w:val="000000"/>
                          <w:sz w:val="18"/>
                          <w:szCs w:val="22"/>
                          <w:lang w:val="en-US"/>
                        </w:rPr>
                        <w:t>Figure 23</w:t>
                      </w:r>
                    </w:p>
                    <w:p w:rsidR="001B2CDA" w:rsidRPr="002A63B1" w:rsidRDefault="001B2CDA" w:rsidP="00147A87">
                      <w:pPr>
                        <w:pStyle w:val="aff8"/>
                        <w:spacing w:before="0" w:beforeAutospacing="0" w:after="0" w:afterAutospacing="0"/>
                        <w:ind w:firstLine="284"/>
                        <w:jc w:val="center"/>
                        <w:rPr>
                          <w:rFonts w:ascii="Calibri" w:hAnsi="Calibri" w:cs="Calibri"/>
                          <w:b/>
                          <w:bCs/>
                          <w:color w:val="000000"/>
                          <w:sz w:val="20"/>
                          <w:szCs w:val="22"/>
                          <w:lang w:val="en-US"/>
                        </w:rPr>
                      </w:pPr>
                      <w:r w:rsidRPr="002A63B1">
                        <w:rPr>
                          <w:rFonts w:ascii="Calibri" w:hAnsi="Calibri" w:cs="Calibri"/>
                          <w:b/>
                          <w:bCs/>
                          <w:color w:val="000000"/>
                          <w:sz w:val="20"/>
                          <w:szCs w:val="22"/>
                          <w:lang w:val="en-US"/>
                        </w:rPr>
                        <w:t>Repayment of principal by sectors of economy</w:t>
                      </w:r>
                    </w:p>
                    <w:p w:rsidR="001B2CDA" w:rsidRPr="00D12AC2" w:rsidRDefault="001B2CDA" w:rsidP="00147A87">
                      <w:pPr>
                        <w:pStyle w:val="aff8"/>
                        <w:spacing w:before="0" w:beforeAutospacing="0" w:after="0" w:afterAutospacing="0"/>
                        <w:ind w:firstLine="284"/>
                        <w:jc w:val="right"/>
                        <w:rPr>
                          <w:rFonts w:ascii="Calibri" w:hAnsi="Calibri" w:cs="Calibri"/>
                          <w:sz w:val="18"/>
                        </w:rPr>
                      </w:pPr>
                      <w:r w:rsidRPr="00A302C0">
                        <w:rPr>
                          <w:rFonts w:ascii="Calibri" w:hAnsi="Calibri" w:cs="Calibri"/>
                          <w:color w:val="000000"/>
                          <w:sz w:val="16"/>
                          <w:szCs w:val="22"/>
                        </w:rPr>
                        <w:t>(mln. USD)</w:t>
                      </w:r>
                    </w:p>
                    <w:p w:rsidR="001B2CDA" w:rsidRPr="00566CCC" w:rsidRDefault="001B2CDA" w:rsidP="002A63B1">
                      <w:pPr>
                        <w:pStyle w:val="aff8"/>
                        <w:spacing w:before="0" w:beforeAutospacing="0" w:after="0" w:afterAutospacing="0"/>
                        <w:ind w:firstLine="284"/>
                        <w:rPr>
                          <w:rFonts w:ascii="Calibri" w:hAnsi="Calibri" w:cs="Calibri"/>
                          <w:sz w:val="18"/>
                        </w:rPr>
                      </w:pPr>
                    </w:p>
                  </w:txbxContent>
                </v:textbox>
                <w10:wrap type="square" anchorx="margin" anchory="margin"/>
              </v:shape>
            </w:pict>
          </mc:Fallback>
        </mc:AlternateContent>
      </w:r>
      <w:r w:rsidR="00497BD9" w:rsidRPr="00F45A80">
        <w:rPr>
          <w:rFonts w:cs="Calibri"/>
          <w:sz w:val="26"/>
          <w:szCs w:val="26"/>
          <w:lang w:val="en-US"/>
        </w:rPr>
        <w:t xml:space="preserve">In addition, during the considered period, the government </w:t>
      </w:r>
      <w:r w:rsidR="00F724F9">
        <w:rPr>
          <w:noProof/>
        </w:rPr>
        <w:drawing>
          <wp:anchor distT="0" distB="0" distL="114300" distR="114300" simplePos="0" relativeHeight="251693056" behindDoc="0" locked="0" layoutInCell="1" allowOverlap="1" wp14:anchorId="650F3759" wp14:editId="13CB4087">
            <wp:simplePos x="0" y="0"/>
            <wp:positionH relativeFrom="margin">
              <wp:posOffset>2705735</wp:posOffset>
            </wp:positionH>
            <wp:positionV relativeFrom="paragraph">
              <wp:posOffset>485140</wp:posOffset>
            </wp:positionV>
            <wp:extent cx="3597275" cy="3134995"/>
            <wp:effectExtent l="0" t="0" r="3175" b="8255"/>
            <wp:wrapSquare wrapText="bothSides"/>
            <wp:docPr id="73" name="Диаграмма 73">
              <a:extLst xmlns:a="http://schemas.openxmlformats.org/drawingml/2006/main">
                <a:ext uri="{FF2B5EF4-FFF2-40B4-BE49-F238E27FC236}">
                  <a16:creationId xmlns:a16="http://schemas.microsoft.com/office/drawing/2014/main" id="{00000000-0008-0000-08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margin">
              <wp14:pctWidth>0</wp14:pctWidth>
            </wp14:sizeRelH>
            <wp14:sizeRelV relativeFrom="margin">
              <wp14:pctHeight>0</wp14:pctHeight>
            </wp14:sizeRelV>
          </wp:anchor>
        </w:drawing>
      </w:r>
      <w:r w:rsidR="00497BD9" w:rsidRPr="00F45A80">
        <w:rPr>
          <w:rFonts w:cs="Calibri"/>
          <w:sz w:val="26"/>
          <w:szCs w:val="26"/>
          <w:lang w:val="en-US"/>
        </w:rPr>
        <w:t>sector made principal payment</w:t>
      </w:r>
      <w:r w:rsidR="007A763E" w:rsidRPr="00F45A80">
        <w:rPr>
          <w:rFonts w:cs="Calibri"/>
          <w:sz w:val="26"/>
          <w:szCs w:val="26"/>
          <w:lang w:val="en-US"/>
        </w:rPr>
        <w:t>s</w:t>
      </w:r>
      <w:r w:rsidR="00497BD9" w:rsidRPr="00F45A80">
        <w:rPr>
          <w:rFonts w:cs="Calibri"/>
          <w:sz w:val="26"/>
          <w:szCs w:val="26"/>
          <w:lang w:val="en-US"/>
        </w:rPr>
        <w:t xml:space="preserve"> in the amount of USD </w:t>
      </w:r>
      <w:r w:rsidR="00C27F36">
        <w:rPr>
          <w:rFonts w:cs="Calibri"/>
          <w:sz w:val="26"/>
          <w:szCs w:val="26"/>
          <w:lang w:val="en-US"/>
        </w:rPr>
        <w:t>651</w:t>
      </w:r>
      <w:r w:rsidR="004A3DB5">
        <w:rPr>
          <w:rFonts w:cs="Calibri"/>
          <w:sz w:val="26"/>
          <w:szCs w:val="26"/>
          <w:lang w:val="en-US"/>
        </w:rPr>
        <w:t>.</w:t>
      </w:r>
      <w:r w:rsidR="00C27F36">
        <w:rPr>
          <w:rFonts w:cs="Calibri"/>
          <w:sz w:val="26"/>
          <w:szCs w:val="26"/>
          <w:lang w:val="en-US"/>
        </w:rPr>
        <w:t>3</w:t>
      </w:r>
      <w:r w:rsidR="00497BD9" w:rsidRPr="00F45A80">
        <w:rPr>
          <w:rFonts w:cs="Calibri"/>
          <w:sz w:val="26"/>
          <w:szCs w:val="26"/>
          <w:lang w:val="en-US"/>
        </w:rPr>
        <w:t xml:space="preserve"> million and interest payment</w:t>
      </w:r>
      <w:r w:rsidR="007A763E" w:rsidRPr="00F45A80">
        <w:rPr>
          <w:rFonts w:cs="Calibri"/>
          <w:sz w:val="26"/>
          <w:szCs w:val="26"/>
          <w:lang w:val="en-US"/>
        </w:rPr>
        <w:t>s</w:t>
      </w:r>
      <w:r w:rsidR="00497BD9" w:rsidRPr="00F45A80">
        <w:rPr>
          <w:rFonts w:cs="Calibri"/>
          <w:sz w:val="26"/>
          <w:szCs w:val="26"/>
          <w:lang w:val="en-US"/>
        </w:rPr>
        <w:t xml:space="preserve"> in the amount of </w:t>
      </w:r>
      <w:r w:rsidR="007A763E" w:rsidRPr="00F45A80">
        <w:rPr>
          <w:rFonts w:cs="Calibri"/>
          <w:sz w:val="26"/>
          <w:szCs w:val="26"/>
          <w:lang w:val="en-US"/>
        </w:rPr>
        <w:br/>
      </w:r>
      <w:r w:rsidR="00497BD9" w:rsidRPr="00F45A80">
        <w:rPr>
          <w:rFonts w:cs="Calibri"/>
          <w:sz w:val="26"/>
          <w:szCs w:val="26"/>
          <w:lang w:val="en-US"/>
        </w:rPr>
        <w:t xml:space="preserve">USD </w:t>
      </w:r>
      <w:r w:rsidR="00C27F36">
        <w:rPr>
          <w:rFonts w:cs="Calibri"/>
          <w:sz w:val="26"/>
          <w:szCs w:val="26"/>
          <w:lang w:val="en-US"/>
        </w:rPr>
        <w:t>380</w:t>
      </w:r>
      <w:r w:rsidR="004A3DB5">
        <w:rPr>
          <w:rFonts w:cs="Calibri"/>
          <w:sz w:val="26"/>
          <w:szCs w:val="26"/>
          <w:lang w:val="en-US"/>
        </w:rPr>
        <w:t>.</w:t>
      </w:r>
      <w:r w:rsidR="00C27F36">
        <w:rPr>
          <w:rFonts w:cs="Calibri"/>
          <w:sz w:val="26"/>
          <w:szCs w:val="26"/>
          <w:lang w:val="en-US"/>
        </w:rPr>
        <w:t>2</w:t>
      </w:r>
      <w:r w:rsidR="00497BD9" w:rsidRPr="00F45A80">
        <w:rPr>
          <w:rFonts w:cs="Calibri"/>
          <w:sz w:val="26"/>
          <w:szCs w:val="26"/>
          <w:lang w:val="en-US"/>
        </w:rPr>
        <w:t xml:space="preserve"> million</w:t>
      </w:r>
      <w:r w:rsidR="00C61BD8">
        <w:rPr>
          <w:sz w:val="26"/>
          <w:szCs w:val="26"/>
          <w:lang w:val="en-US"/>
        </w:rPr>
        <w:t xml:space="preserve"> </w:t>
      </w:r>
      <w:r w:rsidR="00517C35">
        <w:rPr>
          <w:rFonts w:cs="Calibri"/>
          <w:color w:val="0070C0"/>
          <w:sz w:val="26"/>
          <w:szCs w:val="26"/>
          <w:lang w:val="en-US"/>
        </w:rPr>
        <w:t>(</w:t>
      </w:r>
      <w:r w:rsidR="00B23450">
        <w:rPr>
          <w:rFonts w:cs="Calibri"/>
          <w:color w:val="0070C0"/>
          <w:sz w:val="26"/>
          <w:szCs w:val="26"/>
          <w:lang w:val="en-US"/>
        </w:rPr>
        <w:t>Figures</w:t>
      </w:r>
      <w:r w:rsidR="00517C35">
        <w:rPr>
          <w:rFonts w:cs="Calibri"/>
          <w:color w:val="0070C0"/>
          <w:sz w:val="26"/>
          <w:szCs w:val="26"/>
          <w:lang w:val="en-US"/>
        </w:rPr>
        <w:t xml:space="preserve"> 2</w:t>
      </w:r>
      <w:r w:rsidR="00AD4257">
        <w:rPr>
          <w:rFonts w:cs="Calibri"/>
          <w:color w:val="0070C0"/>
          <w:sz w:val="26"/>
          <w:szCs w:val="26"/>
          <w:lang w:val="en-US"/>
        </w:rPr>
        <w:t>3</w:t>
      </w:r>
      <w:r w:rsidR="00C61BD8" w:rsidRPr="00F45A80">
        <w:rPr>
          <w:rFonts w:cs="Calibri"/>
          <w:color w:val="0070C0"/>
          <w:sz w:val="26"/>
          <w:szCs w:val="26"/>
          <w:lang w:val="en-US"/>
        </w:rPr>
        <w:t>,</w:t>
      </w:r>
      <w:r w:rsidR="00517C35">
        <w:rPr>
          <w:rFonts w:cs="Calibri"/>
          <w:color w:val="0070C0"/>
          <w:sz w:val="26"/>
          <w:szCs w:val="26"/>
          <w:lang w:val="en-US"/>
        </w:rPr>
        <w:t xml:space="preserve"> 2</w:t>
      </w:r>
      <w:r w:rsidR="00AD4257">
        <w:rPr>
          <w:rFonts w:cs="Calibri"/>
          <w:color w:val="0070C0"/>
          <w:sz w:val="26"/>
          <w:szCs w:val="26"/>
          <w:lang w:val="en-US"/>
        </w:rPr>
        <w:t>4</w:t>
      </w:r>
      <w:r w:rsidR="00C61BD8" w:rsidRPr="00F45A80">
        <w:rPr>
          <w:rFonts w:cs="Calibri"/>
          <w:color w:val="0070C0"/>
          <w:sz w:val="26"/>
          <w:szCs w:val="26"/>
          <w:lang w:val="en-US"/>
        </w:rPr>
        <w:t>)</w:t>
      </w:r>
      <w:r w:rsidR="00C61BD8" w:rsidRPr="00184D1D">
        <w:rPr>
          <w:rFonts w:cs="Calibri"/>
          <w:color w:val="0070C0"/>
          <w:sz w:val="26"/>
          <w:szCs w:val="26"/>
          <w:lang w:val="en-US"/>
        </w:rPr>
        <w:t>.</w:t>
      </w:r>
    </w:p>
    <w:p w:rsidR="00C27F36" w:rsidRDefault="00B535EE" w:rsidP="00B535EE">
      <w:pPr>
        <w:spacing w:before="120" w:after="120" w:line="288" w:lineRule="auto"/>
        <w:ind w:firstLine="709"/>
        <w:jc w:val="both"/>
        <w:rPr>
          <w:rFonts w:cs="Calibri"/>
          <w:sz w:val="26"/>
          <w:szCs w:val="26"/>
          <w:lang w:val="en-US"/>
        </w:rPr>
      </w:pPr>
      <w:r w:rsidRPr="00F45A80">
        <w:rPr>
          <w:rFonts w:cs="Calibri"/>
          <w:sz w:val="26"/>
          <w:szCs w:val="26"/>
          <w:lang w:val="en-US"/>
        </w:rPr>
        <w:t>The private sector made principal debt payme</w:t>
      </w:r>
      <w:r w:rsidR="007A763E" w:rsidRPr="00F45A80">
        <w:rPr>
          <w:rFonts w:cs="Calibri"/>
          <w:sz w:val="26"/>
          <w:szCs w:val="26"/>
          <w:lang w:val="en-US"/>
        </w:rPr>
        <w:t xml:space="preserve">nts in the amount of USD </w:t>
      </w:r>
      <w:r w:rsidR="00C27F36">
        <w:rPr>
          <w:rFonts w:cs="Calibri"/>
          <w:sz w:val="26"/>
          <w:szCs w:val="26"/>
          <w:lang w:val="en-US"/>
        </w:rPr>
        <w:t>2</w:t>
      </w:r>
      <w:r w:rsidR="00D32547">
        <w:rPr>
          <w:rFonts w:cs="Calibri"/>
          <w:sz w:val="26"/>
          <w:szCs w:val="26"/>
          <w:lang w:val="en-US"/>
        </w:rPr>
        <w:t>.</w:t>
      </w:r>
      <w:r w:rsidR="00C27F36">
        <w:rPr>
          <w:rFonts w:cs="Calibri"/>
          <w:sz w:val="26"/>
          <w:szCs w:val="26"/>
          <w:lang w:val="en-US"/>
        </w:rPr>
        <w:t>0</w:t>
      </w:r>
      <w:r w:rsidR="007A763E" w:rsidRPr="00F45A80">
        <w:rPr>
          <w:rFonts w:cs="Calibri"/>
          <w:sz w:val="26"/>
          <w:szCs w:val="26"/>
          <w:lang w:val="en-US"/>
        </w:rPr>
        <w:t xml:space="preserve"> </w:t>
      </w:r>
      <w:r w:rsidR="00D32547">
        <w:rPr>
          <w:rFonts w:cs="Calibri"/>
          <w:sz w:val="26"/>
          <w:szCs w:val="26"/>
          <w:lang w:val="en-US"/>
        </w:rPr>
        <w:t>b</w:t>
      </w:r>
      <w:r w:rsidRPr="00F45A80">
        <w:rPr>
          <w:rFonts w:cs="Calibri"/>
          <w:sz w:val="26"/>
          <w:szCs w:val="26"/>
          <w:lang w:val="en-US"/>
        </w:rPr>
        <w:t xml:space="preserve">illion and interest </w:t>
      </w:r>
      <w:r w:rsidR="00EE1489" w:rsidRPr="00F45A80">
        <w:rPr>
          <w:rFonts w:cs="Calibri"/>
          <w:sz w:val="26"/>
          <w:szCs w:val="26"/>
          <w:lang w:val="en-US"/>
        </w:rPr>
        <w:t xml:space="preserve">payments in the amount of USD </w:t>
      </w:r>
      <w:r w:rsidR="00C27F36">
        <w:rPr>
          <w:rFonts w:cs="Calibri"/>
          <w:sz w:val="26"/>
          <w:szCs w:val="26"/>
          <w:lang w:val="en-US"/>
        </w:rPr>
        <w:t>370</w:t>
      </w:r>
      <w:r w:rsidR="00D32547">
        <w:rPr>
          <w:rFonts w:cs="Calibri"/>
          <w:sz w:val="26"/>
          <w:szCs w:val="26"/>
          <w:lang w:val="en-US"/>
        </w:rPr>
        <w:t>.</w:t>
      </w:r>
      <w:r w:rsidR="00C27F36">
        <w:rPr>
          <w:rFonts w:cs="Calibri"/>
          <w:sz w:val="26"/>
          <w:szCs w:val="26"/>
          <w:lang w:val="en-US"/>
        </w:rPr>
        <w:t>8</w:t>
      </w:r>
      <w:r w:rsidRPr="00F45A80">
        <w:rPr>
          <w:rFonts w:cs="Calibri"/>
          <w:sz w:val="26"/>
          <w:szCs w:val="26"/>
          <w:lang w:val="en-US"/>
        </w:rPr>
        <w:t xml:space="preserve"> million. </w:t>
      </w:r>
    </w:p>
    <w:p w:rsidR="00B535EE" w:rsidRPr="00F45A80" w:rsidRDefault="00F724F9" w:rsidP="00B535EE">
      <w:pPr>
        <w:spacing w:before="120" w:after="120" w:line="288" w:lineRule="auto"/>
        <w:ind w:firstLine="709"/>
        <w:jc w:val="both"/>
        <w:rPr>
          <w:rFonts w:cs="Calibri"/>
          <w:sz w:val="26"/>
          <w:szCs w:val="26"/>
          <w:lang w:val="en-US"/>
        </w:rPr>
      </w:pPr>
      <w:r w:rsidRPr="00F45A80">
        <w:rPr>
          <w:rFonts w:cs="Arial"/>
          <w:noProof/>
        </w:rPr>
        <mc:AlternateContent>
          <mc:Choice Requires="wps">
            <w:drawing>
              <wp:anchor distT="0" distB="0" distL="114300" distR="114300" simplePos="0" relativeHeight="251658240" behindDoc="0" locked="0" layoutInCell="1" allowOverlap="1" wp14:anchorId="13F3E7BD" wp14:editId="0F0DEC45">
                <wp:simplePos x="0" y="0"/>
                <wp:positionH relativeFrom="margin">
                  <wp:posOffset>2702783</wp:posOffset>
                </wp:positionH>
                <wp:positionV relativeFrom="margin">
                  <wp:posOffset>3576254</wp:posOffset>
                </wp:positionV>
                <wp:extent cx="3602990" cy="621030"/>
                <wp:effectExtent l="0" t="0" r="0" b="7620"/>
                <wp:wrapSquare wrapText="bothSides"/>
                <wp:docPr id="33"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CDA" w:rsidRPr="00EE1489" w:rsidRDefault="001B2CDA" w:rsidP="00147A87">
                            <w:pPr>
                              <w:pStyle w:val="aff8"/>
                              <w:spacing w:before="0" w:beforeAutospacing="0" w:after="0" w:afterAutospacing="0"/>
                              <w:ind w:firstLine="284"/>
                              <w:jc w:val="right"/>
                              <w:rPr>
                                <w:rFonts w:ascii="Calibri" w:hAnsi="Calibri" w:cs="Calibri"/>
                                <w:sz w:val="20"/>
                                <w:lang w:val="en-US"/>
                              </w:rPr>
                            </w:pPr>
                            <w:r>
                              <w:rPr>
                                <w:rFonts w:ascii="Calibri" w:hAnsi="Calibri" w:cs="Calibri"/>
                                <w:color w:val="000000"/>
                                <w:sz w:val="18"/>
                                <w:szCs w:val="22"/>
                                <w:lang w:val="en-US"/>
                              </w:rPr>
                              <w:t>Figure 24</w:t>
                            </w:r>
                          </w:p>
                          <w:p w:rsidR="001B2CDA" w:rsidRDefault="001B2CDA" w:rsidP="002A63B1">
                            <w:pPr>
                              <w:pStyle w:val="aff8"/>
                              <w:spacing w:before="0" w:beforeAutospacing="0" w:after="0" w:afterAutospacing="0"/>
                              <w:ind w:firstLine="284"/>
                              <w:rPr>
                                <w:rFonts w:ascii="Calibri" w:hAnsi="Calibri" w:cs="Calibri"/>
                                <w:b/>
                                <w:bCs/>
                                <w:color w:val="000000"/>
                                <w:sz w:val="20"/>
                                <w:szCs w:val="22"/>
                                <w:lang w:val="en-US"/>
                              </w:rPr>
                            </w:pPr>
                            <w:r w:rsidRPr="002A63B1">
                              <w:rPr>
                                <w:rFonts w:ascii="Calibri" w:hAnsi="Calibri" w:cs="Calibri"/>
                                <w:b/>
                                <w:bCs/>
                                <w:color w:val="000000"/>
                                <w:sz w:val="20"/>
                                <w:szCs w:val="22"/>
                                <w:lang w:val="en-US"/>
                              </w:rPr>
                              <w:t xml:space="preserve">Repayment of interest by sectors of economy </w:t>
                            </w:r>
                          </w:p>
                          <w:p w:rsidR="001B2CDA" w:rsidRPr="00566CCC" w:rsidRDefault="001B2CDA" w:rsidP="00147A87">
                            <w:pPr>
                              <w:pStyle w:val="aff8"/>
                              <w:spacing w:before="0" w:beforeAutospacing="0" w:after="0" w:afterAutospacing="0"/>
                              <w:ind w:firstLine="284"/>
                              <w:jc w:val="right"/>
                              <w:rPr>
                                <w:rFonts w:ascii="Calibri" w:hAnsi="Calibri" w:cs="Calibri"/>
                                <w:sz w:val="18"/>
                              </w:rPr>
                            </w:pPr>
                            <w:r w:rsidRPr="00A302C0">
                              <w:rPr>
                                <w:rFonts w:ascii="Calibri" w:hAnsi="Calibri" w:cs="Calibri"/>
                                <w:color w:val="000000"/>
                                <w:sz w:val="16"/>
                                <w:szCs w:val="22"/>
                              </w:rPr>
                              <w:t>(mln. USD)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F3E7BD" id="_x0000_s1034" type="#_x0000_t202" style="position:absolute;left:0;text-align:left;margin-left:212.8pt;margin-top:281.6pt;width:283.7pt;height:48.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" stroked="f">
                <v:textbox>
                  <w:txbxContent>
                    <w:p w:rsidR="001B2CDA" w:rsidRPr="00EE1489" w:rsidRDefault="001B2CDA" w:rsidP="00147A87">
                      <w:pPr>
                        <w:pStyle w:val="aff8"/>
                        <w:spacing w:before="0" w:beforeAutospacing="0" w:after="0" w:afterAutospacing="0"/>
                        <w:ind w:firstLine="284"/>
                        <w:jc w:val="right"/>
                        <w:rPr>
                          <w:rFonts w:ascii="Calibri" w:hAnsi="Calibri" w:cs="Calibri"/>
                          <w:sz w:val="20"/>
                          <w:lang w:val="en-US"/>
                        </w:rPr>
                      </w:pPr>
                      <w:r>
                        <w:rPr>
                          <w:rFonts w:ascii="Calibri" w:hAnsi="Calibri" w:cs="Calibri"/>
                          <w:color w:val="000000"/>
                          <w:sz w:val="18"/>
                          <w:szCs w:val="22"/>
                          <w:lang w:val="en-US"/>
                        </w:rPr>
                        <w:t>Figure 24</w:t>
                      </w:r>
                    </w:p>
                    <w:p w:rsidR="001B2CDA" w:rsidRDefault="001B2CDA" w:rsidP="002A63B1">
                      <w:pPr>
                        <w:pStyle w:val="aff8"/>
                        <w:spacing w:before="0" w:beforeAutospacing="0" w:after="0" w:afterAutospacing="0"/>
                        <w:ind w:firstLine="284"/>
                        <w:rPr>
                          <w:rFonts w:ascii="Calibri" w:hAnsi="Calibri" w:cs="Calibri"/>
                          <w:b/>
                          <w:bCs/>
                          <w:color w:val="000000"/>
                          <w:sz w:val="20"/>
                          <w:szCs w:val="22"/>
                          <w:lang w:val="en-US"/>
                        </w:rPr>
                      </w:pPr>
                      <w:r w:rsidRPr="002A63B1">
                        <w:rPr>
                          <w:rFonts w:ascii="Calibri" w:hAnsi="Calibri" w:cs="Calibri"/>
                          <w:b/>
                          <w:bCs/>
                          <w:color w:val="000000"/>
                          <w:sz w:val="20"/>
                          <w:szCs w:val="22"/>
                          <w:lang w:val="en-US"/>
                        </w:rPr>
                        <w:t xml:space="preserve">Repayment of interest by sectors of economy </w:t>
                      </w:r>
                    </w:p>
                    <w:p w:rsidR="001B2CDA" w:rsidRPr="00566CCC" w:rsidRDefault="001B2CDA" w:rsidP="00147A87">
                      <w:pPr>
                        <w:pStyle w:val="aff8"/>
                        <w:spacing w:before="0" w:beforeAutospacing="0" w:after="0" w:afterAutospacing="0"/>
                        <w:ind w:firstLine="284"/>
                        <w:jc w:val="right"/>
                        <w:rPr>
                          <w:rFonts w:ascii="Calibri" w:hAnsi="Calibri" w:cs="Calibri"/>
                          <w:sz w:val="18"/>
                        </w:rPr>
                      </w:pPr>
                      <w:r w:rsidRPr="00A302C0">
                        <w:rPr>
                          <w:rFonts w:ascii="Calibri" w:hAnsi="Calibri" w:cs="Calibri"/>
                          <w:color w:val="000000"/>
                          <w:sz w:val="16"/>
                          <w:szCs w:val="22"/>
                        </w:rPr>
                        <w:t>(mln. USD)</w:t>
                      </w:r>
                    </w:p>
                  </w:txbxContent>
                </v:textbox>
                <w10:wrap type="square" anchorx="margin" anchory="margin"/>
              </v:shape>
            </w:pict>
          </mc:Fallback>
        </mc:AlternateContent>
      </w:r>
      <w:r w:rsidR="00517C35">
        <w:rPr>
          <w:rFonts w:cs="Calibri"/>
          <w:sz w:val="26"/>
          <w:szCs w:val="26"/>
          <w:lang w:val="en-US"/>
        </w:rPr>
        <w:t>Besides</w:t>
      </w:r>
      <w:r w:rsidR="00B535EE" w:rsidRPr="00F45A80">
        <w:rPr>
          <w:rFonts w:cs="Calibri"/>
          <w:sz w:val="26"/>
          <w:szCs w:val="26"/>
          <w:lang w:val="en-US"/>
        </w:rPr>
        <w:t>, oil and gas and energy sector</w:t>
      </w:r>
      <w:r w:rsidR="007A763E" w:rsidRPr="00F45A80">
        <w:rPr>
          <w:rFonts w:cs="Calibri"/>
          <w:sz w:val="26"/>
          <w:szCs w:val="26"/>
          <w:lang w:val="en-US"/>
        </w:rPr>
        <w:t xml:space="preserve"> </w:t>
      </w:r>
      <w:r w:rsidR="00517339" w:rsidRPr="00F45A80">
        <w:rPr>
          <w:rFonts w:cs="Calibri"/>
          <w:sz w:val="26"/>
          <w:szCs w:val="26"/>
          <w:lang w:val="en-US"/>
        </w:rPr>
        <w:t xml:space="preserve">enterprises </w:t>
      </w:r>
      <w:r w:rsidR="007A763E" w:rsidRPr="00F45A80">
        <w:rPr>
          <w:rFonts w:cs="Calibri"/>
          <w:sz w:val="26"/>
          <w:szCs w:val="26"/>
          <w:lang w:val="en-US"/>
        </w:rPr>
        <w:t>as well as</w:t>
      </w:r>
      <w:r w:rsidR="00B535EE" w:rsidRPr="00F45A80">
        <w:rPr>
          <w:rFonts w:cs="Calibri"/>
          <w:sz w:val="26"/>
          <w:szCs w:val="26"/>
          <w:lang w:val="en-US"/>
        </w:rPr>
        <w:t xml:space="preserve"> banking sector</w:t>
      </w:r>
      <w:r w:rsidR="007A763E" w:rsidRPr="00F45A80">
        <w:rPr>
          <w:rFonts w:cs="Calibri"/>
          <w:sz w:val="26"/>
          <w:szCs w:val="26"/>
          <w:lang w:val="en-US"/>
        </w:rPr>
        <w:t xml:space="preserve"> are mak</w:t>
      </w:r>
      <w:r w:rsidR="009B21C7">
        <w:rPr>
          <w:rFonts w:cs="Calibri"/>
          <w:sz w:val="26"/>
          <w:szCs w:val="26"/>
          <w:lang w:val="en-US"/>
        </w:rPr>
        <w:t>ing</w:t>
      </w:r>
      <w:r w:rsidR="007A763E" w:rsidRPr="00F45A80">
        <w:rPr>
          <w:rFonts w:cs="Calibri"/>
          <w:sz w:val="26"/>
          <w:szCs w:val="26"/>
          <w:lang w:val="en-US"/>
        </w:rPr>
        <w:t xml:space="preserve"> the majority of </w:t>
      </w:r>
      <w:r w:rsidR="00B535EE" w:rsidRPr="00F45A80">
        <w:rPr>
          <w:rFonts w:cs="Calibri"/>
          <w:sz w:val="26"/>
          <w:szCs w:val="26"/>
          <w:lang w:val="en-US"/>
        </w:rPr>
        <w:t>principal and interest</w:t>
      </w:r>
      <w:r w:rsidR="007A763E" w:rsidRPr="00F45A80">
        <w:rPr>
          <w:rFonts w:cs="Calibri"/>
          <w:sz w:val="26"/>
          <w:szCs w:val="26"/>
          <w:lang w:val="en-US"/>
        </w:rPr>
        <w:t xml:space="preserve"> payments</w:t>
      </w:r>
      <w:r w:rsidR="002A63B1" w:rsidRPr="00F45A80">
        <w:rPr>
          <w:rFonts w:cs="Calibri"/>
          <w:sz w:val="26"/>
          <w:szCs w:val="26"/>
          <w:lang w:val="en-US"/>
        </w:rPr>
        <w:t xml:space="preserve"> </w:t>
      </w:r>
      <w:r w:rsidR="00517C35">
        <w:rPr>
          <w:rFonts w:cs="Calibri"/>
          <w:color w:val="0070C0"/>
          <w:sz w:val="26"/>
          <w:szCs w:val="26"/>
          <w:lang w:val="en-US"/>
        </w:rPr>
        <w:t>(</w:t>
      </w:r>
      <w:r w:rsidR="00B23450">
        <w:rPr>
          <w:rFonts w:cs="Calibri"/>
          <w:color w:val="0070C0"/>
          <w:sz w:val="26"/>
          <w:szCs w:val="26"/>
          <w:lang w:val="en-US"/>
        </w:rPr>
        <w:t>Figures</w:t>
      </w:r>
      <w:r w:rsidR="00517C35">
        <w:rPr>
          <w:rFonts w:cs="Calibri"/>
          <w:color w:val="0070C0"/>
          <w:sz w:val="26"/>
          <w:szCs w:val="26"/>
          <w:lang w:val="en-US"/>
        </w:rPr>
        <w:t xml:space="preserve"> 2</w:t>
      </w:r>
      <w:r w:rsidR="00AD4257">
        <w:rPr>
          <w:rFonts w:cs="Calibri"/>
          <w:color w:val="0070C0"/>
          <w:sz w:val="26"/>
          <w:szCs w:val="26"/>
          <w:lang w:val="en-US"/>
        </w:rPr>
        <w:t>3</w:t>
      </w:r>
      <w:r w:rsidR="00B535EE" w:rsidRPr="00F45A80">
        <w:rPr>
          <w:rFonts w:cs="Calibri"/>
          <w:color w:val="0070C0"/>
          <w:sz w:val="26"/>
          <w:szCs w:val="26"/>
          <w:lang w:val="en-US"/>
        </w:rPr>
        <w:t>,</w:t>
      </w:r>
      <w:r w:rsidR="005B7939">
        <w:rPr>
          <w:rFonts w:cs="Calibri"/>
          <w:color w:val="0070C0"/>
          <w:sz w:val="26"/>
          <w:szCs w:val="26"/>
          <w:lang w:val="en-US"/>
        </w:rPr>
        <w:t xml:space="preserve"> </w:t>
      </w:r>
      <w:r w:rsidR="00517C35">
        <w:rPr>
          <w:rFonts w:cs="Calibri"/>
          <w:color w:val="0070C0"/>
          <w:sz w:val="26"/>
          <w:szCs w:val="26"/>
          <w:lang w:val="en-US"/>
        </w:rPr>
        <w:t>2</w:t>
      </w:r>
      <w:r w:rsidR="00AD4257">
        <w:rPr>
          <w:rFonts w:cs="Calibri"/>
          <w:color w:val="0070C0"/>
          <w:sz w:val="26"/>
          <w:szCs w:val="26"/>
          <w:lang w:val="en-US"/>
        </w:rPr>
        <w:t>4</w:t>
      </w:r>
      <w:r w:rsidR="00B535EE" w:rsidRPr="00F45A80">
        <w:rPr>
          <w:rFonts w:cs="Calibri"/>
          <w:color w:val="0070C0"/>
          <w:sz w:val="26"/>
          <w:szCs w:val="26"/>
          <w:lang w:val="en-US"/>
        </w:rPr>
        <w:t>)</w:t>
      </w:r>
      <w:r w:rsidR="002A63B1" w:rsidRPr="00F45A80">
        <w:rPr>
          <w:rFonts w:cs="Calibri"/>
          <w:sz w:val="26"/>
          <w:szCs w:val="26"/>
          <w:lang w:val="en-US"/>
        </w:rPr>
        <w:t>.</w:t>
      </w:r>
    </w:p>
    <w:p w:rsidR="00B535EE" w:rsidRPr="00F45A80" w:rsidRDefault="00F724F9" w:rsidP="002A63B1">
      <w:pPr>
        <w:spacing w:before="120" w:after="120" w:line="288" w:lineRule="auto"/>
        <w:ind w:firstLine="708"/>
        <w:jc w:val="both"/>
        <w:rPr>
          <w:rFonts w:cs="Calibri"/>
          <w:color w:val="0070C0"/>
          <w:sz w:val="26"/>
          <w:szCs w:val="26"/>
          <w:lang w:val="en-US"/>
        </w:rPr>
      </w:pPr>
      <w:r>
        <w:rPr>
          <w:noProof/>
        </w:rPr>
        <w:drawing>
          <wp:anchor distT="0" distB="0" distL="114300" distR="114300" simplePos="0" relativeHeight="251694080" behindDoc="0" locked="0" layoutInCell="1" allowOverlap="1" wp14:anchorId="4CBE0196" wp14:editId="304FB887">
            <wp:simplePos x="0" y="0"/>
            <wp:positionH relativeFrom="column">
              <wp:posOffset>2794635</wp:posOffset>
            </wp:positionH>
            <wp:positionV relativeFrom="paragraph">
              <wp:posOffset>8890</wp:posOffset>
            </wp:positionV>
            <wp:extent cx="3585845" cy="3016250"/>
            <wp:effectExtent l="0" t="0" r="0" b="0"/>
            <wp:wrapSquare wrapText="bothSides"/>
            <wp:docPr id="74" name="Диаграмма 74">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margin">
              <wp14:pctWidth>0</wp14:pctWidth>
            </wp14:sizeRelH>
            <wp14:sizeRelV relativeFrom="margin">
              <wp14:pctHeight>0</wp14:pctHeight>
            </wp14:sizeRelV>
          </wp:anchor>
        </w:drawing>
      </w:r>
      <w:r w:rsidR="00B535EE" w:rsidRPr="00F45A80">
        <w:rPr>
          <w:rFonts w:cs="Calibri"/>
          <w:i/>
          <w:sz w:val="26"/>
          <w:szCs w:val="26"/>
          <w:lang w:val="en-US"/>
        </w:rPr>
        <w:t>Appendices 1</w:t>
      </w:r>
      <w:r w:rsidR="00C27F36">
        <w:rPr>
          <w:rFonts w:cs="Calibri"/>
          <w:i/>
          <w:sz w:val="26"/>
          <w:szCs w:val="26"/>
          <w:lang w:val="en-US"/>
        </w:rPr>
        <w:t>4</w:t>
      </w:r>
      <w:r w:rsidR="00B535EE" w:rsidRPr="00F45A80">
        <w:rPr>
          <w:rFonts w:cs="Calibri"/>
          <w:i/>
          <w:sz w:val="26"/>
          <w:szCs w:val="26"/>
          <w:lang w:val="en-US"/>
        </w:rPr>
        <w:t>.1–1</w:t>
      </w:r>
      <w:r w:rsidR="00C27F36">
        <w:rPr>
          <w:rFonts w:cs="Calibri"/>
          <w:i/>
          <w:sz w:val="26"/>
          <w:szCs w:val="26"/>
          <w:lang w:val="en-US"/>
        </w:rPr>
        <w:t>4</w:t>
      </w:r>
      <w:r w:rsidR="00B535EE" w:rsidRPr="00F45A80">
        <w:rPr>
          <w:rFonts w:cs="Calibri"/>
          <w:i/>
          <w:sz w:val="26"/>
          <w:szCs w:val="26"/>
          <w:lang w:val="en-US"/>
        </w:rPr>
        <w:t>.8</w:t>
      </w:r>
      <w:r w:rsidR="00B535EE" w:rsidRPr="00F45A80">
        <w:rPr>
          <w:rFonts w:cs="Calibri"/>
          <w:sz w:val="26"/>
          <w:szCs w:val="26"/>
          <w:lang w:val="en-US"/>
        </w:rPr>
        <w:t xml:space="preserve"> present data on the receipts and repayment of private foreign debt </w:t>
      </w:r>
      <w:r w:rsidR="00D32547">
        <w:rPr>
          <w:rFonts w:cs="Calibri"/>
          <w:sz w:val="26"/>
          <w:szCs w:val="26"/>
          <w:lang w:val="en-US"/>
        </w:rPr>
        <w:t>for</w:t>
      </w:r>
      <w:r w:rsidR="007A7185" w:rsidRPr="00F45A80">
        <w:rPr>
          <w:rFonts w:cs="Calibri"/>
          <w:sz w:val="26"/>
          <w:szCs w:val="26"/>
          <w:lang w:val="en-US"/>
        </w:rPr>
        <w:t xml:space="preserve"> </w:t>
      </w:r>
      <w:r w:rsidR="00517C35">
        <w:rPr>
          <w:rFonts w:cs="Calibri"/>
          <w:sz w:val="26"/>
          <w:szCs w:val="26"/>
          <w:lang w:val="en-US"/>
        </w:rPr>
        <w:t>2020</w:t>
      </w:r>
      <w:r w:rsidR="00B535EE" w:rsidRPr="00F45A80">
        <w:rPr>
          <w:rFonts w:cs="Calibri"/>
          <w:sz w:val="26"/>
          <w:szCs w:val="26"/>
          <w:lang w:val="en-US"/>
        </w:rPr>
        <w:t xml:space="preserve">, as well as forecasts for the repayment of principal and interest on private external debt by type of creditors and borrowers in accordance with </w:t>
      </w:r>
      <w:r w:rsidR="00583400" w:rsidRPr="00F45A80">
        <w:rPr>
          <w:rFonts w:cs="Calibri"/>
          <w:sz w:val="26"/>
          <w:szCs w:val="26"/>
          <w:lang w:val="en-US"/>
        </w:rPr>
        <w:t>i</w:t>
      </w:r>
      <w:r w:rsidR="00D73400">
        <w:rPr>
          <w:rFonts w:cs="Calibri"/>
          <w:sz w:val="26"/>
          <w:szCs w:val="26"/>
          <w:lang w:val="en-US"/>
        </w:rPr>
        <w:t>nternational reporting system.</w:t>
      </w:r>
    </w:p>
    <w:p w:rsidR="00BE0704" w:rsidRDefault="00BE0704" w:rsidP="007E6EBB">
      <w:pPr>
        <w:spacing w:before="120" w:after="120" w:line="288" w:lineRule="auto"/>
        <w:ind w:firstLine="709"/>
        <w:jc w:val="both"/>
        <w:rPr>
          <w:sz w:val="28"/>
          <w:szCs w:val="28"/>
          <w:lang w:val="en-US"/>
        </w:rPr>
      </w:pPr>
    </w:p>
    <w:p w:rsidR="00F024A9" w:rsidRDefault="00F024A9" w:rsidP="007E6EBB">
      <w:pPr>
        <w:spacing w:before="120" w:after="120" w:line="288" w:lineRule="auto"/>
        <w:ind w:firstLine="709"/>
        <w:jc w:val="both"/>
        <w:rPr>
          <w:sz w:val="28"/>
          <w:szCs w:val="28"/>
          <w:lang w:val="en-US"/>
        </w:rPr>
      </w:pPr>
    </w:p>
    <w:p w:rsidR="00F024A9" w:rsidRDefault="00F024A9" w:rsidP="007E6EBB">
      <w:pPr>
        <w:spacing w:before="120" w:after="120" w:line="288" w:lineRule="auto"/>
        <w:ind w:firstLine="709"/>
        <w:jc w:val="both"/>
        <w:rPr>
          <w:sz w:val="28"/>
          <w:szCs w:val="28"/>
          <w:lang w:val="en-US"/>
        </w:rPr>
      </w:pPr>
    </w:p>
    <w:p w:rsidR="00F024A9" w:rsidRPr="00F45A80" w:rsidRDefault="00F024A9" w:rsidP="007E6EBB">
      <w:pPr>
        <w:spacing w:before="120" w:after="120" w:line="288" w:lineRule="auto"/>
        <w:ind w:firstLine="709"/>
        <w:jc w:val="both"/>
        <w:rPr>
          <w:sz w:val="28"/>
          <w:szCs w:val="28"/>
          <w:lang w:val="en-US"/>
        </w:rPr>
      </w:pPr>
    </w:p>
    <w:p w:rsidR="00F724F9" w:rsidRDefault="00F724F9">
      <w:pPr>
        <w:rPr>
          <w:rFonts w:cs="Arial"/>
          <w:lang w:val="en-US"/>
        </w:rPr>
      </w:pPr>
      <w:r>
        <w:rPr>
          <w:rFonts w:cs="Arial"/>
          <w:lang w:val="en-US"/>
        </w:rPr>
        <w:br w:type="page"/>
      </w:r>
    </w:p>
    <w:tbl>
      <w:tblPr>
        <w:tblStyle w:val="ae"/>
        <w:tblW w:w="10050"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none" w:sz="0" w:space="0" w:color="auto"/>
          <w:insideV w:val="none" w:sz="0" w:space="0" w:color="auto"/>
        </w:tblBorders>
        <w:tblLook w:val="04A0" w:firstRow="1" w:lastRow="0" w:firstColumn="1" w:lastColumn="0" w:noHBand="0" w:noVBand="1"/>
      </w:tblPr>
      <w:tblGrid>
        <w:gridCol w:w="10050"/>
      </w:tblGrid>
      <w:tr w:rsidR="00345821" w:rsidRPr="00D040FC" w:rsidTr="00F91CE0">
        <w:tc>
          <w:tcPr>
            <w:tcW w:w="10050" w:type="dxa"/>
          </w:tcPr>
          <w:p w:rsidR="00345821" w:rsidRPr="00141EEC" w:rsidRDefault="00345821" w:rsidP="00141EEC">
            <w:pPr>
              <w:jc w:val="right"/>
              <w:rPr>
                <w:rFonts w:asciiTheme="minorHAnsi" w:hAnsiTheme="minorHAnsi" w:cstheme="minorHAnsi"/>
                <w:highlight w:val="yellow"/>
                <w:lang w:val="en-US"/>
              </w:rPr>
            </w:pPr>
          </w:p>
          <w:p w:rsidR="00345821" w:rsidRPr="00345821" w:rsidRDefault="00345821" w:rsidP="00141EEC">
            <w:pPr>
              <w:rPr>
                <w:rFonts w:asciiTheme="minorHAnsi" w:hAnsiTheme="minorHAnsi" w:cstheme="minorHAnsi"/>
                <w:i/>
                <w:lang w:val="en-US"/>
              </w:rPr>
            </w:pPr>
            <w:r>
              <w:rPr>
                <w:rFonts w:asciiTheme="minorHAnsi" w:hAnsiTheme="minorHAnsi" w:cstheme="minorHAnsi"/>
                <w:b/>
                <w:lang w:val="en-US"/>
              </w:rPr>
              <w:t>Insert</w:t>
            </w:r>
            <w:r w:rsidRPr="00345821">
              <w:rPr>
                <w:rFonts w:asciiTheme="minorHAnsi" w:hAnsiTheme="minorHAnsi" w:cstheme="minorHAnsi"/>
                <w:b/>
                <w:lang w:val="en-US"/>
              </w:rPr>
              <w:t xml:space="preserve"> </w:t>
            </w:r>
            <w:r>
              <w:rPr>
                <w:rFonts w:asciiTheme="minorHAnsi" w:hAnsiTheme="minorHAnsi" w:cstheme="minorHAnsi"/>
                <w:b/>
                <w:lang w:val="en-US"/>
              </w:rPr>
              <w:t>1</w:t>
            </w:r>
            <w:r w:rsidRPr="00345821">
              <w:rPr>
                <w:rFonts w:asciiTheme="minorHAnsi" w:hAnsiTheme="minorHAnsi" w:cstheme="minorHAnsi"/>
                <w:b/>
                <w:lang w:val="en-US"/>
              </w:rPr>
              <w:t xml:space="preserve">. </w:t>
            </w:r>
            <w:r>
              <w:rPr>
                <w:rFonts w:asciiTheme="minorHAnsi" w:hAnsiTheme="minorHAnsi" w:cstheme="minorHAnsi"/>
                <w:b/>
                <w:lang w:val="en-US"/>
              </w:rPr>
              <w:t>Information</w:t>
            </w:r>
            <w:r w:rsidRPr="00345821">
              <w:rPr>
                <w:rFonts w:asciiTheme="minorHAnsi" w:hAnsiTheme="minorHAnsi" w:cstheme="minorHAnsi"/>
                <w:b/>
                <w:lang w:val="en-US"/>
              </w:rPr>
              <w:t xml:space="preserve"> </w:t>
            </w:r>
            <w:r>
              <w:rPr>
                <w:rFonts w:asciiTheme="minorHAnsi" w:hAnsiTheme="minorHAnsi" w:cstheme="minorHAnsi"/>
                <w:b/>
                <w:lang w:val="en-US"/>
              </w:rPr>
              <w:t>about gross external debt.</w:t>
            </w:r>
            <w:r w:rsidRPr="005B6080">
              <w:rPr>
                <w:rStyle w:val="a9"/>
                <w:rFonts w:asciiTheme="minorHAnsi" w:hAnsiTheme="minorHAnsi" w:cstheme="minorHAnsi"/>
              </w:rPr>
              <w:footnoteReference w:id="15"/>
            </w:r>
          </w:p>
          <w:p w:rsidR="00345821" w:rsidRPr="00345821" w:rsidRDefault="00345821" w:rsidP="00141EEC">
            <w:pPr>
              <w:jc w:val="center"/>
              <w:rPr>
                <w:rFonts w:asciiTheme="minorHAnsi" w:hAnsiTheme="minorHAnsi" w:cstheme="minorHAnsi"/>
                <w:lang w:val="en-US"/>
              </w:rPr>
            </w:pPr>
          </w:p>
          <w:p w:rsidR="00345821" w:rsidRPr="00345821" w:rsidRDefault="00345821" w:rsidP="00141EEC">
            <w:pPr>
              <w:ind w:left="22" w:firstLine="567"/>
              <w:jc w:val="both"/>
              <w:rPr>
                <w:rFonts w:asciiTheme="minorHAnsi" w:hAnsiTheme="minorHAnsi" w:cstheme="minorHAnsi"/>
                <w:i/>
                <w:sz w:val="22"/>
                <w:szCs w:val="22"/>
                <w:lang w:val="en-US"/>
              </w:rPr>
            </w:pPr>
            <w:r>
              <w:rPr>
                <w:rFonts w:asciiTheme="minorHAnsi" w:hAnsiTheme="minorHAnsi" w:cstheme="minorHAnsi"/>
                <w:i/>
                <w:sz w:val="22"/>
                <w:szCs w:val="22"/>
                <w:lang w:val="en-US"/>
              </w:rPr>
              <w:t xml:space="preserve">This section presents data </w:t>
            </w:r>
            <w:r w:rsidR="00611703">
              <w:rPr>
                <w:rFonts w:asciiTheme="minorHAnsi" w:hAnsiTheme="minorHAnsi" w:cstheme="minorHAnsi"/>
                <w:i/>
                <w:sz w:val="22"/>
                <w:szCs w:val="22"/>
                <w:lang w:val="en-US"/>
              </w:rPr>
              <w:t xml:space="preserve">in line with quarterly external debt tables of IMF’s </w:t>
            </w:r>
            <w:r>
              <w:rPr>
                <w:rFonts w:asciiTheme="minorHAnsi" w:hAnsiTheme="minorHAnsi" w:cstheme="minorHAnsi"/>
                <w:i/>
                <w:sz w:val="22"/>
                <w:szCs w:val="22"/>
                <w:lang w:val="en-US"/>
              </w:rPr>
              <w:t xml:space="preserve">Special data dissemination standard. During </w:t>
            </w:r>
            <w:r w:rsidR="00611703">
              <w:rPr>
                <w:rFonts w:asciiTheme="minorHAnsi" w:hAnsiTheme="minorHAnsi" w:cstheme="minorHAnsi"/>
                <w:i/>
                <w:sz w:val="22"/>
                <w:szCs w:val="22"/>
                <w:lang w:val="en-US"/>
              </w:rPr>
              <w:t xml:space="preserve">compilation of tables </w:t>
            </w:r>
            <w:r>
              <w:rPr>
                <w:rFonts w:asciiTheme="minorHAnsi" w:hAnsiTheme="minorHAnsi" w:cstheme="minorHAnsi"/>
                <w:i/>
                <w:sz w:val="22"/>
                <w:szCs w:val="22"/>
                <w:lang w:val="en-US"/>
              </w:rPr>
              <w:t xml:space="preserve">liabilities to non-residents </w:t>
            </w:r>
            <w:r w:rsidR="00611703">
              <w:rPr>
                <w:rFonts w:asciiTheme="minorHAnsi" w:hAnsiTheme="minorHAnsi" w:cstheme="minorHAnsi"/>
                <w:i/>
                <w:sz w:val="22"/>
                <w:szCs w:val="22"/>
                <w:lang w:val="en-US"/>
              </w:rPr>
              <w:t>in all instruments</w:t>
            </w:r>
            <w:r w:rsidR="00611703">
              <w:rPr>
                <w:rFonts w:asciiTheme="minorHAnsi" w:hAnsiTheme="minorHAnsi" w:cstheme="minorHAnsi"/>
                <w:i/>
                <w:sz w:val="22"/>
                <w:szCs w:val="22"/>
                <w:lang w:val="en-US"/>
              </w:rPr>
              <w:t xml:space="preserve"> </w:t>
            </w:r>
            <w:r>
              <w:rPr>
                <w:rFonts w:asciiTheme="minorHAnsi" w:hAnsiTheme="minorHAnsi" w:cstheme="minorHAnsi"/>
                <w:i/>
                <w:sz w:val="22"/>
                <w:szCs w:val="22"/>
                <w:lang w:val="en-US"/>
              </w:rPr>
              <w:t xml:space="preserve">are taken into account. </w:t>
            </w:r>
            <w:r w:rsidR="00611703">
              <w:rPr>
                <w:rFonts w:asciiTheme="minorHAnsi" w:hAnsiTheme="minorHAnsi" w:cstheme="minorHAnsi"/>
                <w:i/>
                <w:sz w:val="22"/>
                <w:szCs w:val="22"/>
                <w:lang w:val="en-US"/>
              </w:rPr>
              <w:br/>
            </w:r>
            <w:r>
              <w:rPr>
                <w:rFonts w:asciiTheme="minorHAnsi" w:hAnsiTheme="minorHAnsi" w:cstheme="minorHAnsi"/>
                <w:i/>
                <w:sz w:val="22"/>
                <w:szCs w:val="22"/>
                <w:lang w:val="en-US"/>
              </w:rPr>
              <w:t>The sectorial breakdown is based on th</w:t>
            </w:r>
            <w:r w:rsidR="00611703">
              <w:rPr>
                <w:rFonts w:asciiTheme="minorHAnsi" w:hAnsiTheme="minorHAnsi" w:cstheme="minorHAnsi"/>
                <w:i/>
                <w:sz w:val="22"/>
                <w:szCs w:val="22"/>
                <w:lang w:val="en-US"/>
              </w:rPr>
              <w:t>e external debt servicing sector.</w:t>
            </w:r>
          </w:p>
          <w:p w:rsidR="00345821" w:rsidRPr="00345821" w:rsidRDefault="00345821" w:rsidP="00141EEC">
            <w:pPr>
              <w:ind w:left="587" w:right="723"/>
              <w:jc w:val="both"/>
              <w:rPr>
                <w:rFonts w:asciiTheme="minorHAnsi" w:hAnsiTheme="minorHAnsi" w:cstheme="minorHAnsi"/>
                <w:sz w:val="22"/>
                <w:szCs w:val="22"/>
                <w:lang w:val="en-US"/>
              </w:rPr>
            </w:pPr>
          </w:p>
          <w:p w:rsidR="00F91CE0" w:rsidRPr="002E3AFC" w:rsidRDefault="00345821" w:rsidP="002E3AFC">
            <w:pPr>
              <w:ind w:firstLine="741"/>
              <w:jc w:val="both"/>
              <w:rPr>
                <w:rFonts w:cs="Calibri"/>
                <w:sz w:val="26"/>
                <w:szCs w:val="26"/>
                <w:lang w:val="en-US"/>
              </w:rPr>
            </w:pPr>
            <w:r w:rsidRPr="002E3AFC">
              <w:rPr>
                <w:rFonts w:cs="Calibri"/>
                <w:sz w:val="26"/>
                <w:szCs w:val="26"/>
                <w:lang w:val="en-US"/>
              </w:rPr>
              <w:t xml:space="preserve">The volume of gross external debt of the Republic of Uzbekistan </w:t>
            </w:r>
            <w:r w:rsidR="00F91CE0" w:rsidRPr="002E3AFC">
              <w:rPr>
                <w:rFonts w:cs="Calibri"/>
                <w:sz w:val="26"/>
                <w:szCs w:val="26"/>
                <w:lang w:val="en-US"/>
              </w:rPr>
              <w:t>by the 1 January, 2021 equal to USD 36.2 billion, growth for 2020 by 37.5% or to USD 9.9 billion</w:t>
            </w:r>
          </w:p>
          <w:p w:rsidR="009B0578" w:rsidRDefault="009B0578" w:rsidP="00141EEC">
            <w:pPr>
              <w:ind w:firstLine="741"/>
              <w:jc w:val="right"/>
              <w:rPr>
                <w:rFonts w:asciiTheme="minorHAnsi" w:hAnsiTheme="minorHAnsi" w:cstheme="minorHAnsi"/>
                <w:lang w:val="en-US"/>
              </w:rPr>
            </w:pPr>
          </w:p>
          <w:p w:rsidR="00345821" w:rsidRPr="005A1478" w:rsidRDefault="00345821" w:rsidP="00141EEC">
            <w:pPr>
              <w:ind w:firstLine="741"/>
              <w:jc w:val="right"/>
              <w:rPr>
                <w:rFonts w:asciiTheme="minorHAnsi" w:hAnsiTheme="minorHAnsi" w:cstheme="minorHAnsi"/>
                <w:lang w:val="en-US"/>
              </w:rPr>
            </w:pPr>
            <w:r w:rsidRPr="005A1478">
              <w:rPr>
                <w:rFonts w:asciiTheme="minorHAnsi" w:hAnsiTheme="minorHAnsi" w:cstheme="minorHAnsi"/>
                <w:lang w:val="en-US"/>
              </w:rPr>
              <w:t xml:space="preserve"> </w:t>
            </w:r>
            <w:r w:rsidR="00F91CE0">
              <w:rPr>
                <w:rFonts w:asciiTheme="minorHAnsi" w:hAnsiTheme="minorHAnsi" w:cstheme="minorHAnsi"/>
                <w:lang w:val="en-US"/>
              </w:rPr>
              <w:t>Table</w:t>
            </w:r>
            <w:r w:rsidRPr="005A1478">
              <w:rPr>
                <w:rFonts w:asciiTheme="minorHAnsi" w:hAnsiTheme="minorHAnsi" w:cstheme="minorHAnsi"/>
                <w:lang w:val="en-US"/>
              </w:rPr>
              <w:t xml:space="preserve"> 1</w:t>
            </w:r>
          </w:p>
          <w:p w:rsidR="00345821" w:rsidRPr="00F91CE0" w:rsidRDefault="00F91CE0" w:rsidP="00F91CE0">
            <w:pPr>
              <w:jc w:val="center"/>
              <w:rPr>
                <w:rFonts w:asciiTheme="minorHAnsi" w:hAnsiTheme="minorHAnsi" w:cstheme="minorHAnsi"/>
                <w:i/>
                <w:color w:val="000000"/>
                <w:sz w:val="20"/>
                <w:szCs w:val="20"/>
                <w:lang w:val="en-US"/>
              </w:rPr>
            </w:pPr>
            <w:r>
              <w:rPr>
                <w:rFonts w:asciiTheme="minorHAnsi" w:hAnsiTheme="minorHAnsi" w:cstheme="minorHAnsi"/>
                <w:b/>
                <w:lang w:val="en-US"/>
              </w:rPr>
              <w:t>Structure</w:t>
            </w:r>
            <w:r w:rsidR="00345821" w:rsidRPr="00F91CE0">
              <w:rPr>
                <w:rFonts w:asciiTheme="minorHAnsi" w:hAnsiTheme="minorHAnsi" w:cstheme="minorHAnsi"/>
                <w:b/>
                <w:lang w:val="en-US"/>
              </w:rPr>
              <w:t xml:space="preserve"> </w:t>
            </w:r>
            <w:r>
              <w:rPr>
                <w:rFonts w:asciiTheme="minorHAnsi" w:hAnsiTheme="minorHAnsi" w:cstheme="minorHAnsi"/>
                <w:b/>
                <w:lang w:val="en-US"/>
              </w:rPr>
              <w:t>and</w:t>
            </w:r>
            <w:r w:rsidR="00345821" w:rsidRPr="00F91CE0">
              <w:rPr>
                <w:rFonts w:asciiTheme="minorHAnsi" w:hAnsiTheme="minorHAnsi" w:cstheme="minorHAnsi"/>
                <w:b/>
                <w:lang w:val="en-US"/>
              </w:rPr>
              <w:t xml:space="preserve"> </w:t>
            </w:r>
            <w:r>
              <w:rPr>
                <w:rFonts w:asciiTheme="minorHAnsi" w:hAnsiTheme="minorHAnsi" w:cstheme="minorHAnsi"/>
                <w:b/>
                <w:lang w:val="en-US"/>
              </w:rPr>
              <w:t>change</w:t>
            </w:r>
            <w:r w:rsidR="00345821" w:rsidRPr="00F91CE0">
              <w:rPr>
                <w:rFonts w:asciiTheme="minorHAnsi" w:hAnsiTheme="minorHAnsi" w:cstheme="minorHAnsi"/>
                <w:b/>
                <w:lang w:val="en-US"/>
              </w:rPr>
              <w:t xml:space="preserve"> </w:t>
            </w:r>
            <w:r>
              <w:rPr>
                <w:rFonts w:asciiTheme="minorHAnsi" w:hAnsiTheme="minorHAnsi" w:cstheme="minorHAnsi"/>
                <w:b/>
                <w:lang w:val="en-US"/>
              </w:rPr>
              <w:t>gross</w:t>
            </w:r>
            <w:r w:rsidR="00345821" w:rsidRPr="00F91CE0">
              <w:rPr>
                <w:rFonts w:asciiTheme="minorHAnsi" w:hAnsiTheme="minorHAnsi" w:cstheme="minorHAnsi"/>
                <w:b/>
                <w:lang w:val="en-US"/>
              </w:rPr>
              <w:t xml:space="preserve"> </w:t>
            </w:r>
            <w:r>
              <w:rPr>
                <w:rFonts w:asciiTheme="minorHAnsi" w:hAnsiTheme="minorHAnsi" w:cstheme="minorHAnsi"/>
                <w:b/>
                <w:lang w:val="en-US"/>
              </w:rPr>
              <w:t>external debt</w:t>
            </w:r>
            <w:r w:rsidR="00345821" w:rsidRPr="00F91CE0">
              <w:rPr>
                <w:rFonts w:asciiTheme="minorHAnsi" w:hAnsiTheme="minorHAnsi" w:cstheme="minorHAnsi"/>
                <w:b/>
                <w:lang w:val="en-US"/>
              </w:rPr>
              <w:t xml:space="preserve"> </w:t>
            </w:r>
            <w:r>
              <w:rPr>
                <w:rFonts w:asciiTheme="minorHAnsi" w:hAnsiTheme="minorHAnsi" w:cstheme="minorHAnsi"/>
                <w:b/>
                <w:lang w:val="en-US"/>
              </w:rPr>
              <w:t>by sectors of economy</w:t>
            </w:r>
          </w:p>
          <w:p w:rsidR="00345821" w:rsidRPr="00C92486" w:rsidRDefault="00345821" w:rsidP="00141EEC">
            <w:pPr>
              <w:pStyle w:val="aff8"/>
              <w:spacing w:before="0" w:beforeAutospacing="0" w:after="0" w:afterAutospacing="0"/>
              <w:ind w:firstLine="8385"/>
              <w:jc w:val="center"/>
              <w:rPr>
                <w:rFonts w:asciiTheme="minorHAnsi" w:hAnsiTheme="minorHAnsi" w:cstheme="minorHAnsi"/>
                <w:i/>
                <w:sz w:val="20"/>
                <w:szCs w:val="20"/>
              </w:rPr>
            </w:pPr>
            <w:r w:rsidRPr="00C92486">
              <w:rPr>
                <w:rFonts w:asciiTheme="minorHAnsi" w:hAnsiTheme="minorHAnsi" w:cstheme="minorHAnsi"/>
                <w:i/>
                <w:color w:val="000000"/>
                <w:sz w:val="20"/>
                <w:szCs w:val="20"/>
              </w:rPr>
              <w:t>(</w:t>
            </w:r>
            <w:r w:rsidR="00F91CE0">
              <w:rPr>
                <w:rFonts w:asciiTheme="minorHAnsi" w:hAnsiTheme="minorHAnsi" w:cstheme="minorHAnsi"/>
                <w:i/>
                <w:color w:val="000000"/>
                <w:sz w:val="20"/>
                <w:szCs w:val="20"/>
                <w:lang w:val="en-US"/>
              </w:rPr>
              <w:t>mln</w:t>
            </w:r>
            <w:r w:rsidRPr="00C92486">
              <w:rPr>
                <w:rFonts w:asciiTheme="minorHAnsi" w:hAnsiTheme="minorHAnsi" w:cstheme="minorHAnsi"/>
                <w:i/>
                <w:color w:val="000000"/>
                <w:sz w:val="20"/>
                <w:szCs w:val="20"/>
              </w:rPr>
              <w:t xml:space="preserve">. </w:t>
            </w:r>
            <w:r w:rsidR="00F91CE0">
              <w:rPr>
                <w:rFonts w:asciiTheme="minorHAnsi" w:hAnsiTheme="minorHAnsi" w:cstheme="minorHAnsi"/>
                <w:i/>
                <w:color w:val="000000"/>
                <w:sz w:val="20"/>
                <w:szCs w:val="20"/>
                <w:lang w:val="en-US"/>
              </w:rPr>
              <w:t>doll</w:t>
            </w:r>
            <w:r w:rsidRPr="00C92486">
              <w:rPr>
                <w:rFonts w:asciiTheme="minorHAnsi" w:hAnsiTheme="minorHAnsi" w:cstheme="minorHAnsi"/>
                <w:i/>
                <w:color w:val="000000"/>
                <w:sz w:val="20"/>
                <w:szCs w:val="20"/>
              </w:rPr>
              <w:t>.)</w:t>
            </w:r>
          </w:p>
          <w:tbl>
            <w:tblPr>
              <w:tblW w:w="960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34"/>
              <w:gridCol w:w="1342"/>
              <w:gridCol w:w="1342"/>
              <w:gridCol w:w="1229"/>
              <w:gridCol w:w="1123"/>
              <w:gridCol w:w="1331"/>
            </w:tblGrid>
            <w:tr w:rsidR="00345821" w:rsidRPr="00C92486" w:rsidTr="00141EEC">
              <w:trPr>
                <w:trHeight w:val="244"/>
              </w:trPr>
              <w:tc>
                <w:tcPr>
                  <w:tcW w:w="3234" w:type="dxa"/>
                  <w:vMerge w:val="restart"/>
                  <w:shd w:val="clear" w:color="auto" w:fill="auto"/>
                  <w:vAlign w:val="center"/>
                  <w:hideMark/>
                </w:tcPr>
                <w:p w:rsidR="00345821" w:rsidRPr="00C92486" w:rsidRDefault="00345821" w:rsidP="00141EEC">
                  <w:pPr>
                    <w:rPr>
                      <w:rFonts w:asciiTheme="minorHAnsi" w:hAnsiTheme="minorHAnsi" w:cstheme="minorHAnsi"/>
                      <w:color w:val="000000"/>
                      <w:sz w:val="20"/>
                      <w:szCs w:val="20"/>
                    </w:rPr>
                  </w:pPr>
                </w:p>
              </w:tc>
              <w:tc>
                <w:tcPr>
                  <w:tcW w:w="1342" w:type="dxa"/>
                  <w:vMerge w:val="restart"/>
                  <w:shd w:val="clear" w:color="auto" w:fill="auto"/>
                  <w:vAlign w:val="center"/>
                  <w:hideMark/>
                </w:tcPr>
                <w:p w:rsidR="00345821" w:rsidRPr="00C92486" w:rsidRDefault="00345821" w:rsidP="00141EEC">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01.01.2019 г</w:t>
                  </w:r>
                </w:p>
              </w:tc>
              <w:tc>
                <w:tcPr>
                  <w:tcW w:w="1342" w:type="dxa"/>
                  <w:vMerge w:val="restart"/>
                  <w:shd w:val="clear" w:color="auto" w:fill="auto"/>
                  <w:vAlign w:val="center"/>
                  <w:hideMark/>
                </w:tcPr>
                <w:p w:rsidR="00345821" w:rsidRPr="00C92486" w:rsidRDefault="00345821" w:rsidP="00141EEC">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01.01.2020 г</w:t>
                  </w:r>
                </w:p>
              </w:tc>
              <w:tc>
                <w:tcPr>
                  <w:tcW w:w="2352" w:type="dxa"/>
                  <w:gridSpan w:val="2"/>
                  <w:vMerge w:val="restart"/>
                  <w:shd w:val="clear" w:color="auto" w:fill="auto"/>
                  <w:vAlign w:val="center"/>
                  <w:hideMark/>
                </w:tcPr>
                <w:p w:rsidR="00345821" w:rsidRPr="00C92486" w:rsidRDefault="00345821" w:rsidP="00141EEC">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01.01.2021 г</w:t>
                  </w:r>
                </w:p>
              </w:tc>
              <w:tc>
                <w:tcPr>
                  <w:tcW w:w="1331" w:type="dxa"/>
                  <w:vMerge w:val="restart"/>
                  <w:shd w:val="clear" w:color="auto" w:fill="auto"/>
                  <w:vAlign w:val="center"/>
                  <w:hideMark/>
                </w:tcPr>
                <w:p w:rsidR="00345821" w:rsidRPr="00C92486" w:rsidRDefault="00F91CE0" w:rsidP="00F91CE0">
                  <w:pPr>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Change for</w:t>
                  </w:r>
                  <w:r>
                    <w:rPr>
                      <w:rFonts w:asciiTheme="minorHAnsi" w:hAnsiTheme="minorHAnsi" w:cstheme="minorHAnsi"/>
                      <w:color w:val="000000"/>
                      <w:sz w:val="20"/>
                      <w:szCs w:val="20"/>
                    </w:rPr>
                    <w:t xml:space="preserve"> 2020 </w:t>
                  </w:r>
                </w:p>
              </w:tc>
            </w:tr>
            <w:tr w:rsidR="00345821" w:rsidRPr="00C92486" w:rsidTr="00141EEC">
              <w:trPr>
                <w:trHeight w:val="269"/>
              </w:trPr>
              <w:tc>
                <w:tcPr>
                  <w:tcW w:w="3234" w:type="dxa"/>
                  <w:vMerge/>
                  <w:vAlign w:val="center"/>
                  <w:hideMark/>
                </w:tcPr>
                <w:p w:rsidR="00345821" w:rsidRPr="00C92486" w:rsidRDefault="00345821" w:rsidP="00141EEC">
                  <w:pPr>
                    <w:rPr>
                      <w:rFonts w:asciiTheme="minorHAnsi" w:hAnsiTheme="minorHAnsi" w:cstheme="minorHAnsi"/>
                      <w:color w:val="000000"/>
                      <w:sz w:val="22"/>
                      <w:szCs w:val="22"/>
                    </w:rPr>
                  </w:pPr>
                </w:p>
              </w:tc>
              <w:tc>
                <w:tcPr>
                  <w:tcW w:w="1342" w:type="dxa"/>
                  <w:vMerge/>
                  <w:vAlign w:val="center"/>
                  <w:hideMark/>
                </w:tcPr>
                <w:p w:rsidR="00345821" w:rsidRPr="00C92486" w:rsidRDefault="00345821" w:rsidP="00141EEC">
                  <w:pPr>
                    <w:rPr>
                      <w:rFonts w:asciiTheme="minorHAnsi" w:hAnsiTheme="minorHAnsi" w:cstheme="minorHAnsi"/>
                      <w:color w:val="000000"/>
                      <w:sz w:val="22"/>
                      <w:szCs w:val="22"/>
                    </w:rPr>
                  </w:pPr>
                </w:p>
              </w:tc>
              <w:tc>
                <w:tcPr>
                  <w:tcW w:w="1342" w:type="dxa"/>
                  <w:vMerge/>
                  <w:vAlign w:val="center"/>
                  <w:hideMark/>
                </w:tcPr>
                <w:p w:rsidR="00345821" w:rsidRPr="00C92486" w:rsidRDefault="00345821" w:rsidP="00141EEC">
                  <w:pPr>
                    <w:rPr>
                      <w:rFonts w:asciiTheme="minorHAnsi" w:hAnsiTheme="minorHAnsi" w:cstheme="minorHAnsi"/>
                      <w:color w:val="000000"/>
                      <w:sz w:val="22"/>
                      <w:szCs w:val="22"/>
                    </w:rPr>
                  </w:pPr>
                </w:p>
              </w:tc>
              <w:tc>
                <w:tcPr>
                  <w:tcW w:w="2352" w:type="dxa"/>
                  <w:gridSpan w:val="2"/>
                  <w:vMerge/>
                  <w:vAlign w:val="center"/>
                  <w:hideMark/>
                </w:tcPr>
                <w:p w:rsidR="00345821" w:rsidRPr="00C92486" w:rsidRDefault="00345821" w:rsidP="00141EEC">
                  <w:pPr>
                    <w:rPr>
                      <w:rFonts w:asciiTheme="minorHAnsi" w:hAnsiTheme="minorHAnsi" w:cstheme="minorHAnsi"/>
                      <w:color w:val="000000"/>
                      <w:sz w:val="22"/>
                      <w:szCs w:val="22"/>
                    </w:rPr>
                  </w:pPr>
                </w:p>
              </w:tc>
              <w:tc>
                <w:tcPr>
                  <w:tcW w:w="1331" w:type="dxa"/>
                  <w:vMerge/>
                  <w:vAlign w:val="center"/>
                  <w:hideMark/>
                </w:tcPr>
                <w:p w:rsidR="00345821" w:rsidRPr="00C92486" w:rsidRDefault="00345821" w:rsidP="00141EEC">
                  <w:pPr>
                    <w:rPr>
                      <w:rFonts w:asciiTheme="minorHAnsi" w:hAnsiTheme="minorHAnsi" w:cstheme="minorHAnsi"/>
                      <w:color w:val="000000"/>
                      <w:sz w:val="22"/>
                      <w:szCs w:val="22"/>
                    </w:rPr>
                  </w:pPr>
                </w:p>
              </w:tc>
            </w:tr>
            <w:tr w:rsidR="00345821" w:rsidRPr="00C92486" w:rsidTr="00141EEC">
              <w:trPr>
                <w:trHeight w:val="70"/>
              </w:trPr>
              <w:tc>
                <w:tcPr>
                  <w:tcW w:w="3234" w:type="dxa"/>
                  <w:vMerge/>
                  <w:vAlign w:val="center"/>
                  <w:hideMark/>
                </w:tcPr>
                <w:p w:rsidR="00345821" w:rsidRPr="00C92486" w:rsidRDefault="00345821" w:rsidP="00141EEC">
                  <w:pPr>
                    <w:rPr>
                      <w:rFonts w:asciiTheme="minorHAnsi" w:hAnsiTheme="minorHAnsi" w:cstheme="minorHAnsi"/>
                      <w:color w:val="000000"/>
                      <w:sz w:val="22"/>
                      <w:szCs w:val="22"/>
                    </w:rPr>
                  </w:pPr>
                </w:p>
              </w:tc>
              <w:tc>
                <w:tcPr>
                  <w:tcW w:w="1342" w:type="dxa"/>
                  <w:vMerge/>
                  <w:vAlign w:val="center"/>
                  <w:hideMark/>
                </w:tcPr>
                <w:p w:rsidR="00345821" w:rsidRPr="00C92486" w:rsidRDefault="00345821" w:rsidP="00141EEC">
                  <w:pPr>
                    <w:rPr>
                      <w:rFonts w:asciiTheme="minorHAnsi" w:hAnsiTheme="minorHAnsi" w:cstheme="minorHAnsi"/>
                      <w:color w:val="000000"/>
                      <w:sz w:val="22"/>
                      <w:szCs w:val="22"/>
                    </w:rPr>
                  </w:pPr>
                </w:p>
              </w:tc>
              <w:tc>
                <w:tcPr>
                  <w:tcW w:w="1342" w:type="dxa"/>
                  <w:vMerge/>
                  <w:vAlign w:val="center"/>
                  <w:hideMark/>
                </w:tcPr>
                <w:p w:rsidR="00345821" w:rsidRPr="00C92486" w:rsidRDefault="00345821" w:rsidP="00141EEC">
                  <w:pPr>
                    <w:rPr>
                      <w:rFonts w:asciiTheme="minorHAnsi" w:hAnsiTheme="minorHAnsi" w:cstheme="minorHAnsi"/>
                      <w:color w:val="000000"/>
                      <w:sz w:val="22"/>
                      <w:szCs w:val="22"/>
                    </w:rPr>
                  </w:pPr>
                </w:p>
              </w:tc>
              <w:tc>
                <w:tcPr>
                  <w:tcW w:w="1229" w:type="dxa"/>
                  <w:shd w:val="clear" w:color="auto" w:fill="auto"/>
                  <w:vAlign w:val="center"/>
                  <w:hideMark/>
                </w:tcPr>
                <w:p w:rsidR="00345821" w:rsidRPr="00F91CE0" w:rsidRDefault="00F91CE0" w:rsidP="00141EEC">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value</w:t>
                  </w:r>
                </w:p>
              </w:tc>
              <w:tc>
                <w:tcPr>
                  <w:tcW w:w="1123" w:type="dxa"/>
                  <w:shd w:val="clear" w:color="auto" w:fill="auto"/>
                  <w:vAlign w:val="center"/>
                  <w:hideMark/>
                </w:tcPr>
                <w:p w:rsidR="00345821" w:rsidRPr="00F91CE0" w:rsidRDefault="00F91CE0" w:rsidP="00141EEC">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share</w:t>
                  </w:r>
                </w:p>
              </w:tc>
              <w:tc>
                <w:tcPr>
                  <w:tcW w:w="1331" w:type="dxa"/>
                  <w:vMerge/>
                  <w:vAlign w:val="center"/>
                  <w:hideMark/>
                </w:tcPr>
                <w:p w:rsidR="00345821" w:rsidRPr="00C92486" w:rsidRDefault="00345821" w:rsidP="00141EEC">
                  <w:pPr>
                    <w:rPr>
                      <w:rFonts w:asciiTheme="minorHAnsi" w:hAnsiTheme="minorHAnsi" w:cstheme="minorHAnsi"/>
                      <w:color w:val="000000"/>
                      <w:sz w:val="22"/>
                      <w:szCs w:val="22"/>
                    </w:rPr>
                  </w:pPr>
                </w:p>
              </w:tc>
            </w:tr>
            <w:tr w:rsidR="00345821" w:rsidRPr="00C92486" w:rsidTr="00141EEC">
              <w:trPr>
                <w:trHeight w:val="145"/>
              </w:trPr>
              <w:tc>
                <w:tcPr>
                  <w:tcW w:w="3234" w:type="dxa"/>
                  <w:shd w:val="clear" w:color="auto" w:fill="9CC2E5" w:themeFill="accent1" w:themeFillTint="99"/>
                  <w:vAlign w:val="center"/>
                  <w:hideMark/>
                </w:tcPr>
                <w:p w:rsidR="00345821" w:rsidRPr="00C92486" w:rsidRDefault="00F91CE0" w:rsidP="00141EEC">
                  <w:pPr>
                    <w:rPr>
                      <w:rFonts w:asciiTheme="minorHAnsi" w:hAnsiTheme="minorHAnsi" w:cstheme="minorHAnsi"/>
                      <w:b/>
                      <w:color w:val="000000"/>
                      <w:sz w:val="20"/>
                      <w:szCs w:val="20"/>
                    </w:rPr>
                  </w:pPr>
                  <w:r>
                    <w:rPr>
                      <w:rFonts w:asciiTheme="minorHAnsi" w:hAnsiTheme="minorHAnsi" w:cstheme="minorHAnsi"/>
                      <w:b/>
                      <w:lang w:val="en-US"/>
                    </w:rPr>
                    <w:t>Gross</w:t>
                  </w:r>
                  <w:r w:rsidRPr="00F91CE0">
                    <w:rPr>
                      <w:rFonts w:asciiTheme="minorHAnsi" w:hAnsiTheme="minorHAnsi" w:cstheme="minorHAnsi"/>
                      <w:b/>
                      <w:lang w:val="en-US"/>
                    </w:rPr>
                    <w:t xml:space="preserve"> </w:t>
                  </w:r>
                  <w:r>
                    <w:rPr>
                      <w:rFonts w:asciiTheme="minorHAnsi" w:hAnsiTheme="minorHAnsi" w:cstheme="minorHAnsi"/>
                      <w:b/>
                      <w:lang w:val="en-US"/>
                    </w:rPr>
                    <w:t>external debt</w:t>
                  </w:r>
                </w:p>
              </w:tc>
              <w:tc>
                <w:tcPr>
                  <w:tcW w:w="1342" w:type="dxa"/>
                  <w:shd w:val="clear" w:color="auto" w:fill="9CC2E5" w:themeFill="accent1" w:themeFillTint="99"/>
                  <w:vAlign w:val="center"/>
                  <w:hideMark/>
                </w:tcPr>
                <w:p w:rsidR="00345821" w:rsidRPr="00C92486" w:rsidRDefault="00345821" w:rsidP="00141EEC">
                  <w:pPr>
                    <w:jc w:val="right"/>
                    <w:rPr>
                      <w:rFonts w:asciiTheme="minorHAnsi" w:hAnsiTheme="minorHAnsi" w:cstheme="minorHAnsi"/>
                      <w:b/>
                      <w:bCs/>
                      <w:color w:val="000000"/>
                      <w:sz w:val="20"/>
                      <w:szCs w:val="20"/>
                    </w:rPr>
                  </w:pPr>
                  <w:r w:rsidRPr="00C92486">
                    <w:rPr>
                      <w:rFonts w:asciiTheme="minorHAnsi" w:hAnsiTheme="minorHAnsi" w:cstheme="minorHAnsi"/>
                      <w:b/>
                      <w:bCs/>
                      <w:color w:val="000000"/>
                      <w:sz w:val="20"/>
                      <w:szCs w:val="20"/>
                    </w:rPr>
                    <w:t>18 749,6</w:t>
                  </w:r>
                </w:p>
              </w:tc>
              <w:tc>
                <w:tcPr>
                  <w:tcW w:w="1342" w:type="dxa"/>
                  <w:shd w:val="clear" w:color="auto" w:fill="9CC2E5" w:themeFill="accent1" w:themeFillTint="99"/>
                  <w:vAlign w:val="center"/>
                  <w:hideMark/>
                </w:tcPr>
                <w:p w:rsidR="00345821" w:rsidRPr="00C92486" w:rsidRDefault="00345821" w:rsidP="00141EEC">
                  <w:pPr>
                    <w:jc w:val="right"/>
                    <w:rPr>
                      <w:rFonts w:asciiTheme="minorHAnsi" w:hAnsiTheme="minorHAnsi" w:cstheme="minorHAnsi"/>
                      <w:b/>
                      <w:bCs/>
                      <w:color w:val="000000"/>
                      <w:sz w:val="20"/>
                      <w:szCs w:val="20"/>
                    </w:rPr>
                  </w:pPr>
                  <w:r w:rsidRPr="00C92486">
                    <w:rPr>
                      <w:rFonts w:asciiTheme="minorHAnsi" w:hAnsiTheme="minorHAnsi" w:cstheme="minorHAnsi"/>
                      <w:b/>
                      <w:bCs/>
                      <w:color w:val="000000"/>
                      <w:sz w:val="20"/>
                      <w:szCs w:val="20"/>
                    </w:rPr>
                    <w:t>26 331,0</w:t>
                  </w:r>
                </w:p>
              </w:tc>
              <w:tc>
                <w:tcPr>
                  <w:tcW w:w="1229" w:type="dxa"/>
                  <w:shd w:val="clear" w:color="auto" w:fill="9CC2E5" w:themeFill="accent1" w:themeFillTint="99"/>
                  <w:vAlign w:val="center"/>
                  <w:hideMark/>
                </w:tcPr>
                <w:p w:rsidR="00345821" w:rsidRPr="00C92486" w:rsidRDefault="00345821" w:rsidP="00141EEC">
                  <w:pPr>
                    <w:jc w:val="right"/>
                    <w:rPr>
                      <w:rFonts w:asciiTheme="minorHAnsi" w:hAnsiTheme="minorHAnsi" w:cstheme="minorHAnsi"/>
                      <w:b/>
                      <w:bCs/>
                      <w:color w:val="000000"/>
                      <w:sz w:val="20"/>
                      <w:szCs w:val="20"/>
                    </w:rPr>
                  </w:pPr>
                  <w:r w:rsidRPr="00C92486">
                    <w:rPr>
                      <w:rFonts w:asciiTheme="minorHAnsi" w:hAnsiTheme="minorHAnsi" w:cstheme="minorHAnsi"/>
                      <w:b/>
                      <w:bCs/>
                      <w:color w:val="000000"/>
                      <w:sz w:val="20"/>
                      <w:szCs w:val="20"/>
                    </w:rPr>
                    <w:t>36 217,4</w:t>
                  </w:r>
                </w:p>
              </w:tc>
              <w:tc>
                <w:tcPr>
                  <w:tcW w:w="1123" w:type="dxa"/>
                  <w:shd w:val="clear" w:color="auto" w:fill="9CC2E5" w:themeFill="accent1" w:themeFillTint="99"/>
                  <w:vAlign w:val="center"/>
                  <w:hideMark/>
                </w:tcPr>
                <w:p w:rsidR="00345821" w:rsidRPr="00C92486" w:rsidRDefault="00345821" w:rsidP="00141EEC">
                  <w:pPr>
                    <w:jc w:val="right"/>
                    <w:rPr>
                      <w:rFonts w:asciiTheme="minorHAnsi" w:hAnsiTheme="minorHAnsi" w:cstheme="minorHAnsi"/>
                      <w:b/>
                      <w:bCs/>
                      <w:color w:val="000000"/>
                      <w:sz w:val="20"/>
                      <w:szCs w:val="20"/>
                    </w:rPr>
                  </w:pPr>
                  <w:r w:rsidRPr="00C92486">
                    <w:rPr>
                      <w:rFonts w:asciiTheme="minorHAnsi" w:hAnsiTheme="minorHAnsi" w:cstheme="minorHAnsi"/>
                      <w:b/>
                      <w:bCs/>
                      <w:color w:val="000000"/>
                      <w:sz w:val="20"/>
                      <w:szCs w:val="20"/>
                    </w:rPr>
                    <w:t>100%</w:t>
                  </w:r>
                </w:p>
              </w:tc>
              <w:tc>
                <w:tcPr>
                  <w:tcW w:w="1331" w:type="dxa"/>
                  <w:shd w:val="clear" w:color="auto" w:fill="9CC2E5" w:themeFill="accent1" w:themeFillTint="99"/>
                  <w:vAlign w:val="center"/>
                  <w:hideMark/>
                </w:tcPr>
                <w:p w:rsidR="00345821" w:rsidRPr="00C92486" w:rsidRDefault="00345821" w:rsidP="00141EEC">
                  <w:pPr>
                    <w:jc w:val="right"/>
                    <w:rPr>
                      <w:rFonts w:asciiTheme="minorHAnsi" w:hAnsiTheme="minorHAnsi" w:cstheme="minorHAnsi"/>
                      <w:b/>
                      <w:bCs/>
                      <w:color w:val="000000"/>
                      <w:sz w:val="20"/>
                      <w:szCs w:val="20"/>
                    </w:rPr>
                  </w:pPr>
                  <w:r w:rsidRPr="00C92486">
                    <w:rPr>
                      <w:rFonts w:asciiTheme="minorHAnsi" w:hAnsiTheme="minorHAnsi" w:cstheme="minorHAnsi"/>
                      <w:b/>
                      <w:bCs/>
                      <w:color w:val="000000"/>
                      <w:sz w:val="20"/>
                      <w:szCs w:val="20"/>
                    </w:rPr>
                    <w:t>9 886,4</w:t>
                  </w:r>
                </w:p>
              </w:tc>
            </w:tr>
            <w:tr w:rsidR="00345821" w:rsidRPr="00C92486" w:rsidTr="00141EEC">
              <w:trPr>
                <w:trHeight w:val="178"/>
              </w:trPr>
              <w:tc>
                <w:tcPr>
                  <w:tcW w:w="3234" w:type="dxa"/>
                  <w:shd w:val="clear" w:color="auto" w:fill="auto"/>
                  <w:vAlign w:val="center"/>
                  <w:hideMark/>
                </w:tcPr>
                <w:p w:rsidR="00345821" w:rsidRPr="00F91CE0" w:rsidRDefault="00F91CE0" w:rsidP="00141EEC">
                  <w:pPr>
                    <w:rPr>
                      <w:rFonts w:asciiTheme="minorHAnsi" w:hAnsiTheme="minorHAnsi" w:cstheme="minorHAnsi"/>
                      <w:color w:val="000000"/>
                      <w:sz w:val="20"/>
                      <w:szCs w:val="20"/>
                    </w:rPr>
                  </w:pPr>
                  <w:r w:rsidRPr="00F91CE0">
                    <w:rPr>
                      <w:rFonts w:asciiTheme="minorHAnsi" w:hAnsiTheme="minorHAnsi" w:cstheme="minorHAnsi"/>
                      <w:color w:val="000000"/>
                      <w:sz w:val="20"/>
                      <w:szCs w:val="20"/>
                    </w:rPr>
                    <w:t>General government</w:t>
                  </w:r>
                </w:p>
              </w:tc>
              <w:tc>
                <w:tcPr>
                  <w:tcW w:w="1342"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7 788,1</w:t>
                  </w:r>
                </w:p>
              </w:tc>
              <w:tc>
                <w:tcPr>
                  <w:tcW w:w="1342"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11 742,5</w:t>
                  </w:r>
                </w:p>
              </w:tc>
              <w:tc>
                <w:tcPr>
                  <w:tcW w:w="1229"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16 129,2</w:t>
                  </w:r>
                </w:p>
              </w:tc>
              <w:tc>
                <w:tcPr>
                  <w:tcW w:w="1123"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48%</w:t>
                  </w:r>
                </w:p>
              </w:tc>
              <w:tc>
                <w:tcPr>
                  <w:tcW w:w="1331"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4 386,6</w:t>
                  </w:r>
                </w:p>
              </w:tc>
            </w:tr>
            <w:tr w:rsidR="00345821" w:rsidRPr="00C92486" w:rsidTr="00141EEC">
              <w:trPr>
                <w:trHeight w:val="70"/>
              </w:trPr>
              <w:tc>
                <w:tcPr>
                  <w:tcW w:w="3234" w:type="dxa"/>
                  <w:shd w:val="clear" w:color="auto" w:fill="auto"/>
                  <w:vAlign w:val="center"/>
                  <w:hideMark/>
                </w:tcPr>
                <w:p w:rsidR="00345821" w:rsidRPr="00F91CE0" w:rsidRDefault="00F91CE0" w:rsidP="00141EEC">
                  <w:pPr>
                    <w:rPr>
                      <w:rFonts w:asciiTheme="minorHAnsi" w:hAnsiTheme="minorHAnsi" w:cstheme="minorHAnsi"/>
                      <w:color w:val="000000"/>
                      <w:sz w:val="20"/>
                      <w:szCs w:val="20"/>
                    </w:rPr>
                  </w:pPr>
                  <w:r w:rsidRPr="00F91CE0">
                    <w:rPr>
                      <w:rFonts w:asciiTheme="minorHAnsi" w:hAnsiTheme="minorHAnsi" w:cstheme="minorHAnsi"/>
                      <w:color w:val="000000"/>
                      <w:sz w:val="20"/>
                      <w:szCs w:val="20"/>
                    </w:rPr>
                    <w:t>Central bank</w:t>
                  </w:r>
                  <w:r w:rsidR="00BA1CA0">
                    <w:rPr>
                      <w:rStyle w:val="a9"/>
                      <w:rFonts w:asciiTheme="minorHAnsi" w:hAnsiTheme="minorHAnsi" w:cstheme="minorHAnsi"/>
                      <w:color w:val="000000"/>
                      <w:sz w:val="20"/>
                      <w:szCs w:val="20"/>
                    </w:rPr>
                    <w:footnoteReference w:id="16"/>
                  </w:r>
                </w:p>
              </w:tc>
              <w:tc>
                <w:tcPr>
                  <w:tcW w:w="1342"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366,1</w:t>
                  </w:r>
                </w:p>
              </w:tc>
              <w:tc>
                <w:tcPr>
                  <w:tcW w:w="1342"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363,9</w:t>
                  </w:r>
                </w:p>
              </w:tc>
              <w:tc>
                <w:tcPr>
                  <w:tcW w:w="1229"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378,6</w:t>
                  </w:r>
                </w:p>
              </w:tc>
              <w:tc>
                <w:tcPr>
                  <w:tcW w:w="1123"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0%</w:t>
                  </w:r>
                </w:p>
              </w:tc>
              <w:tc>
                <w:tcPr>
                  <w:tcW w:w="1331"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14,7</w:t>
                  </w:r>
                </w:p>
              </w:tc>
            </w:tr>
            <w:tr w:rsidR="00345821" w:rsidRPr="00D040FC" w:rsidTr="00141EEC">
              <w:trPr>
                <w:trHeight w:val="70"/>
              </w:trPr>
              <w:tc>
                <w:tcPr>
                  <w:tcW w:w="3234" w:type="dxa"/>
                  <w:shd w:val="clear" w:color="auto" w:fill="auto"/>
                  <w:vAlign w:val="center"/>
                  <w:hideMark/>
                </w:tcPr>
                <w:p w:rsidR="00345821" w:rsidRPr="005A1478" w:rsidRDefault="00F91CE0" w:rsidP="00141EEC">
                  <w:pPr>
                    <w:rPr>
                      <w:rFonts w:asciiTheme="minorHAnsi" w:hAnsiTheme="minorHAnsi" w:cstheme="minorHAnsi"/>
                      <w:color w:val="000000"/>
                      <w:sz w:val="20"/>
                      <w:szCs w:val="20"/>
                      <w:lang w:val="en-US"/>
                    </w:rPr>
                  </w:pPr>
                  <w:r w:rsidRPr="005A1478">
                    <w:rPr>
                      <w:rFonts w:asciiTheme="minorHAnsi" w:hAnsiTheme="minorHAnsi" w:cstheme="minorHAnsi"/>
                      <w:color w:val="000000"/>
                      <w:sz w:val="20"/>
                      <w:szCs w:val="20"/>
                      <w:lang w:val="en-US"/>
                    </w:rPr>
                    <w:t>Deposit-Taking Corporations, except the Central Bank</w:t>
                  </w:r>
                </w:p>
              </w:tc>
              <w:tc>
                <w:tcPr>
                  <w:tcW w:w="1342" w:type="dxa"/>
                  <w:shd w:val="clear" w:color="auto" w:fill="auto"/>
                  <w:vAlign w:val="center"/>
                  <w:hideMark/>
                </w:tcPr>
                <w:p w:rsidR="00345821" w:rsidRPr="005A1478" w:rsidRDefault="00345821" w:rsidP="00141EEC">
                  <w:pPr>
                    <w:jc w:val="right"/>
                    <w:rPr>
                      <w:rFonts w:asciiTheme="minorHAnsi" w:hAnsiTheme="minorHAnsi" w:cstheme="minorHAnsi"/>
                      <w:color w:val="000000"/>
                      <w:sz w:val="20"/>
                      <w:szCs w:val="20"/>
                      <w:lang w:val="en-US"/>
                    </w:rPr>
                  </w:pPr>
                  <w:r w:rsidRPr="005A1478">
                    <w:rPr>
                      <w:rFonts w:asciiTheme="minorHAnsi" w:hAnsiTheme="minorHAnsi" w:cstheme="minorHAnsi"/>
                      <w:color w:val="000000"/>
                      <w:sz w:val="20"/>
                      <w:szCs w:val="20"/>
                      <w:lang w:val="en-US"/>
                    </w:rPr>
                    <w:t>1 085,6</w:t>
                  </w:r>
                </w:p>
              </w:tc>
              <w:tc>
                <w:tcPr>
                  <w:tcW w:w="1342" w:type="dxa"/>
                  <w:shd w:val="clear" w:color="auto" w:fill="auto"/>
                  <w:vAlign w:val="center"/>
                  <w:hideMark/>
                </w:tcPr>
                <w:p w:rsidR="00345821" w:rsidRPr="005A1478" w:rsidRDefault="00345821" w:rsidP="00141EEC">
                  <w:pPr>
                    <w:jc w:val="right"/>
                    <w:rPr>
                      <w:rFonts w:asciiTheme="minorHAnsi" w:hAnsiTheme="minorHAnsi" w:cstheme="minorHAnsi"/>
                      <w:color w:val="000000"/>
                      <w:sz w:val="20"/>
                      <w:szCs w:val="20"/>
                      <w:lang w:val="en-US"/>
                    </w:rPr>
                  </w:pPr>
                  <w:r w:rsidRPr="005A1478">
                    <w:rPr>
                      <w:rFonts w:asciiTheme="minorHAnsi" w:hAnsiTheme="minorHAnsi" w:cstheme="minorHAnsi"/>
                      <w:color w:val="000000"/>
                      <w:sz w:val="20"/>
                      <w:szCs w:val="20"/>
                      <w:lang w:val="en-US"/>
                    </w:rPr>
                    <w:t>3 088,1</w:t>
                  </w:r>
                </w:p>
              </w:tc>
              <w:tc>
                <w:tcPr>
                  <w:tcW w:w="1229" w:type="dxa"/>
                  <w:shd w:val="clear" w:color="auto" w:fill="auto"/>
                  <w:vAlign w:val="center"/>
                  <w:hideMark/>
                </w:tcPr>
                <w:p w:rsidR="00345821" w:rsidRPr="005A1478" w:rsidRDefault="00345821" w:rsidP="00141EEC">
                  <w:pPr>
                    <w:jc w:val="right"/>
                    <w:rPr>
                      <w:rFonts w:asciiTheme="minorHAnsi" w:hAnsiTheme="minorHAnsi" w:cstheme="minorHAnsi"/>
                      <w:color w:val="000000"/>
                      <w:sz w:val="20"/>
                      <w:szCs w:val="20"/>
                      <w:lang w:val="en-US"/>
                    </w:rPr>
                  </w:pPr>
                  <w:r w:rsidRPr="005A1478">
                    <w:rPr>
                      <w:rFonts w:asciiTheme="minorHAnsi" w:hAnsiTheme="minorHAnsi" w:cstheme="minorHAnsi"/>
                      <w:color w:val="000000"/>
                      <w:sz w:val="20"/>
                      <w:szCs w:val="20"/>
                      <w:lang w:val="en-US"/>
                    </w:rPr>
                    <w:t>6 654,1</w:t>
                  </w:r>
                </w:p>
              </w:tc>
              <w:tc>
                <w:tcPr>
                  <w:tcW w:w="1123" w:type="dxa"/>
                  <w:shd w:val="clear" w:color="auto" w:fill="auto"/>
                  <w:vAlign w:val="center"/>
                  <w:hideMark/>
                </w:tcPr>
                <w:p w:rsidR="00345821" w:rsidRPr="005A1478" w:rsidRDefault="00345821" w:rsidP="00141EEC">
                  <w:pPr>
                    <w:jc w:val="right"/>
                    <w:rPr>
                      <w:rFonts w:asciiTheme="minorHAnsi" w:hAnsiTheme="minorHAnsi" w:cstheme="minorHAnsi"/>
                      <w:color w:val="000000"/>
                      <w:sz w:val="20"/>
                      <w:szCs w:val="20"/>
                      <w:lang w:val="en-US"/>
                    </w:rPr>
                  </w:pPr>
                  <w:r w:rsidRPr="005A1478">
                    <w:rPr>
                      <w:rFonts w:asciiTheme="minorHAnsi" w:hAnsiTheme="minorHAnsi" w:cstheme="minorHAnsi"/>
                      <w:color w:val="000000"/>
                      <w:sz w:val="20"/>
                      <w:szCs w:val="20"/>
                      <w:lang w:val="en-US"/>
                    </w:rPr>
                    <w:t>19%</w:t>
                  </w:r>
                </w:p>
              </w:tc>
              <w:tc>
                <w:tcPr>
                  <w:tcW w:w="1331" w:type="dxa"/>
                  <w:shd w:val="clear" w:color="auto" w:fill="auto"/>
                  <w:vAlign w:val="center"/>
                  <w:hideMark/>
                </w:tcPr>
                <w:p w:rsidR="00345821" w:rsidRPr="005A1478" w:rsidRDefault="00345821" w:rsidP="00141EEC">
                  <w:pPr>
                    <w:jc w:val="right"/>
                    <w:rPr>
                      <w:rFonts w:asciiTheme="minorHAnsi" w:hAnsiTheme="minorHAnsi" w:cstheme="minorHAnsi"/>
                      <w:color w:val="000000"/>
                      <w:sz w:val="20"/>
                      <w:szCs w:val="20"/>
                      <w:lang w:val="en-US"/>
                    </w:rPr>
                  </w:pPr>
                  <w:r w:rsidRPr="005A1478">
                    <w:rPr>
                      <w:rFonts w:asciiTheme="minorHAnsi" w:hAnsiTheme="minorHAnsi" w:cstheme="minorHAnsi"/>
                      <w:color w:val="000000"/>
                      <w:sz w:val="20"/>
                      <w:szCs w:val="20"/>
                      <w:lang w:val="en-US"/>
                    </w:rPr>
                    <w:t>3 566,1</w:t>
                  </w:r>
                </w:p>
              </w:tc>
            </w:tr>
            <w:tr w:rsidR="00345821" w:rsidRPr="00D040FC" w:rsidTr="00F91CE0">
              <w:trPr>
                <w:trHeight w:val="369"/>
              </w:trPr>
              <w:tc>
                <w:tcPr>
                  <w:tcW w:w="3234" w:type="dxa"/>
                  <w:shd w:val="clear" w:color="auto" w:fill="auto"/>
                  <w:vAlign w:val="center"/>
                  <w:hideMark/>
                </w:tcPr>
                <w:p w:rsidR="00345821" w:rsidRPr="005A1478" w:rsidRDefault="00F91CE0" w:rsidP="00141EEC">
                  <w:pPr>
                    <w:rPr>
                      <w:rFonts w:asciiTheme="minorHAnsi" w:hAnsiTheme="minorHAnsi" w:cstheme="minorHAnsi"/>
                      <w:color w:val="000000"/>
                      <w:sz w:val="20"/>
                      <w:szCs w:val="20"/>
                      <w:lang w:val="en-US"/>
                    </w:rPr>
                  </w:pPr>
                  <w:r w:rsidRPr="005A1478">
                    <w:rPr>
                      <w:rFonts w:asciiTheme="minorHAnsi" w:hAnsiTheme="minorHAnsi" w:cstheme="minorHAnsi"/>
                      <w:color w:val="000000"/>
                      <w:sz w:val="20"/>
                      <w:szCs w:val="20"/>
                      <w:lang w:val="en-US"/>
                    </w:rPr>
                    <w:t>Other Sectors</w:t>
                  </w:r>
                </w:p>
              </w:tc>
              <w:tc>
                <w:tcPr>
                  <w:tcW w:w="1342" w:type="dxa"/>
                  <w:shd w:val="clear" w:color="auto" w:fill="auto"/>
                  <w:vAlign w:val="center"/>
                  <w:hideMark/>
                </w:tcPr>
                <w:p w:rsidR="00345821" w:rsidRPr="005A1478" w:rsidRDefault="00345821" w:rsidP="00141EEC">
                  <w:pPr>
                    <w:jc w:val="right"/>
                    <w:rPr>
                      <w:rFonts w:asciiTheme="minorHAnsi" w:hAnsiTheme="minorHAnsi" w:cstheme="minorHAnsi"/>
                      <w:color w:val="000000"/>
                      <w:sz w:val="20"/>
                      <w:szCs w:val="20"/>
                      <w:lang w:val="en-US"/>
                    </w:rPr>
                  </w:pPr>
                  <w:r w:rsidRPr="005A1478">
                    <w:rPr>
                      <w:rFonts w:asciiTheme="minorHAnsi" w:hAnsiTheme="minorHAnsi" w:cstheme="minorHAnsi"/>
                      <w:color w:val="000000"/>
                      <w:sz w:val="20"/>
                      <w:szCs w:val="20"/>
                      <w:lang w:val="en-US"/>
                    </w:rPr>
                    <w:t>8 788,1</w:t>
                  </w:r>
                </w:p>
              </w:tc>
              <w:tc>
                <w:tcPr>
                  <w:tcW w:w="1342" w:type="dxa"/>
                  <w:shd w:val="clear" w:color="auto" w:fill="auto"/>
                  <w:vAlign w:val="center"/>
                  <w:hideMark/>
                </w:tcPr>
                <w:p w:rsidR="00345821" w:rsidRPr="005A1478" w:rsidRDefault="00345821" w:rsidP="00141EEC">
                  <w:pPr>
                    <w:jc w:val="right"/>
                    <w:rPr>
                      <w:rFonts w:asciiTheme="minorHAnsi" w:hAnsiTheme="minorHAnsi" w:cstheme="minorHAnsi"/>
                      <w:color w:val="000000"/>
                      <w:sz w:val="20"/>
                      <w:szCs w:val="20"/>
                      <w:lang w:val="en-US"/>
                    </w:rPr>
                  </w:pPr>
                  <w:r w:rsidRPr="005A1478">
                    <w:rPr>
                      <w:rFonts w:asciiTheme="minorHAnsi" w:hAnsiTheme="minorHAnsi" w:cstheme="minorHAnsi"/>
                      <w:color w:val="000000"/>
                      <w:sz w:val="20"/>
                      <w:szCs w:val="20"/>
                      <w:lang w:val="en-US"/>
                    </w:rPr>
                    <w:t>10 252,3</w:t>
                  </w:r>
                </w:p>
              </w:tc>
              <w:tc>
                <w:tcPr>
                  <w:tcW w:w="1229" w:type="dxa"/>
                  <w:shd w:val="clear" w:color="auto" w:fill="auto"/>
                  <w:vAlign w:val="center"/>
                  <w:hideMark/>
                </w:tcPr>
                <w:p w:rsidR="00345821" w:rsidRPr="005A1478" w:rsidRDefault="00345821" w:rsidP="00141EEC">
                  <w:pPr>
                    <w:jc w:val="right"/>
                    <w:rPr>
                      <w:rFonts w:asciiTheme="minorHAnsi" w:hAnsiTheme="minorHAnsi" w:cstheme="minorHAnsi"/>
                      <w:color w:val="000000"/>
                      <w:sz w:val="20"/>
                      <w:szCs w:val="20"/>
                      <w:lang w:val="en-US"/>
                    </w:rPr>
                  </w:pPr>
                  <w:r w:rsidRPr="005A1478">
                    <w:rPr>
                      <w:rFonts w:asciiTheme="minorHAnsi" w:hAnsiTheme="minorHAnsi" w:cstheme="minorHAnsi"/>
                      <w:color w:val="000000"/>
                      <w:sz w:val="20"/>
                      <w:szCs w:val="20"/>
                      <w:lang w:val="en-US"/>
                    </w:rPr>
                    <w:t>12 040,4</w:t>
                  </w:r>
                </w:p>
              </w:tc>
              <w:tc>
                <w:tcPr>
                  <w:tcW w:w="1123" w:type="dxa"/>
                  <w:shd w:val="clear" w:color="auto" w:fill="auto"/>
                  <w:vAlign w:val="center"/>
                  <w:hideMark/>
                </w:tcPr>
                <w:p w:rsidR="00345821" w:rsidRPr="005A1478" w:rsidRDefault="00345821" w:rsidP="00141EEC">
                  <w:pPr>
                    <w:jc w:val="right"/>
                    <w:rPr>
                      <w:rFonts w:asciiTheme="minorHAnsi" w:hAnsiTheme="minorHAnsi" w:cstheme="minorHAnsi"/>
                      <w:color w:val="000000"/>
                      <w:sz w:val="20"/>
                      <w:szCs w:val="20"/>
                      <w:lang w:val="en-US"/>
                    </w:rPr>
                  </w:pPr>
                  <w:r w:rsidRPr="005A1478">
                    <w:rPr>
                      <w:rFonts w:asciiTheme="minorHAnsi" w:hAnsiTheme="minorHAnsi" w:cstheme="minorHAnsi"/>
                      <w:color w:val="000000"/>
                      <w:sz w:val="20"/>
                      <w:szCs w:val="20"/>
                      <w:lang w:val="en-US"/>
                    </w:rPr>
                    <w:t>31%</w:t>
                  </w:r>
                </w:p>
              </w:tc>
              <w:tc>
                <w:tcPr>
                  <w:tcW w:w="1331" w:type="dxa"/>
                  <w:shd w:val="clear" w:color="auto" w:fill="auto"/>
                  <w:vAlign w:val="center"/>
                  <w:hideMark/>
                </w:tcPr>
                <w:p w:rsidR="00345821" w:rsidRPr="005A1478" w:rsidRDefault="00345821" w:rsidP="00141EEC">
                  <w:pPr>
                    <w:jc w:val="right"/>
                    <w:rPr>
                      <w:rFonts w:asciiTheme="minorHAnsi" w:hAnsiTheme="minorHAnsi" w:cstheme="minorHAnsi"/>
                      <w:color w:val="000000"/>
                      <w:sz w:val="20"/>
                      <w:szCs w:val="20"/>
                      <w:lang w:val="en-US"/>
                    </w:rPr>
                  </w:pPr>
                  <w:r w:rsidRPr="005A1478">
                    <w:rPr>
                      <w:rFonts w:asciiTheme="minorHAnsi" w:hAnsiTheme="minorHAnsi" w:cstheme="minorHAnsi"/>
                      <w:color w:val="000000"/>
                      <w:sz w:val="20"/>
                      <w:szCs w:val="20"/>
                      <w:lang w:val="en-US"/>
                    </w:rPr>
                    <w:t>1 788,1</w:t>
                  </w:r>
                </w:p>
              </w:tc>
            </w:tr>
            <w:tr w:rsidR="00345821" w:rsidRPr="00D040FC" w:rsidTr="00141EEC">
              <w:trPr>
                <w:trHeight w:val="70"/>
              </w:trPr>
              <w:tc>
                <w:tcPr>
                  <w:tcW w:w="3234" w:type="dxa"/>
                  <w:shd w:val="clear" w:color="auto" w:fill="auto"/>
                  <w:vAlign w:val="center"/>
                  <w:hideMark/>
                </w:tcPr>
                <w:p w:rsidR="00345821" w:rsidRPr="005A1478" w:rsidRDefault="00F91CE0" w:rsidP="00141EEC">
                  <w:pPr>
                    <w:rPr>
                      <w:rFonts w:asciiTheme="minorHAnsi" w:hAnsiTheme="minorHAnsi" w:cstheme="minorHAnsi"/>
                      <w:color w:val="000000"/>
                      <w:sz w:val="20"/>
                      <w:szCs w:val="20"/>
                      <w:lang w:val="en-US"/>
                    </w:rPr>
                  </w:pPr>
                  <w:r w:rsidRPr="005A1478">
                    <w:rPr>
                      <w:rFonts w:asciiTheme="minorHAnsi" w:hAnsiTheme="minorHAnsi" w:cstheme="minorHAnsi"/>
                      <w:color w:val="000000"/>
                      <w:sz w:val="20"/>
                      <w:szCs w:val="20"/>
                      <w:lang w:val="en-US"/>
                    </w:rPr>
                    <w:t>Direct Investment: Intercompany Lending</w:t>
                  </w:r>
                </w:p>
              </w:tc>
              <w:tc>
                <w:tcPr>
                  <w:tcW w:w="1342" w:type="dxa"/>
                  <w:shd w:val="clear" w:color="auto" w:fill="auto"/>
                  <w:vAlign w:val="center"/>
                  <w:hideMark/>
                </w:tcPr>
                <w:p w:rsidR="00345821" w:rsidRPr="005A1478" w:rsidRDefault="00345821" w:rsidP="00141EEC">
                  <w:pPr>
                    <w:jc w:val="right"/>
                    <w:rPr>
                      <w:rFonts w:asciiTheme="minorHAnsi" w:hAnsiTheme="minorHAnsi" w:cstheme="minorHAnsi"/>
                      <w:color w:val="000000"/>
                      <w:sz w:val="20"/>
                      <w:szCs w:val="20"/>
                      <w:lang w:val="en-US"/>
                    </w:rPr>
                  </w:pPr>
                  <w:r w:rsidRPr="005A1478">
                    <w:rPr>
                      <w:rFonts w:asciiTheme="minorHAnsi" w:hAnsiTheme="minorHAnsi" w:cstheme="minorHAnsi"/>
                      <w:color w:val="000000"/>
                      <w:sz w:val="20"/>
                      <w:szCs w:val="20"/>
                      <w:lang w:val="en-US"/>
                    </w:rPr>
                    <w:t>721,6</w:t>
                  </w:r>
                </w:p>
              </w:tc>
              <w:tc>
                <w:tcPr>
                  <w:tcW w:w="1342" w:type="dxa"/>
                  <w:shd w:val="clear" w:color="auto" w:fill="auto"/>
                  <w:vAlign w:val="center"/>
                  <w:hideMark/>
                </w:tcPr>
                <w:p w:rsidR="00345821" w:rsidRPr="005A1478" w:rsidRDefault="00345821" w:rsidP="00141EEC">
                  <w:pPr>
                    <w:jc w:val="right"/>
                    <w:rPr>
                      <w:rFonts w:asciiTheme="minorHAnsi" w:hAnsiTheme="minorHAnsi" w:cstheme="minorHAnsi"/>
                      <w:color w:val="000000"/>
                      <w:sz w:val="20"/>
                      <w:szCs w:val="20"/>
                      <w:lang w:val="en-US"/>
                    </w:rPr>
                  </w:pPr>
                  <w:r w:rsidRPr="005A1478">
                    <w:rPr>
                      <w:rFonts w:asciiTheme="minorHAnsi" w:hAnsiTheme="minorHAnsi" w:cstheme="minorHAnsi"/>
                      <w:color w:val="000000"/>
                      <w:sz w:val="20"/>
                      <w:szCs w:val="20"/>
                      <w:lang w:val="en-US"/>
                    </w:rPr>
                    <w:t>884,3</w:t>
                  </w:r>
                </w:p>
              </w:tc>
              <w:tc>
                <w:tcPr>
                  <w:tcW w:w="1229" w:type="dxa"/>
                  <w:shd w:val="clear" w:color="auto" w:fill="auto"/>
                  <w:vAlign w:val="center"/>
                  <w:hideMark/>
                </w:tcPr>
                <w:p w:rsidR="00345821" w:rsidRPr="005A1478" w:rsidRDefault="00345821" w:rsidP="00141EEC">
                  <w:pPr>
                    <w:jc w:val="right"/>
                    <w:rPr>
                      <w:rFonts w:asciiTheme="minorHAnsi" w:hAnsiTheme="minorHAnsi" w:cstheme="minorHAnsi"/>
                      <w:color w:val="000000"/>
                      <w:sz w:val="20"/>
                      <w:szCs w:val="20"/>
                      <w:lang w:val="en-US"/>
                    </w:rPr>
                  </w:pPr>
                  <w:r w:rsidRPr="005A1478">
                    <w:rPr>
                      <w:rFonts w:asciiTheme="minorHAnsi" w:hAnsiTheme="minorHAnsi" w:cstheme="minorHAnsi"/>
                      <w:color w:val="000000"/>
                      <w:sz w:val="20"/>
                      <w:szCs w:val="20"/>
                      <w:lang w:val="en-US"/>
                    </w:rPr>
                    <w:t>1 015,1</w:t>
                  </w:r>
                </w:p>
              </w:tc>
              <w:tc>
                <w:tcPr>
                  <w:tcW w:w="1123" w:type="dxa"/>
                  <w:shd w:val="clear" w:color="auto" w:fill="auto"/>
                  <w:vAlign w:val="center"/>
                  <w:hideMark/>
                </w:tcPr>
                <w:p w:rsidR="00345821" w:rsidRPr="005A1478" w:rsidRDefault="00345821" w:rsidP="00141EEC">
                  <w:pPr>
                    <w:jc w:val="right"/>
                    <w:rPr>
                      <w:rFonts w:asciiTheme="minorHAnsi" w:hAnsiTheme="minorHAnsi" w:cstheme="minorHAnsi"/>
                      <w:color w:val="000000"/>
                      <w:sz w:val="20"/>
                      <w:szCs w:val="20"/>
                      <w:lang w:val="en-US"/>
                    </w:rPr>
                  </w:pPr>
                  <w:r w:rsidRPr="005A1478">
                    <w:rPr>
                      <w:rFonts w:asciiTheme="minorHAnsi" w:hAnsiTheme="minorHAnsi" w:cstheme="minorHAnsi"/>
                      <w:color w:val="000000"/>
                      <w:sz w:val="20"/>
                      <w:szCs w:val="20"/>
                      <w:lang w:val="en-US"/>
                    </w:rPr>
                    <w:t>3%</w:t>
                  </w:r>
                </w:p>
              </w:tc>
              <w:tc>
                <w:tcPr>
                  <w:tcW w:w="1331" w:type="dxa"/>
                  <w:shd w:val="clear" w:color="auto" w:fill="auto"/>
                  <w:vAlign w:val="center"/>
                  <w:hideMark/>
                </w:tcPr>
                <w:p w:rsidR="00345821" w:rsidRPr="005A1478" w:rsidRDefault="00345821" w:rsidP="00141EEC">
                  <w:pPr>
                    <w:jc w:val="right"/>
                    <w:rPr>
                      <w:rFonts w:asciiTheme="minorHAnsi" w:hAnsiTheme="minorHAnsi" w:cstheme="minorHAnsi"/>
                      <w:color w:val="000000"/>
                      <w:sz w:val="20"/>
                      <w:szCs w:val="20"/>
                      <w:lang w:val="en-US"/>
                    </w:rPr>
                  </w:pPr>
                  <w:r w:rsidRPr="005A1478">
                    <w:rPr>
                      <w:rFonts w:asciiTheme="minorHAnsi" w:hAnsiTheme="minorHAnsi" w:cstheme="minorHAnsi"/>
                      <w:color w:val="000000"/>
                      <w:sz w:val="20"/>
                      <w:szCs w:val="20"/>
                      <w:lang w:val="en-US"/>
                    </w:rPr>
                    <w:t>130,9</w:t>
                  </w:r>
                </w:p>
              </w:tc>
            </w:tr>
          </w:tbl>
          <w:p w:rsidR="00345821" w:rsidRPr="005A1478" w:rsidRDefault="00345821" w:rsidP="00141EEC">
            <w:pPr>
              <w:rPr>
                <w:rFonts w:asciiTheme="minorHAnsi" w:hAnsiTheme="minorHAnsi" w:cstheme="minorHAnsi"/>
                <w:sz w:val="20"/>
                <w:szCs w:val="20"/>
                <w:lang w:val="en-US"/>
              </w:rPr>
            </w:pPr>
          </w:p>
          <w:p w:rsidR="00345821" w:rsidRDefault="00F91CE0" w:rsidP="002E3AFC">
            <w:pPr>
              <w:ind w:firstLine="741"/>
              <w:jc w:val="both"/>
              <w:rPr>
                <w:rFonts w:cs="Calibri"/>
                <w:sz w:val="26"/>
                <w:szCs w:val="26"/>
                <w:lang w:val="en-US"/>
              </w:rPr>
            </w:pPr>
            <w:r w:rsidRPr="002E3AFC">
              <w:rPr>
                <w:rFonts w:cs="Calibri"/>
                <w:sz w:val="26"/>
                <w:szCs w:val="26"/>
                <w:lang w:val="en-US"/>
              </w:rPr>
              <w:t>For</w:t>
            </w:r>
            <w:r w:rsidR="00345821" w:rsidRPr="002E3AFC">
              <w:rPr>
                <w:rFonts w:cs="Calibri"/>
                <w:sz w:val="26"/>
                <w:szCs w:val="26"/>
                <w:lang w:val="en-US"/>
              </w:rPr>
              <w:t xml:space="preserve"> 2020 </w:t>
            </w:r>
            <w:r w:rsidRPr="002E3AFC">
              <w:rPr>
                <w:rFonts w:cs="Calibri"/>
                <w:sz w:val="26"/>
                <w:szCs w:val="26"/>
                <w:lang w:val="en-US"/>
              </w:rPr>
              <w:t>gross</w:t>
            </w:r>
            <w:r w:rsidR="00345821" w:rsidRPr="002E3AFC">
              <w:rPr>
                <w:rFonts w:cs="Calibri"/>
                <w:sz w:val="26"/>
                <w:szCs w:val="26"/>
                <w:lang w:val="en-US"/>
              </w:rPr>
              <w:t xml:space="preserve"> </w:t>
            </w:r>
            <w:r w:rsidRPr="002E3AFC">
              <w:rPr>
                <w:rFonts w:cs="Calibri"/>
                <w:sz w:val="26"/>
                <w:szCs w:val="26"/>
                <w:lang w:val="en-US"/>
              </w:rPr>
              <w:t>external debt</w:t>
            </w:r>
            <w:r w:rsidR="00345821" w:rsidRPr="002E3AFC">
              <w:rPr>
                <w:rFonts w:cs="Calibri"/>
                <w:sz w:val="26"/>
                <w:szCs w:val="26"/>
                <w:lang w:val="en-US"/>
              </w:rPr>
              <w:t xml:space="preserve"> </w:t>
            </w:r>
            <w:r w:rsidRPr="002E3AFC">
              <w:rPr>
                <w:rFonts w:cs="Calibri"/>
                <w:sz w:val="26"/>
                <w:szCs w:val="26"/>
                <w:lang w:val="en-US"/>
              </w:rPr>
              <w:t>increased</w:t>
            </w:r>
            <w:r w:rsidR="00345821" w:rsidRPr="002E3AFC">
              <w:rPr>
                <w:rFonts w:cs="Calibri"/>
                <w:sz w:val="26"/>
                <w:szCs w:val="26"/>
                <w:lang w:val="en-US"/>
              </w:rPr>
              <w:t xml:space="preserve">, </w:t>
            </w:r>
            <w:r w:rsidRPr="002E3AFC">
              <w:rPr>
                <w:rFonts w:cs="Calibri"/>
                <w:sz w:val="26"/>
                <w:szCs w:val="26"/>
                <w:lang w:val="en-US"/>
              </w:rPr>
              <w:t>mostly</w:t>
            </w:r>
            <w:r w:rsidR="00345821" w:rsidRPr="002E3AFC">
              <w:rPr>
                <w:rFonts w:cs="Calibri"/>
                <w:sz w:val="26"/>
                <w:szCs w:val="26"/>
                <w:lang w:val="en-US"/>
              </w:rPr>
              <w:t xml:space="preserve">, </w:t>
            </w:r>
            <w:r w:rsidRPr="002E3AFC">
              <w:rPr>
                <w:rFonts w:cs="Calibri"/>
                <w:sz w:val="26"/>
                <w:szCs w:val="26"/>
                <w:lang w:val="en-US"/>
              </w:rPr>
              <w:t xml:space="preserve">due to operational changes </w:t>
            </w:r>
            <w:r w:rsidR="002E3AFC">
              <w:rPr>
                <w:rFonts w:cs="Calibri"/>
                <w:sz w:val="26"/>
                <w:szCs w:val="26"/>
                <w:lang w:val="en-US"/>
              </w:rPr>
              <w:br/>
            </w:r>
            <w:r w:rsidR="00345821" w:rsidRPr="002E3AFC">
              <w:rPr>
                <w:rFonts w:cs="Calibri"/>
                <w:sz w:val="26"/>
                <w:szCs w:val="26"/>
                <w:lang w:val="en-US"/>
              </w:rPr>
              <w:t>(</w:t>
            </w:r>
            <w:r w:rsidRPr="002E3AFC">
              <w:rPr>
                <w:rFonts w:cs="Calibri"/>
                <w:sz w:val="26"/>
                <w:szCs w:val="26"/>
                <w:lang w:val="en-US"/>
              </w:rPr>
              <w:t xml:space="preserve">USD </w:t>
            </w:r>
            <w:r w:rsidR="00345821" w:rsidRPr="002E3AFC">
              <w:rPr>
                <w:rFonts w:cs="Calibri"/>
                <w:sz w:val="26"/>
                <w:szCs w:val="26"/>
                <w:lang w:val="en-US"/>
              </w:rPr>
              <w:t xml:space="preserve">9,4 </w:t>
            </w:r>
            <w:r w:rsidRPr="002E3AFC">
              <w:rPr>
                <w:rFonts w:cs="Calibri"/>
                <w:sz w:val="26"/>
                <w:szCs w:val="26"/>
                <w:lang w:val="en-US"/>
              </w:rPr>
              <w:t>billion)</w:t>
            </w:r>
            <w:r w:rsidR="00345821" w:rsidRPr="002E3AFC">
              <w:rPr>
                <w:rFonts w:cs="Calibri"/>
                <w:sz w:val="26"/>
                <w:szCs w:val="26"/>
                <w:lang w:val="en-US"/>
              </w:rPr>
              <w:t xml:space="preserve">, </w:t>
            </w:r>
            <w:r w:rsidRPr="002E3AFC">
              <w:rPr>
                <w:rFonts w:cs="Calibri"/>
                <w:sz w:val="26"/>
                <w:szCs w:val="26"/>
                <w:lang w:val="en-US"/>
              </w:rPr>
              <w:t>while</w:t>
            </w:r>
            <w:r w:rsidR="00345821" w:rsidRPr="002E3AFC">
              <w:rPr>
                <w:rFonts w:cs="Calibri"/>
                <w:sz w:val="26"/>
                <w:szCs w:val="26"/>
                <w:lang w:val="en-US"/>
              </w:rPr>
              <w:t xml:space="preserve"> </w:t>
            </w:r>
            <w:r w:rsidRPr="002E3AFC">
              <w:rPr>
                <w:rFonts w:cs="Calibri"/>
                <w:sz w:val="26"/>
                <w:szCs w:val="26"/>
                <w:lang w:val="en-US"/>
              </w:rPr>
              <w:t>revaluation</w:t>
            </w:r>
            <w:r w:rsidR="00345821" w:rsidRPr="002E3AFC">
              <w:rPr>
                <w:rFonts w:cs="Calibri"/>
                <w:sz w:val="26"/>
                <w:szCs w:val="26"/>
                <w:lang w:val="en-US"/>
              </w:rPr>
              <w:t xml:space="preserve"> (</w:t>
            </w:r>
            <w:r w:rsidRPr="002E3AFC">
              <w:rPr>
                <w:rFonts w:cs="Calibri"/>
                <w:sz w:val="26"/>
                <w:szCs w:val="26"/>
                <w:lang w:val="en-US"/>
              </w:rPr>
              <w:t>exchange rate</w:t>
            </w:r>
            <w:r w:rsidR="00345821" w:rsidRPr="002E3AFC">
              <w:rPr>
                <w:rFonts w:cs="Calibri"/>
                <w:sz w:val="26"/>
                <w:szCs w:val="26"/>
                <w:lang w:val="en-US"/>
              </w:rPr>
              <w:t xml:space="preserve"> </w:t>
            </w:r>
            <w:r w:rsidRPr="002E3AFC">
              <w:rPr>
                <w:rFonts w:cs="Calibri"/>
                <w:sz w:val="26"/>
                <w:szCs w:val="26"/>
                <w:lang w:val="en-US"/>
              </w:rPr>
              <w:t>and</w:t>
            </w:r>
            <w:r w:rsidR="00345821" w:rsidRPr="002E3AFC">
              <w:rPr>
                <w:rFonts w:cs="Calibri"/>
                <w:sz w:val="26"/>
                <w:szCs w:val="26"/>
                <w:lang w:val="en-US"/>
              </w:rPr>
              <w:t xml:space="preserve"> </w:t>
            </w:r>
            <w:r w:rsidRPr="002E3AFC">
              <w:rPr>
                <w:rFonts w:cs="Calibri"/>
                <w:sz w:val="26"/>
                <w:szCs w:val="26"/>
                <w:lang w:val="en-US"/>
              </w:rPr>
              <w:t>price</w:t>
            </w:r>
            <w:r w:rsidR="00345821" w:rsidRPr="002E3AFC">
              <w:rPr>
                <w:rFonts w:cs="Calibri"/>
                <w:sz w:val="26"/>
                <w:szCs w:val="26"/>
                <w:lang w:val="en-US"/>
              </w:rPr>
              <w:t xml:space="preserve"> </w:t>
            </w:r>
            <w:r w:rsidRPr="002E3AFC">
              <w:rPr>
                <w:rFonts w:cs="Calibri"/>
                <w:sz w:val="26"/>
                <w:szCs w:val="26"/>
                <w:lang w:val="en-US"/>
              </w:rPr>
              <w:t>changes of financial instruments</w:t>
            </w:r>
            <w:r w:rsidR="00345821" w:rsidRPr="002E3AFC">
              <w:rPr>
                <w:rFonts w:cs="Calibri"/>
                <w:sz w:val="26"/>
                <w:szCs w:val="26"/>
                <w:lang w:val="en-US"/>
              </w:rPr>
              <w:t xml:space="preserve">) </w:t>
            </w:r>
            <w:r w:rsidRPr="002E3AFC">
              <w:rPr>
                <w:rFonts w:cs="Calibri"/>
                <w:sz w:val="26"/>
                <w:szCs w:val="26"/>
                <w:lang w:val="en-US"/>
              </w:rPr>
              <w:t>and</w:t>
            </w:r>
            <w:r w:rsidR="00345821" w:rsidRPr="002E3AFC">
              <w:rPr>
                <w:rFonts w:cs="Calibri"/>
                <w:sz w:val="26"/>
                <w:szCs w:val="26"/>
                <w:lang w:val="en-US"/>
              </w:rPr>
              <w:t xml:space="preserve"> </w:t>
            </w:r>
            <w:r w:rsidRPr="002E3AFC">
              <w:rPr>
                <w:rFonts w:cs="Calibri"/>
                <w:sz w:val="26"/>
                <w:szCs w:val="26"/>
                <w:lang w:val="en-US"/>
              </w:rPr>
              <w:t xml:space="preserve">other changes were equal USD </w:t>
            </w:r>
            <w:r w:rsidR="00345821" w:rsidRPr="002E3AFC">
              <w:rPr>
                <w:rFonts w:cs="Calibri"/>
                <w:sz w:val="26"/>
                <w:szCs w:val="26"/>
                <w:lang w:val="en-US"/>
              </w:rPr>
              <w:t xml:space="preserve">674,9 </w:t>
            </w:r>
            <w:r w:rsidRPr="002E3AFC">
              <w:rPr>
                <w:rFonts w:cs="Calibri"/>
                <w:sz w:val="26"/>
                <w:szCs w:val="26"/>
                <w:lang w:val="en-US"/>
              </w:rPr>
              <w:t>million</w:t>
            </w:r>
            <w:r w:rsidR="00345821" w:rsidRPr="002E3AFC">
              <w:rPr>
                <w:rFonts w:cs="Calibri"/>
                <w:sz w:val="26"/>
                <w:szCs w:val="26"/>
                <w:lang w:val="en-US"/>
              </w:rPr>
              <w:t xml:space="preserve"> </w:t>
            </w:r>
            <w:r w:rsidRPr="002E3AFC">
              <w:rPr>
                <w:rFonts w:cs="Calibri"/>
                <w:sz w:val="26"/>
                <w:szCs w:val="26"/>
                <w:lang w:val="en-US"/>
              </w:rPr>
              <w:t>and</w:t>
            </w:r>
            <w:r w:rsidR="00345821" w:rsidRPr="002E3AFC">
              <w:rPr>
                <w:rFonts w:cs="Calibri"/>
                <w:sz w:val="26"/>
                <w:szCs w:val="26"/>
                <w:lang w:val="en-US"/>
              </w:rPr>
              <w:t xml:space="preserve"> </w:t>
            </w:r>
            <w:r w:rsidRPr="002E3AFC">
              <w:rPr>
                <w:rFonts w:cs="Calibri"/>
                <w:sz w:val="26"/>
                <w:szCs w:val="26"/>
                <w:lang w:val="en-US"/>
              </w:rPr>
              <w:t xml:space="preserve">–USD </w:t>
            </w:r>
            <w:r w:rsidR="00345821" w:rsidRPr="002E3AFC">
              <w:rPr>
                <w:rFonts w:cs="Calibri"/>
                <w:sz w:val="26"/>
                <w:szCs w:val="26"/>
                <w:lang w:val="en-US"/>
              </w:rPr>
              <w:t xml:space="preserve">241,1 </w:t>
            </w:r>
            <w:r w:rsidRPr="002E3AFC">
              <w:rPr>
                <w:rFonts w:cs="Calibri"/>
                <w:sz w:val="26"/>
                <w:szCs w:val="26"/>
                <w:lang w:val="en-US"/>
              </w:rPr>
              <w:t>million</w:t>
            </w:r>
            <w:r w:rsidR="00345821" w:rsidRPr="002E3AFC">
              <w:rPr>
                <w:rFonts w:cs="Calibri"/>
                <w:sz w:val="26"/>
                <w:szCs w:val="26"/>
                <w:lang w:val="en-US"/>
              </w:rPr>
              <w:t xml:space="preserve"> </w:t>
            </w:r>
            <w:r w:rsidRPr="002E3AFC">
              <w:rPr>
                <w:rFonts w:cs="Calibri"/>
                <w:sz w:val="26"/>
                <w:szCs w:val="26"/>
                <w:lang w:val="en-US"/>
              </w:rPr>
              <w:t>respectively</w:t>
            </w:r>
            <w:r w:rsidR="00345821" w:rsidRPr="002E3AFC">
              <w:rPr>
                <w:rFonts w:cs="Calibri"/>
                <w:sz w:val="26"/>
                <w:szCs w:val="26"/>
                <w:lang w:val="en-US"/>
              </w:rPr>
              <w:t>.</w:t>
            </w:r>
          </w:p>
          <w:p w:rsidR="009B0578" w:rsidRPr="002E3AFC" w:rsidRDefault="009B0578" w:rsidP="009B0578">
            <w:pPr>
              <w:ind w:firstLine="741"/>
              <w:jc w:val="right"/>
              <w:rPr>
                <w:rFonts w:cs="Calibri"/>
                <w:sz w:val="26"/>
                <w:szCs w:val="26"/>
                <w:lang w:val="en-US"/>
              </w:rPr>
            </w:pPr>
          </w:p>
          <w:p w:rsidR="00345821" w:rsidRPr="005A1478" w:rsidRDefault="00715FE9" w:rsidP="009E0161">
            <w:pPr>
              <w:ind w:right="463" w:firstLine="709"/>
              <w:jc w:val="right"/>
              <w:rPr>
                <w:rFonts w:asciiTheme="minorHAnsi" w:hAnsiTheme="minorHAnsi" w:cstheme="minorHAnsi"/>
                <w:lang w:val="en-US"/>
              </w:rPr>
            </w:pPr>
            <w:r>
              <w:rPr>
                <w:rFonts w:asciiTheme="minorHAnsi" w:hAnsiTheme="minorHAnsi" w:cstheme="minorHAnsi"/>
                <w:lang w:val="en-US"/>
              </w:rPr>
              <w:t>Table</w:t>
            </w:r>
            <w:r w:rsidR="00345821" w:rsidRPr="005A1478">
              <w:rPr>
                <w:rFonts w:asciiTheme="minorHAnsi" w:hAnsiTheme="minorHAnsi" w:cstheme="minorHAnsi"/>
                <w:lang w:val="en-US"/>
              </w:rPr>
              <w:t xml:space="preserve"> 2</w:t>
            </w:r>
          </w:p>
          <w:p w:rsidR="00345821" w:rsidRPr="00715FE9" w:rsidRDefault="00715FE9" w:rsidP="00141EEC">
            <w:pPr>
              <w:ind w:firstLine="20"/>
              <w:jc w:val="center"/>
              <w:rPr>
                <w:rFonts w:asciiTheme="minorHAnsi" w:hAnsiTheme="minorHAnsi" w:cstheme="minorHAnsi"/>
                <w:b/>
                <w:lang w:val="en-US"/>
              </w:rPr>
            </w:pPr>
            <w:r>
              <w:rPr>
                <w:rFonts w:asciiTheme="minorHAnsi" w:hAnsiTheme="minorHAnsi" w:cstheme="minorHAnsi"/>
                <w:b/>
                <w:lang w:val="en-US"/>
              </w:rPr>
              <w:t>Structure</w:t>
            </w:r>
            <w:r w:rsidR="00345821" w:rsidRPr="00715FE9">
              <w:rPr>
                <w:rFonts w:asciiTheme="minorHAnsi" w:hAnsiTheme="minorHAnsi" w:cstheme="minorHAnsi"/>
                <w:b/>
                <w:lang w:val="en-US"/>
              </w:rPr>
              <w:t xml:space="preserve"> </w:t>
            </w:r>
            <w:r>
              <w:rPr>
                <w:rFonts w:asciiTheme="minorHAnsi" w:hAnsiTheme="minorHAnsi" w:cstheme="minorHAnsi"/>
                <w:b/>
                <w:lang w:val="en-US"/>
              </w:rPr>
              <w:t>and</w:t>
            </w:r>
            <w:r w:rsidR="00345821" w:rsidRPr="00715FE9">
              <w:rPr>
                <w:rFonts w:asciiTheme="minorHAnsi" w:hAnsiTheme="minorHAnsi" w:cstheme="minorHAnsi"/>
                <w:b/>
                <w:lang w:val="en-US"/>
              </w:rPr>
              <w:t xml:space="preserve"> </w:t>
            </w:r>
            <w:r>
              <w:rPr>
                <w:rFonts w:asciiTheme="minorHAnsi" w:hAnsiTheme="minorHAnsi" w:cstheme="minorHAnsi"/>
                <w:b/>
                <w:lang w:val="en-US"/>
              </w:rPr>
              <w:t>changes</w:t>
            </w:r>
            <w:r w:rsidR="00345821" w:rsidRPr="00715FE9">
              <w:rPr>
                <w:rFonts w:asciiTheme="minorHAnsi" w:hAnsiTheme="minorHAnsi" w:cstheme="minorHAnsi"/>
                <w:b/>
                <w:lang w:val="en-US"/>
              </w:rPr>
              <w:t xml:space="preserve"> </w:t>
            </w:r>
            <w:r>
              <w:rPr>
                <w:rFonts w:asciiTheme="minorHAnsi" w:hAnsiTheme="minorHAnsi" w:cstheme="minorHAnsi"/>
                <w:b/>
                <w:lang w:val="en-US"/>
              </w:rPr>
              <w:t>gross external debt by sector</w:t>
            </w:r>
          </w:p>
          <w:p w:rsidR="00345821" w:rsidRPr="00715FE9" w:rsidRDefault="00345821" w:rsidP="00141EEC">
            <w:pPr>
              <w:pStyle w:val="aff8"/>
              <w:spacing w:before="0" w:beforeAutospacing="0" w:after="0" w:afterAutospacing="0"/>
              <w:ind w:firstLine="8385"/>
              <w:jc w:val="right"/>
              <w:rPr>
                <w:rFonts w:asciiTheme="minorHAnsi" w:hAnsiTheme="minorHAnsi" w:cstheme="minorHAnsi"/>
                <w:i/>
                <w:color w:val="000000"/>
                <w:sz w:val="20"/>
                <w:szCs w:val="20"/>
                <w:lang w:val="en-US"/>
              </w:rPr>
            </w:pPr>
          </w:p>
          <w:p w:rsidR="00345821" w:rsidRPr="00715FE9" w:rsidRDefault="00345821" w:rsidP="00141EEC">
            <w:pPr>
              <w:pStyle w:val="aff8"/>
              <w:spacing w:before="0" w:beforeAutospacing="0" w:after="0" w:afterAutospacing="0"/>
              <w:ind w:firstLine="8385"/>
              <w:jc w:val="center"/>
              <w:rPr>
                <w:rFonts w:asciiTheme="minorHAnsi" w:hAnsiTheme="minorHAnsi" w:cstheme="minorHAnsi"/>
                <w:sz w:val="18"/>
                <w:lang w:val="en-US"/>
              </w:rPr>
            </w:pPr>
            <w:r w:rsidRPr="00715FE9">
              <w:rPr>
                <w:rFonts w:asciiTheme="minorHAnsi" w:hAnsiTheme="minorHAnsi" w:cstheme="minorHAnsi"/>
                <w:i/>
                <w:color w:val="000000"/>
                <w:sz w:val="20"/>
                <w:szCs w:val="20"/>
                <w:lang w:val="en-US"/>
              </w:rPr>
              <w:t>(</w:t>
            </w:r>
            <w:r w:rsidR="00715FE9">
              <w:rPr>
                <w:rFonts w:asciiTheme="minorHAnsi" w:hAnsiTheme="minorHAnsi" w:cstheme="minorHAnsi"/>
                <w:i/>
                <w:color w:val="000000"/>
                <w:sz w:val="20"/>
                <w:szCs w:val="20"/>
                <w:lang w:val="en-US"/>
              </w:rPr>
              <w:t>mln</w:t>
            </w:r>
            <w:r w:rsidRPr="00715FE9">
              <w:rPr>
                <w:rFonts w:asciiTheme="minorHAnsi" w:hAnsiTheme="minorHAnsi" w:cstheme="minorHAnsi"/>
                <w:i/>
                <w:color w:val="000000"/>
                <w:sz w:val="20"/>
                <w:szCs w:val="20"/>
                <w:lang w:val="en-US"/>
              </w:rPr>
              <w:t xml:space="preserve">. </w:t>
            </w:r>
            <w:r w:rsidR="00715FE9">
              <w:rPr>
                <w:rFonts w:asciiTheme="minorHAnsi" w:hAnsiTheme="minorHAnsi" w:cstheme="minorHAnsi"/>
                <w:i/>
                <w:color w:val="000000"/>
                <w:sz w:val="20"/>
                <w:szCs w:val="20"/>
                <w:lang w:val="en-US"/>
              </w:rPr>
              <w:t>doll</w:t>
            </w:r>
            <w:r w:rsidRPr="00715FE9">
              <w:rPr>
                <w:rFonts w:asciiTheme="minorHAnsi" w:hAnsiTheme="minorHAnsi" w:cstheme="minorHAnsi"/>
                <w:i/>
                <w:color w:val="000000"/>
                <w:sz w:val="20"/>
                <w:szCs w:val="20"/>
                <w:lang w:val="en-US"/>
              </w:rPr>
              <w:t>.)</w:t>
            </w:r>
          </w:p>
          <w:tbl>
            <w:tblPr>
              <w:tblW w:w="960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24"/>
              <w:gridCol w:w="1336"/>
              <w:gridCol w:w="1126"/>
              <w:gridCol w:w="1326"/>
              <w:gridCol w:w="1248"/>
              <w:gridCol w:w="1342"/>
            </w:tblGrid>
            <w:tr w:rsidR="00345821" w:rsidRPr="00715FE9" w:rsidTr="00141EEC">
              <w:trPr>
                <w:trHeight w:val="190"/>
              </w:trPr>
              <w:tc>
                <w:tcPr>
                  <w:tcW w:w="3224" w:type="dxa"/>
                  <w:vMerge w:val="restart"/>
                  <w:shd w:val="clear" w:color="auto" w:fill="auto"/>
                  <w:vAlign w:val="center"/>
                  <w:hideMark/>
                </w:tcPr>
                <w:p w:rsidR="00345821" w:rsidRPr="00715FE9" w:rsidRDefault="00345821" w:rsidP="00141EEC">
                  <w:pPr>
                    <w:rPr>
                      <w:rFonts w:asciiTheme="minorHAnsi" w:hAnsiTheme="minorHAnsi" w:cstheme="minorHAnsi"/>
                      <w:color w:val="000000"/>
                      <w:sz w:val="20"/>
                      <w:szCs w:val="20"/>
                      <w:lang w:val="en-US"/>
                    </w:rPr>
                  </w:pPr>
                  <w:r w:rsidRPr="00715FE9">
                    <w:rPr>
                      <w:rFonts w:asciiTheme="minorHAnsi" w:hAnsiTheme="minorHAnsi" w:cstheme="minorHAnsi"/>
                      <w:color w:val="000000"/>
                      <w:sz w:val="20"/>
                      <w:szCs w:val="20"/>
                      <w:lang w:val="en-US"/>
                    </w:rPr>
                    <w:t> </w:t>
                  </w:r>
                </w:p>
              </w:tc>
              <w:tc>
                <w:tcPr>
                  <w:tcW w:w="1336" w:type="dxa"/>
                  <w:vMerge w:val="restart"/>
                  <w:shd w:val="clear" w:color="auto" w:fill="auto"/>
                  <w:vAlign w:val="center"/>
                  <w:hideMark/>
                </w:tcPr>
                <w:p w:rsidR="00345821" w:rsidRPr="00715FE9" w:rsidRDefault="00345821" w:rsidP="00141EEC">
                  <w:pPr>
                    <w:jc w:val="center"/>
                    <w:rPr>
                      <w:rFonts w:asciiTheme="minorHAnsi" w:hAnsiTheme="minorHAnsi" w:cstheme="minorHAnsi"/>
                      <w:color w:val="000000"/>
                      <w:sz w:val="20"/>
                      <w:szCs w:val="20"/>
                      <w:lang w:val="en-US"/>
                    </w:rPr>
                  </w:pPr>
                  <w:r w:rsidRPr="00715FE9">
                    <w:rPr>
                      <w:rFonts w:asciiTheme="minorHAnsi" w:hAnsiTheme="minorHAnsi" w:cstheme="minorHAnsi"/>
                      <w:color w:val="000000"/>
                      <w:sz w:val="20"/>
                      <w:szCs w:val="20"/>
                      <w:lang w:val="en-US"/>
                    </w:rPr>
                    <w:t>01.01.2020 </w:t>
                  </w:r>
                  <w:r w:rsidRPr="00C92486">
                    <w:rPr>
                      <w:rFonts w:asciiTheme="minorHAnsi" w:hAnsiTheme="minorHAnsi" w:cstheme="minorHAnsi"/>
                      <w:color w:val="000000"/>
                      <w:sz w:val="20"/>
                      <w:szCs w:val="20"/>
                    </w:rPr>
                    <w:t>г</w:t>
                  </w:r>
                </w:p>
              </w:tc>
              <w:tc>
                <w:tcPr>
                  <w:tcW w:w="3700" w:type="dxa"/>
                  <w:gridSpan w:val="3"/>
                  <w:shd w:val="clear" w:color="auto" w:fill="auto"/>
                  <w:vAlign w:val="center"/>
                  <w:hideMark/>
                </w:tcPr>
                <w:p w:rsidR="00345821" w:rsidRPr="00715FE9" w:rsidRDefault="00715FE9" w:rsidP="00715FE9">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changes</w:t>
                  </w:r>
                  <w:r w:rsidR="00345821" w:rsidRPr="00715FE9">
                    <w:rPr>
                      <w:rFonts w:asciiTheme="minorHAnsi" w:hAnsiTheme="minorHAnsi" w:cstheme="minorHAnsi"/>
                      <w:color w:val="000000"/>
                      <w:sz w:val="20"/>
                      <w:szCs w:val="20"/>
                      <w:lang w:val="en-US"/>
                    </w:rPr>
                    <w:t xml:space="preserve"> </w:t>
                  </w:r>
                  <w:r>
                    <w:rPr>
                      <w:rFonts w:asciiTheme="minorHAnsi" w:hAnsiTheme="minorHAnsi" w:cstheme="minorHAnsi"/>
                      <w:color w:val="000000"/>
                      <w:sz w:val="20"/>
                      <w:szCs w:val="20"/>
                      <w:lang w:val="en-US"/>
                    </w:rPr>
                    <w:t>for</w:t>
                  </w:r>
                  <w:r w:rsidR="00345821" w:rsidRPr="00715FE9">
                    <w:rPr>
                      <w:rFonts w:asciiTheme="minorHAnsi" w:hAnsiTheme="minorHAnsi" w:cstheme="minorHAnsi"/>
                      <w:color w:val="000000"/>
                      <w:sz w:val="20"/>
                      <w:szCs w:val="20"/>
                      <w:lang w:val="en-US"/>
                    </w:rPr>
                    <w:t xml:space="preserve"> 2020</w:t>
                  </w:r>
                  <w:r w:rsidR="00345821" w:rsidRPr="00C92486">
                    <w:rPr>
                      <w:rFonts w:asciiTheme="minorHAnsi" w:hAnsiTheme="minorHAnsi" w:cstheme="minorHAnsi"/>
                      <w:color w:val="000000"/>
                      <w:sz w:val="20"/>
                      <w:szCs w:val="20"/>
                    </w:rPr>
                    <w:t>г</w:t>
                  </w:r>
                  <w:r w:rsidR="00345821" w:rsidRPr="00715FE9">
                    <w:rPr>
                      <w:rFonts w:asciiTheme="minorHAnsi" w:hAnsiTheme="minorHAnsi" w:cstheme="minorHAnsi"/>
                      <w:color w:val="000000"/>
                      <w:sz w:val="20"/>
                      <w:szCs w:val="20"/>
                      <w:lang w:val="en-US"/>
                    </w:rPr>
                    <w:t>.</w:t>
                  </w:r>
                </w:p>
              </w:tc>
              <w:tc>
                <w:tcPr>
                  <w:tcW w:w="1342" w:type="dxa"/>
                  <w:vMerge w:val="restart"/>
                  <w:shd w:val="clear" w:color="auto" w:fill="auto"/>
                  <w:vAlign w:val="center"/>
                  <w:hideMark/>
                </w:tcPr>
                <w:p w:rsidR="00345821" w:rsidRPr="00715FE9" w:rsidRDefault="00345821" w:rsidP="00141EEC">
                  <w:pPr>
                    <w:jc w:val="center"/>
                    <w:rPr>
                      <w:rFonts w:asciiTheme="minorHAnsi" w:hAnsiTheme="minorHAnsi" w:cstheme="minorHAnsi"/>
                      <w:color w:val="000000"/>
                      <w:sz w:val="20"/>
                      <w:szCs w:val="20"/>
                      <w:lang w:val="en-US"/>
                    </w:rPr>
                  </w:pPr>
                  <w:r w:rsidRPr="00715FE9">
                    <w:rPr>
                      <w:rFonts w:asciiTheme="minorHAnsi" w:hAnsiTheme="minorHAnsi" w:cstheme="minorHAnsi"/>
                      <w:color w:val="000000"/>
                      <w:sz w:val="20"/>
                      <w:szCs w:val="20"/>
                      <w:lang w:val="en-US"/>
                    </w:rPr>
                    <w:t>01.01.2021</w:t>
                  </w:r>
                  <w:r w:rsidRPr="00C92486">
                    <w:rPr>
                      <w:rFonts w:asciiTheme="minorHAnsi" w:hAnsiTheme="minorHAnsi" w:cstheme="minorHAnsi"/>
                      <w:color w:val="000000"/>
                      <w:sz w:val="20"/>
                      <w:szCs w:val="20"/>
                    </w:rPr>
                    <w:t>г</w:t>
                  </w:r>
                  <w:r w:rsidRPr="00715FE9">
                    <w:rPr>
                      <w:rFonts w:asciiTheme="minorHAnsi" w:hAnsiTheme="minorHAnsi" w:cstheme="minorHAnsi"/>
                      <w:color w:val="000000"/>
                      <w:sz w:val="20"/>
                      <w:szCs w:val="20"/>
                      <w:lang w:val="en-US"/>
                    </w:rPr>
                    <w:t>.</w:t>
                  </w:r>
                </w:p>
              </w:tc>
            </w:tr>
            <w:tr w:rsidR="00345821" w:rsidRPr="00715FE9" w:rsidTr="00141EEC">
              <w:trPr>
                <w:trHeight w:val="228"/>
              </w:trPr>
              <w:tc>
                <w:tcPr>
                  <w:tcW w:w="3224" w:type="dxa"/>
                  <w:vMerge/>
                  <w:vAlign w:val="center"/>
                  <w:hideMark/>
                </w:tcPr>
                <w:p w:rsidR="00345821" w:rsidRPr="00715FE9" w:rsidRDefault="00345821" w:rsidP="00141EEC">
                  <w:pPr>
                    <w:rPr>
                      <w:rFonts w:asciiTheme="minorHAnsi" w:hAnsiTheme="minorHAnsi" w:cstheme="minorHAnsi"/>
                      <w:color w:val="000000"/>
                      <w:sz w:val="20"/>
                      <w:szCs w:val="20"/>
                      <w:lang w:val="en-US"/>
                    </w:rPr>
                  </w:pPr>
                </w:p>
              </w:tc>
              <w:tc>
                <w:tcPr>
                  <w:tcW w:w="1336" w:type="dxa"/>
                  <w:vMerge/>
                  <w:vAlign w:val="center"/>
                  <w:hideMark/>
                </w:tcPr>
                <w:p w:rsidR="00345821" w:rsidRPr="00715FE9" w:rsidRDefault="00345821" w:rsidP="00141EEC">
                  <w:pPr>
                    <w:rPr>
                      <w:rFonts w:asciiTheme="minorHAnsi" w:hAnsiTheme="minorHAnsi" w:cstheme="minorHAnsi"/>
                      <w:color w:val="000000"/>
                      <w:sz w:val="20"/>
                      <w:szCs w:val="20"/>
                      <w:lang w:val="en-US"/>
                    </w:rPr>
                  </w:pPr>
                </w:p>
              </w:tc>
              <w:tc>
                <w:tcPr>
                  <w:tcW w:w="1126" w:type="dxa"/>
                  <w:shd w:val="clear" w:color="auto" w:fill="auto"/>
                  <w:vAlign w:val="center"/>
                  <w:hideMark/>
                </w:tcPr>
                <w:p w:rsidR="00345821" w:rsidRPr="00715FE9" w:rsidRDefault="00715FE9" w:rsidP="00141EEC">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operations</w:t>
                  </w:r>
                </w:p>
              </w:tc>
              <w:tc>
                <w:tcPr>
                  <w:tcW w:w="1326" w:type="dxa"/>
                  <w:shd w:val="clear" w:color="auto" w:fill="auto"/>
                  <w:vAlign w:val="center"/>
                  <w:hideMark/>
                </w:tcPr>
                <w:p w:rsidR="00345821" w:rsidRPr="00715FE9" w:rsidRDefault="00715FE9" w:rsidP="00141EEC">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changes in volume</w:t>
                  </w:r>
                </w:p>
              </w:tc>
              <w:tc>
                <w:tcPr>
                  <w:tcW w:w="1248" w:type="dxa"/>
                  <w:shd w:val="clear" w:color="auto" w:fill="auto"/>
                  <w:vAlign w:val="center"/>
                  <w:hideMark/>
                </w:tcPr>
                <w:p w:rsidR="00345821" w:rsidRPr="00715FE9" w:rsidRDefault="00715FE9" w:rsidP="00141EEC">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other changes</w:t>
                  </w:r>
                </w:p>
              </w:tc>
              <w:tc>
                <w:tcPr>
                  <w:tcW w:w="1342" w:type="dxa"/>
                  <w:vMerge/>
                  <w:vAlign w:val="center"/>
                  <w:hideMark/>
                </w:tcPr>
                <w:p w:rsidR="00345821" w:rsidRPr="00715FE9" w:rsidRDefault="00345821" w:rsidP="00141EEC">
                  <w:pPr>
                    <w:rPr>
                      <w:rFonts w:asciiTheme="minorHAnsi" w:hAnsiTheme="minorHAnsi" w:cstheme="minorHAnsi"/>
                      <w:color w:val="000000"/>
                      <w:sz w:val="20"/>
                      <w:szCs w:val="20"/>
                      <w:lang w:val="en-US"/>
                    </w:rPr>
                  </w:pPr>
                </w:p>
              </w:tc>
            </w:tr>
            <w:tr w:rsidR="00345821" w:rsidRPr="00715FE9" w:rsidTr="00141EEC">
              <w:trPr>
                <w:trHeight w:val="220"/>
              </w:trPr>
              <w:tc>
                <w:tcPr>
                  <w:tcW w:w="3224" w:type="dxa"/>
                  <w:shd w:val="clear" w:color="auto" w:fill="9CC2E5" w:themeFill="accent1" w:themeFillTint="99"/>
                  <w:vAlign w:val="center"/>
                </w:tcPr>
                <w:p w:rsidR="00345821" w:rsidRPr="00715FE9" w:rsidRDefault="00345821" w:rsidP="00141EEC">
                  <w:pPr>
                    <w:rPr>
                      <w:rFonts w:asciiTheme="minorHAnsi" w:hAnsiTheme="minorHAnsi" w:cstheme="minorHAnsi"/>
                      <w:b/>
                      <w:color w:val="000000"/>
                      <w:sz w:val="20"/>
                      <w:szCs w:val="20"/>
                      <w:lang w:val="en-US"/>
                    </w:rPr>
                  </w:pPr>
                  <w:r>
                    <w:rPr>
                      <w:rFonts w:asciiTheme="minorHAnsi" w:hAnsiTheme="minorHAnsi" w:cstheme="minorHAnsi"/>
                      <w:b/>
                      <w:color w:val="000000"/>
                      <w:sz w:val="20"/>
                      <w:szCs w:val="20"/>
                    </w:rPr>
                    <w:t>Валовый</w:t>
                  </w:r>
                  <w:r w:rsidRPr="00715FE9">
                    <w:rPr>
                      <w:rFonts w:asciiTheme="minorHAnsi" w:hAnsiTheme="minorHAnsi" w:cstheme="minorHAnsi"/>
                      <w:b/>
                      <w:color w:val="000000"/>
                      <w:sz w:val="20"/>
                      <w:szCs w:val="20"/>
                      <w:lang w:val="en-US"/>
                    </w:rPr>
                    <w:t xml:space="preserve"> </w:t>
                  </w:r>
                  <w:r>
                    <w:rPr>
                      <w:rFonts w:asciiTheme="minorHAnsi" w:hAnsiTheme="minorHAnsi" w:cstheme="minorHAnsi"/>
                      <w:b/>
                      <w:color w:val="000000"/>
                      <w:sz w:val="20"/>
                      <w:szCs w:val="20"/>
                    </w:rPr>
                    <w:t>в</w:t>
                  </w:r>
                  <w:r w:rsidRPr="00C92486">
                    <w:rPr>
                      <w:rFonts w:asciiTheme="minorHAnsi" w:hAnsiTheme="minorHAnsi" w:cstheme="minorHAnsi"/>
                      <w:b/>
                      <w:color w:val="000000"/>
                      <w:sz w:val="20"/>
                      <w:szCs w:val="20"/>
                    </w:rPr>
                    <w:t>нешний</w:t>
                  </w:r>
                  <w:r w:rsidRPr="00715FE9">
                    <w:rPr>
                      <w:rFonts w:asciiTheme="minorHAnsi" w:hAnsiTheme="minorHAnsi" w:cstheme="minorHAnsi"/>
                      <w:b/>
                      <w:color w:val="000000"/>
                      <w:sz w:val="20"/>
                      <w:szCs w:val="20"/>
                      <w:lang w:val="en-US"/>
                    </w:rPr>
                    <w:t xml:space="preserve"> </w:t>
                  </w:r>
                  <w:r w:rsidRPr="00C92486">
                    <w:rPr>
                      <w:rFonts w:asciiTheme="minorHAnsi" w:hAnsiTheme="minorHAnsi" w:cstheme="minorHAnsi"/>
                      <w:b/>
                      <w:color w:val="000000"/>
                      <w:sz w:val="20"/>
                      <w:szCs w:val="20"/>
                    </w:rPr>
                    <w:t>долг</w:t>
                  </w:r>
                </w:p>
              </w:tc>
              <w:tc>
                <w:tcPr>
                  <w:tcW w:w="1336" w:type="dxa"/>
                  <w:shd w:val="clear" w:color="auto" w:fill="9CC2E5" w:themeFill="accent1" w:themeFillTint="99"/>
                  <w:vAlign w:val="center"/>
                </w:tcPr>
                <w:p w:rsidR="00345821" w:rsidRPr="00715FE9" w:rsidRDefault="00345821" w:rsidP="00141EEC">
                  <w:pPr>
                    <w:jc w:val="right"/>
                    <w:rPr>
                      <w:rFonts w:asciiTheme="minorHAnsi" w:hAnsiTheme="minorHAnsi" w:cstheme="minorHAnsi"/>
                      <w:b/>
                      <w:color w:val="000000"/>
                      <w:sz w:val="20"/>
                      <w:szCs w:val="20"/>
                      <w:lang w:val="en-US"/>
                    </w:rPr>
                  </w:pPr>
                  <w:r w:rsidRPr="00715FE9">
                    <w:rPr>
                      <w:rFonts w:asciiTheme="minorHAnsi" w:hAnsiTheme="minorHAnsi" w:cstheme="minorHAnsi"/>
                      <w:b/>
                      <w:color w:val="000000"/>
                      <w:sz w:val="20"/>
                      <w:szCs w:val="20"/>
                      <w:lang w:val="en-US"/>
                    </w:rPr>
                    <w:t>26 331,0</w:t>
                  </w:r>
                </w:p>
              </w:tc>
              <w:tc>
                <w:tcPr>
                  <w:tcW w:w="1126" w:type="dxa"/>
                  <w:shd w:val="clear" w:color="auto" w:fill="9CC2E5" w:themeFill="accent1" w:themeFillTint="99"/>
                  <w:vAlign w:val="center"/>
                </w:tcPr>
                <w:p w:rsidR="00345821" w:rsidRPr="00715FE9" w:rsidRDefault="00345821" w:rsidP="00141EEC">
                  <w:pPr>
                    <w:jc w:val="right"/>
                    <w:rPr>
                      <w:rFonts w:asciiTheme="minorHAnsi" w:hAnsiTheme="minorHAnsi" w:cstheme="minorHAnsi"/>
                      <w:b/>
                      <w:color w:val="000000"/>
                      <w:sz w:val="20"/>
                      <w:szCs w:val="20"/>
                      <w:lang w:val="en-US"/>
                    </w:rPr>
                  </w:pPr>
                  <w:r w:rsidRPr="00715FE9">
                    <w:rPr>
                      <w:rFonts w:asciiTheme="minorHAnsi" w:hAnsiTheme="minorHAnsi" w:cstheme="minorHAnsi"/>
                      <w:b/>
                      <w:color w:val="000000"/>
                      <w:sz w:val="20"/>
                      <w:szCs w:val="20"/>
                      <w:lang w:val="en-US"/>
                    </w:rPr>
                    <w:t>9 452,6</w:t>
                  </w:r>
                </w:p>
              </w:tc>
              <w:tc>
                <w:tcPr>
                  <w:tcW w:w="1326" w:type="dxa"/>
                  <w:shd w:val="clear" w:color="auto" w:fill="9CC2E5" w:themeFill="accent1" w:themeFillTint="99"/>
                  <w:vAlign w:val="center"/>
                </w:tcPr>
                <w:p w:rsidR="00345821" w:rsidRPr="00715FE9" w:rsidRDefault="00345821" w:rsidP="00141EEC">
                  <w:pPr>
                    <w:jc w:val="right"/>
                    <w:rPr>
                      <w:rFonts w:asciiTheme="minorHAnsi" w:hAnsiTheme="minorHAnsi" w:cstheme="minorHAnsi"/>
                      <w:b/>
                      <w:color w:val="000000"/>
                      <w:sz w:val="20"/>
                      <w:szCs w:val="20"/>
                      <w:lang w:val="en-US"/>
                    </w:rPr>
                  </w:pPr>
                  <w:r w:rsidRPr="00715FE9">
                    <w:rPr>
                      <w:rFonts w:asciiTheme="minorHAnsi" w:hAnsiTheme="minorHAnsi" w:cstheme="minorHAnsi"/>
                      <w:b/>
                      <w:color w:val="000000"/>
                      <w:sz w:val="20"/>
                      <w:szCs w:val="20"/>
                      <w:lang w:val="en-US"/>
                    </w:rPr>
                    <w:t>674,9</w:t>
                  </w:r>
                </w:p>
              </w:tc>
              <w:tc>
                <w:tcPr>
                  <w:tcW w:w="1248" w:type="dxa"/>
                  <w:shd w:val="clear" w:color="auto" w:fill="9CC2E5" w:themeFill="accent1" w:themeFillTint="99"/>
                  <w:vAlign w:val="center"/>
                </w:tcPr>
                <w:p w:rsidR="00345821" w:rsidRPr="00715FE9" w:rsidRDefault="00345821" w:rsidP="00141EEC">
                  <w:pPr>
                    <w:jc w:val="right"/>
                    <w:rPr>
                      <w:rFonts w:asciiTheme="minorHAnsi" w:hAnsiTheme="minorHAnsi" w:cstheme="minorHAnsi"/>
                      <w:b/>
                      <w:color w:val="000000"/>
                      <w:sz w:val="20"/>
                      <w:szCs w:val="20"/>
                      <w:lang w:val="en-US"/>
                    </w:rPr>
                  </w:pPr>
                  <w:r w:rsidRPr="00715FE9">
                    <w:rPr>
                      <w:rFonts w:asciiTheme="minorHAnsi" w:hAnsiTheme="minorHAnsi" w:cstheme="minorHAnsi"/>
                      <w:b/>
                      <w:color w:val="000000"/>
                      <w:sz w:val="20"/>
                      <w:szCs w:val="20"/>
                      <w:lang w:val="en-US"/>
                    </w:rPr>
                    <w:t>-241,1</w:t>
                  </w:r>
                </w:p>
              </w:tc>
              <w:tc>
                <w:tcPr>
                  <w:tcW w:w="1342" w:type="dxa"/>
                  <w:shd w:val="clear" w:color="auto" w:fill="9CC2E5" w:themeFill="accent1" w:themeFillTint="99"/>
                  <w:vAlign w:val="center"/>
                </w:tcPr>
                <w:p w:rsidR="00345821" w:rsidRPr="00715FE9" w:rsidRDefault="00345821" w:rsidP="00141EEC">
                  <w:pPr>
                    <w:jc w:val="right"/>
                    <w:rPr>
                      <w:rFonts w:asciiTheme="minorHAnsi" w:hAnsiTheme="minorHAnsi" w:cstheme="minorHAnsi"/>
                      <w:b/>
                      <w:color w:val="000000"/>
                      <w:sz w:val="20"/>
                      <w:szCs w:val="20"/>
                      <w:lang w:val="en-US"/>
                    </w:rPr>
                  </w:pPr>
                  <w:r w:rsidRPr="00715FE9">
                    <w:rPr>
                      <w:rFonts w:asciiTheme="minorHAnsi" w:hAnsiTheme="minorHAnsi" w:cstheme="minorHAnsi"/>
                      <w:b/>
                      <w:color w:val="000000"/>
                      <w:sz w:val="20"/>
                      <w:szCs w:val="20"/>
                      <w:lang w:val="en-US"/>
                    </w:rPr>
                    <w:t>36 217,4</w:t>
                  </w:r>
                </w:p>
              </w:tc>
            </w:tr>
            <w:tr w:rsidR="00345821" w:rsidRPr="00C92486" w:rsidTr="00141EEC">
              <w:trPr>
                <w:trHeight w:val="79"/>
              </w:trPr>
              <w:tc>
                <w:tcPr>
                  <w:tcW w:w="3224" w:type="dxa"/>
                  <w:shd w:val="clear" w:color="auto" w:fill="auto"/>
                  <w:vAlign w:val="center"/>
                  <w:hideMark/>
                </w:tcPr>
                <w:p w:rsidR="00715FE9" w:rsidRPr="00715FE9" w:rsidRDefault="00992D82" w:rsidP="00715FE9">
                  <w:pP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Gwnral government</w:t>
                  </w:r>
                  <w:r w:rsidR="00345821" w:rsidRPr="00715FE9">
                    <w:rPr>
                      <w:rFonts w:asciiTheme="minorHAnsi" w:hAnsiTheme="minorHAnsi" w:cstheme="minorHAnsi"/>
                      <w:color w:val="000000"/>
                      <w:sz w:val="20"/>
                      <w:szCs w:val="20"/>
                      <w:lang w:val="en-US"/>
                    </w:rPr>
                    <w:t>,</w:t>
                  </w:r>
                </w:p>
                <w:p w:rsidR="00345821" w:rsidRPr="00715FE9" w:rsidRDefault="00345821" w:rsidP="00715FE9">
                  <w:pPr>
                    <w:rPr>
                      <w:rFonts w:asciiTheme="minorHAnsi" w:hAnsiTheme="minorHAnsi" w:cstheme="minorHAnsi"/>
                      <w:color w:val="000000"/>
                      <w:sz w:val="20"/>
                      <w:szCs w:val="20"/>
                      <w:lang w:val="en-US"/>
                    </w:rPr>
                  </w:pPr>
                  <w:r w:rsidRPr="00715FE9">
                    <w:rPr>
                      <w:rFonts w:asciiTheme="minorHAnsi" w:hAnsiTheme="minorHAnsi" w:cstheme="minorHAnsi"/>
                      <w:color w:val="000000"/>
                      <w:sz w:val="20"/>
                      <w:szCs w:val="20"/>
                      <w:lang w:val="en-US"/>
                    </w:rPr>
                    <w:t xml:space="preserve"> </w:t>
                  </w:r>
                  <w:r w:rsidR="00715FE9" w:rsidRPr="00715FE9">
                    <w:rPr>
                      <w:rFonts w:asciiTheme="minorHAnsi" w:hAnsiTheme="minorHAnsi" w:cstheme="minorHAnsi"/>
                      <w:i/>
                      <w:color w:val="000000"/>
                      <w:sz w:val="20"/>
                      <w:szCs w:val="20"/>
                      <w:lang w:val="en-US"/>
                    </w:rPr>
                    <w:t>including</w:t>
                  </w:r>
                </w:p>
              </w:tc>
              <w:tc>
                <w:tcPr>
                  <w:tcW w:w="1336"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12 106,4</w:t>
                  </w:r>
                </w:p>
              </w:tc>
              <w:tc>
                <w:tcPr>
                  <w:tcW w:w="1126"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4 043,3</w:t>
                  </w:r>
                </w:p>
              </w:tc>
              <w:tc>
                <w:tcPr>
                  <w:tcW w:w="1326"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352,6</w:t>
                  </w:r>
                </w:p>
              </w:tc>
              <w:tc>
                <w:tcPr>
                  <w:tcW w:w="1248"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5,5</w:t>
                  </w:r>
                </w:p>
              </w:tc>
              <w:tc>
                <w:tcPr>
                  <w:tcW w:w="1342"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16 507,7</w:t>
                  </w:r>
                </w:p>
              </w:tc>
            </w:tr>
            <w:tr w:rsidR="00345821" w:rsidRPr="00C92486" w:rsidTr="00141EEC">
              <w:trPr>
                <w:trHeight w:val="79"/>
              </w:trPr>
              <w:tc>
                <w:tcPr>
                  <w:tcW w:w="3224" w:type="dxa"/>
                  <w:shd w:val="clear" w:color="auto" w:fill="auto"/>
                  <w:vAlign w:val="center"/>
                  <w:hideMark/>
                </w:tcPr>
                <w:p w:rsidR="00345821" w:rsidRPr="00C92486" w:rsidRDefault="00345821" w:rsidP="00992D82">
                  <w:pPr>
                    <w:ind w:left="331" w:hanging="4"/>
                    <w:rPr>
                      <w:rFonts w:asciiTheme="minorHAnsi" w:hAnsiTheme="minorHAnsi" w:cstheme="minorHAnsi"/>
                      <w:color w:val="000000"/>
                      <w:sz w:val="20"/>
                      <w:szCs w:val="20"/>
                    </w:rPr>
                  </w:pPr>
                  <w:r w:rsidRPr="00C92486">
                    <w:rPr>
                      <w:rFonts w:asciiTheme="minorHAnsi" w:hAnsiTheme="minorHAnsi" w:cstheme="minorHAnsi"/>
                      <w:color w:val="000000"/>
                      <w:sz w:val="20"/>
                      <w:szCs w:val="20"/>
                    </w:rPr>
                    <w:t xml:space="preserve">- </w:t>
                  </w:r>
                  <w:r w:rsidR="00992D82" w:rsidRPr="00F91CE0">
                    <w:rPr>
                      <w:rFonts w:asciiTheme="minorHAnsi" w:hAnsiTheme="minorHAnsi" w:cstheme="minorHAnsi"/>
                      <w:color w:val="000000"/>
                      <w:sz w:val="20"/>
                      <w:szCs w:val="20"/>
                    </w:rPr>
                    <w:t>General government</w:t>
                  </w:r>
                  <w:r w:rsidR="00992D82" w:rsidRPr="00C92486">
                    <w:rPr>
                      <w:rFonts w:asciiTheme="minorHAnsi" w:hAnsiTheme="minorHAnsi" w:cstheme="minorHAnsi"/>
                      <w:color w:val="000000"/>
                      <w:sz w:val="20"/>
                      <w:szCs w:val="20"/>
                    </w:rPr>
                    <w:t xml:space="preserve"> </w:t>
                  </w:r>
                </w:p>
              </w:tc>
              <w:tc>
                <w:tcPr>
                  <w:tcW w:w="1336"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11 742,5</w:t>
                  </w:r>
                </w:p>
              </w:tc>
              <w:tc>
                <w:tcPr>
                  <w:tcW w:w="1126"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4 043,7</w:t>
                  </w:r>
                </w:p>
              </w:tc>
              <w:tc>
                <w:tcPr>
                  <w:tcW w:w="1326"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337,5</w:t>
                  </w:r>
                </w:p>
              </w:tc>
              <w:tc>
                <w:tcPr>
                  <w:tcW w:w="1248"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5,5</w:t>
                  </w:r>
                </w:p>
              </w:tc>
              <w:tc>
                <w:tcPr>
                  <w:tcW w:w="1342"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16 129,2</w:t>
                  </w:r>
                </w:p>
              </w:tc>
            </w:tr>
            <w:tr w:rsidR="00345821" w:rsidRPr="00C92486" w:rsidTr="00141EEC">
              <w:trPr>
                <w:trHeight w:val="79"/>
              </w:trPr>
              <w:tc>
                <w:tcPr>
                  <w:tcW w:w="3224" w:type="dxa"/>
                  <w:shd w:val="clear" w:color="auto" w:fill="auto"/>
                  <w:vAlign w:val="center"/>
                  <w:hideMark/>
                </w:tcPr>
                <w:p w:rsidR="00345821" w:rsidRPr="00C92486" w:rsidRDefault="00345821" w:rsidP="00141EEC">
                  <w:pPr>
                    <w:ind w:left="331"/>
                    <w:rPr>
                      <w:rFonts w:asciiTheme="minorHAnsi" w:hAnsiTheme="minorHAnsi" w:cstheme="minorHAnsi"/>
                      <w:color w:val="000000"/>
                      <w:sz w:val="20"/>
                      <w:szCs w:val="20"/>
                    </w:rPr>
                  </w:pPr>
                  <w:r w:rsidRPr="00C92486">
                    <w:rPr>
                      <w:rFonts w:asciiTheme="minorHAnsi" w:hAnsiTheme="minorHAnsi" w:cstheme="minorHAnsi"/>
                      <w:color w:val="000000"/>
                      <w:sz w:val="20"/>
                      <w:szCs w:val="20"/>
                    </w:rPr>
                    <w:t xml:space="preserve">- </w:t>
                  </w:r>
                  <w:r w:rsidR="00992D82" w:rsidRPr="00F91CE0">
                    <w:rPr>
                      <w:rFonts w:asciiTheme="minorHAnsi" w:hAnsiTheme="minorHAnsi" w:cstheme="minorHAnsi"/>
                      <w:color w:val="000000"/>
                      <w:sz w:val="20"/>
                      <w:szCs w:val="20"/>
                    </w:rPr>
                    <w:t>Central bank</w:t>
                  </w:r>
                </w:p>
              </w:tc>
              <w:tc>
                <w:tcPr>
                  <w:tcW w:w="1336"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363,9</w:t>
                  </w:r>
                </w:p>
              </w:tc>
              <w:tc>
                <w:tcPr>
                  <w:tcW w:w="1126"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-0,4</w:t>
                  </w:r>
                </w:p>
              </w:tc>
              <w:tc>
                <w:tcPr>
                  <w:tcW w:w="1326"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15,1</w:t>
                  </w:r>
                </w:p>
              </w:tc>
              <w:tc>
                <w:tcPr>
                  <w:tcW w:w="1248"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w:t>
                  </w:r>
                </w:p>
              </w:tc>
              <w:tc>
                <w:tcPr>
                  <w:tcW w:w="1342" w:type="dxa"/>
                  <w:shd w:val="clear" w:color="auto" w:fill="auto"/>
                  <w:vAlign w:val="center"/>
                  <w:hideMark/>
                </w:tcPr>
                <w:p w:rsidR="00345821" w:rsidRPr="00C92486" w:rsidRDefault="00345821" w:rsidP="00141EEC">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378,6</w:t>
                  </w:r>
                </w:p>
              </w:tc>
            </w:tr>
            <w:tr w:rsidR="00345821" w:rsidRPr="00D040FC" w:rsidTr="00141EEC">
              <w:trPr>
                <w:trHeight w:val="79"/>
              </w:trPr>
              <w:tc>
                <w:tcPr>
                  <w:tcW w:w="3224" w:type="dxa"/>
                  <w:shd w:val="clear" w:color="auto" w:fill="auto"/>
                  <w:vAlign w:val="center"/>
                  <w:hideMark/>
                </w:tcPr>
                <w:p w:rsidR="00345821" w:rsidRPr="00992D82" w:rsidRDefault="00992D82" w:rsidP="00141EEC">
                  <w:pPr>
                    <w:rPr>
                      <w:rFonts w:asciiTheme="minorHAnsi" w:hAnsiTheme="minorHAnsi" w:cstheme="minorHAnsi"/>
                      <w:color w:val="000000"/>
                      <w:sz w:val="20"/>
                      <w:szCs w:val="20"/>
                      <w:lang w:val="en-US"/>
                    </w:rPr>
                  </w:pPr>
                  <w:r w:rsidRPr="00992D82">
                    <w:rPr>
                      <w:rFonts w:asciiTheme="minorHAnsi" w:hAnsiTheme="minorHAnsi" w:cstheme="minorHAnsi"/>
                      <w:color w:val="000000"/>
                      <w:sz w:val="20"/>
                      <w:szCs w:val="20"/>
                      <w:lang w:val="en-US"/>
                    </w:rPr>
                    <w:t>Deposit-Taking Corporations, except the Central Bank</w:t>
                  </w:r>
                </w:p>
              </w:tc>
              <w:tc>
                <w:tcPr>
                  <w:tcW w:w="1336" w:type="dxa"/>
                  <w:shd w:val="clear" w:color="auto" w:fill="auto"/>
                  <w:vAlign w:val="center"/>
                  <w:hideMark/>
                </w:tcPr>
                <w:p w:rsidR="00345821" w:rsidRPr="00141EEC" w:rsidRDefault="00345821" w:rsidP="00141EEC">
                  <w:pPr>
                    <w:jc w:val="right"/>
                    <w:rPr>
                      <w:rFonts w:asciiTheme="minorHAnsi" w:hAnsiTheme="minorHAnsi" w:cstheme="minorHAnsi"/>
                      <w:color w:val="000000"/>
                      <w:sz w:val="20"/>
                      <w:szCs w:val="20"/>
                      <w:lang w:val="en-US"/>
                    </w:rPr>
                  </w:pPr>
                  <w:r w:rsidRPr="00141EEC">
                    <w:rPr>
                      <w:rFonts w:asciiTheme="minorHAnsi" w:hAnsiTheme="minorHAnsi" w:cstheme="minorHAnsi"/>
                      <w:color w:val="000000"/>
                      <w:sz w:val="20"/>
                      <w:szCs w:val="20"/>
                      <w:lang w:val="en-US"/>
                    </w:rPr>
                    <w:t>3 088,1</w:t>
                  </w:r>
                </w:p>
              </w:tc>
              <w:tc>
                <w:tcPr>
                  <w:tcW w:w="1126" w:type="dxa"/>
                  <w:shd w:val="clear" w:color="auto" w:fill="auto"/>
                  <w:vAlign w:val="center"/>
                  <w:hideMark/>
                </w:tcPr>
                <w:p w:rsidR="00345821" w:rsidRPr="00141EEC" w:rsidRDefault="00345821" w:rsidP="00141EEC">
                  <w:pPr>
                    <w:jc w:val="right"/>
                    <w:rPr>
                      <w:rFonts w:asciiTheme="minorHAnsi" w:hAnsiTheme="minorHAnsi" w:cstheme="minorHAnsi"/>
                      <w:color w:val="000000"/>
                      <w:sz w:val="20"/>
                      <w:szCs w:val="20"/>
                      <w:lang w:val="en-US"/>
                    </w:rPr>
                  </w:pPr>
                  <w:r w:rsidRPr="00141EEC">
                    <w:rPr>
                      <w:rFonts w:asciiTheme="minorHAnsi" w:hAnsiTheme="minorHAnsi" w:cstheme="minorHAnsi"/>
                      <w:color w:val="000000"/>
                      <w:sz w:val="20"/>
                      <w:szCs w:val="20"/>
                      <w:lang w:val="en-US"/>
                    </w:rPr>
                    <w:t>3 348,5</w:t>
                  </w:r>
                </w:p>
              </w:tc>
              <w:tc>
                <w:tcPr>
                  <w:tcW w:w="1326" w:type="dxa"/>
                  <w:shd w:val="clear" w:color="auto" w:fill="auto"/>
                  <w:vAlign w:val="center"/>
                  <w:hideMark/>
                </w:tcPr>
                <w:p w:rsidR="00345821" w:rsidRPr="00141EEC" w:rsidRDefault="00345821" w:rsidP="00141EEC">
                  <w:pPr>
                    <w:jc w:val="right"/>
                    <w:rPr>
                      <w:rFonts w:asciiTheme="minorHAnsi" w:hAnsiTheme="minorHAnsi" w:cstheme="minorHAnsi"/>
                      <w:color w:val="000000"/>
                      <w:sz w:val="20"/>
                      <w:szCs w:val="20"/>
                      <w:lang w:val="en-US"/>
                    </w:rPr>
                  </w:pPr>
                  <w:r w:rsidRPr="00141EEC">
                    <w:rPr>
                      <w:rFonts w:asciiTheme="minorHAnsi" w:hAnsiTheme="minorHAnsi" w:cstheme="minorHAnsi"/>
                      <w:color w:val="000000"/>
                      <w:sz w:val="20"/>
                      <w:szCs w:val="20"/>
                      <w:lang w:val="en-US"/>
                    </w:rPr>
                    <w:t>230,3</w:t>
                  </w:r>
                </w:p>
              </w:tc>
              <w:tc>
                <w:tcPr>
                  <w:tcW w:w="1248" w:type="dxa"/>
                  <w:shd w:val="clear" w:color="auto" w:fill="auto"/>
                  <w:vAlign w:val="center"/>
                  <w:hideMark/>
                </w:tcPr>
                <w:p w:rsidR="00345821" w:rsidRPr="00141EEC" w:rsidRDefault="00345821" w:rsidP="00141EEC">
                  <w:pPr>
                    <w:jc w:val="right"/>
                    <w:rPr>
                      <w:rFonts w:asciiTheme="minorHAnsi" w:hAnsiTheme="minorHAnsi" w:cstheme="minorHAnsi"/>
                      <w:color w:val="000000"/>
                      <w:sz w:val="20"/>
                      <w:szCs w:val="20"/>
                      <w:lang w:val="en-US"/>
                    </w:rPr>
                  </w:pPr>
                  <w:r w:rsidRPr="00141EEC">
                    <w:rPr>
                      <w:rFonts w:asciiTheme="minorHAnsi" w:hAnsiTheme="minorHAnsi" w:cstheme="minorHAnsi"/>
                      <w:color w:val="000000"/>
                      <w:sz w:val="20"/>
                      <w:szCs w:val="20"/>
                      <w:lang w:val="en-US"/>
                    </w:rPr>
                    <w:t>-12,7</w:t>
                  </w:r>
                </w:p>
              </w:tc>
              <w:tc>
                <w:tcPr>
                  <w:tcW w:w="1342" w:type="dxa"/>
                  <w:shd w:val="clear" w:color="auto" w:fill="auto"/>
                  <w:vAlign w:val="center"/>
                  <w:hideMark/>
                </w:tcPr>
                <w:p w:rsidR="00345821" w:rsidRPr="00141EEC" w:rsidRDefault="00345821" w:rsidP="00141EEC">
                  <w:pPr>
                    <w:jc w:val="right"/>
                    <w:rPr>
                      <w:rFonts w:asciiTheme="minorHAnsi" w:hAnsiTheme="minorHAnsi" w:cstheme="minorHAnsi"/>
                      <w:color w:val="000000"/>
                      <w:sz w:val="20"/>
                      <w:szCs w:val="20"/>
                      <w:lang w:val="en-US"/>
                    </w:rPr>
                  </w:pPr>
                  <w:r w:rsidRPr="00141EEC">
                    <w:rPr>
                      <w:rFonts w:asciiTheme="minorHAnsi" w:hAnsiTheme="minorHAnsi" w:cstheme="minorHAnsi"/>
                      <w:color w:val="000000"/>
                      <w:sz w:val="20"/>
                      <w:szCs w:val="20"/>
                      <w:lang w:val="en-US"/>
                    </w:rPr>
                    <w:t>6 654,1</w:t>
                  </w:r>
                </w:p>
              </w:tc>
            </w:tr>
            <w:tr w:rsidR="00345821" w:rsidRPr="00D040FC" w:rsidTr="00141EEC">
              <w:trPr>
                <w:trHeight w:val="79"/>
              </w:trPr>
              <w:tc>
                <w:tcPr>
                  <w:tcW w:w="3224" w:type="dxa"/>
                  <w:shd w:val="clear" w:color="auto" w:fill="auto"/>
                  <w:vAlign w:val="center"/>
                  <w:hideMark/>
                </w:tcPr>
                <w:p w:rsidR="00345821" w:rsidRPr="00141EEC" w:rsidRDefault="00992D82" w:rsidP="00141EEC">
                  <w:pPr>
                    <w:rPr>
                      <w:rFonts w:asciiTheme="minorHAnsi" w:hAnsiTheme="minorHAnsi" w:cstheme="minorHAnsi"/>
                      <w:color w:val="000000"/>
                      <w:sz w:val="20"/>
                      <w:szCs w:val="20"/>
                      <w:lang w:val="en-US"/>
                    </w:rPr>
                  </w:pPr>
                  <w:r w:rsidRPr="00141EEC">
                    <w:rPr>
                      <w:rFonts w:asciiTheme="minorHAnsi" w:hAnsiTheme="minorHAnsi" w:cstheme="minorHAnsi"/>
                      <w:color w:val="000000"/>
                      <w:sz w:val="20"/>
                      <w:szCs w:val="20"/>
                      <w:lang w:val="en-US"/>
                    </w:rPr>
                    <w:t>Other Sectors</w:t>
                  </w:r>
                </w:p>
              </w:tc>
              <w:tc>
                <w:tcPr>
                  <w:tcW w:w="1336" w:type="dxa"/>
                  <w:shd w:val="clear" w:color="auto" w:fill="auto"/>
                  <w:vAlign w:val="center"/>
                  <w:hideMark/>
                </w:tcPr>
                <w:p w:rsidR="00345821" w:rsidRPr="00141EEC" w:rsidRDefault="00345821" w:rsidP="00141EEC">
                  <w:pPr>
                    <w:jc w:val="right"/>
                    <w:rPr>
                      <w:rFonts w:asciiTheme="minorHAnsi" w:hAnsiTheme="minorHAnsi" w:cstheme="minorHAnsi"/>
                      <w:color w:val="000000"/>
                      <w:sz w:val="20"/>
                      <w:szCs w:val="20"/>
                      <w:lang w:val="en-US"/>
                    </w:rPr>
                  </w:pPr>
                  <w:r w:rsidRPr="00141EEC">
                    <w:rPr>
                      <w:rFonts w:asciiTheme="minorHAnsi" w:hAnsiTheme="minorHAnsi" w:cstheme="minorHAnsi"/>
                      <w:color w:val="000000"/>
                      <w:sz w:val="20"/>
                      <w:szCs w:val="20"/>
                      <w:lang w:val="en-US"/>
                    </w:rPr>
                    <w:t>10 252,3</w:t>
                  </w:r>
                </w:p>
              </w:tc>
              <w:tc>
                <w:tcPr>
                  <w:tcW w:w="1126" w:type="dxa"/>
                  <w:shd w:val="clear" w:color="auto" w:fill="auto"/>
                  <w:vAlign w:val="center"/>
                  <w:hideMark/>
                </w:tcPr>
                <w:p w:rsidR="00345821" w:rsidRPr="00141EEC" w:rsidRDefault="00345821" w:rsidP="00141EEC">
                  <w:pPr>
                    <w:jc w:val="right"/>
                    <w:rPr>
                      <w:rFonts w:asciiTheme="minorHAnsi" w:hAnsiTheme="minorHAnsi" w:cstheme="minorHAnsi"/>
                      <w:color w:val="000000"/>
                      <w:sz w:val="20"/>
                      <w:szCs w:val="20"/>
                      <w:lang w:val="en-US"/>
                    </w:rPr>
                  </w:pPr>
                  <w:r w:rsidRPr="00141EEC">
                    <w:rPr>
                      <w:rFonts w:asciiTheme="minorHAnsi" w:hAnsiTheme="minorHAnsi" w:cstheme="minorHAnsi"/>
                      <w:color w:val="000000"/>
                      <w:sz w:val="20"/>
                      <w:szCs w:val="20"/>
                      <w:lang w:val="en-US"/>
                    </w:rPr>
                    <w:t>1 907,6</w:t>
                  </w:r>
                </w:p>
              </w:tc>
              <w:tc>
                <w:tcPr>
                  <w:tcW w:w="1326" w:type="dxa"/>
                  <w:shd w:val="clear" w:color="auto" w:fill="auto"/>
                  <w:vAlign w:val="center"/>
                  <w:hideMark/>
                </w:tcPr>
                <w:p w:rsidR="00345821" w:rsidRPr="00141EEC" w:rsidRDefault="00345821" w:rsidP="00141EEC">
                  <w:pPr>
                    <w:jc w:val="right"/>
                    <w:rPr>
                      <w:rFonts w:asciiTheme="minorHAnsi" w:hAnsiTheme="minorHAnsi" w:cstheme="minorHAnsi"/>
                      <w:color w:val="000000"/>
                      <w:sz w:val="20"/>
                      <w:szCs w:val="20"/>
                      <w:lang w:val="en-US"/>
                    </w:rPr>
                  </w:pPr>
                  <w:r w:rsidRPr="00141EEC">
                    <w:rPr>
                      <w:rFonts w:asciiTheme="minorHAnsi" w:hAnsiTheme="minorHAnsi" w:cstheme="minorHAnsi"/>
                      <w:color w:val="000000"/>
                      <w:sz w:val="20"/>
                      <w:szCs w:val="20"/>
                      <w:lang w:val="en-US"/>
                    </w:rPr>
                    <w:t>84,5</w:t>
                  </w:r>
                </w:p>
              </w:tc>
              <w:tc>
                <w:tcPr>
                  <w:tcW w:w="1248" w:type="dxa"/>
                  <w:shd w:val="clear" w:color="auto" w:fill="auto"/>
                  <w:vAlign w:val="center"/>
                  <w:hideMark/>
                </w:tcPr>
                <w:p w:rsidR="00345821" w:rsidRPr="00141EEC" w:rsidRDefault="00345821" w:rsidP="00141EEC">
                  <w:pPr>
                    <w:jc w:val="right"/>
                    <w:rPr>
                      <w:rFonts w:asciiTheme="minorHAnsi" w:hAnsiTheme="minorHAnsi" w:cstheme="minorHAnsi"/>
                      <w:color w:val="000000"/>
                      <w:sz w:val="20"/>
                      <w:szCs w:val="20"/>
                      <w:lang w:val="en-US"/>
                    </w:rPr>
                  </w:pPr>
                  <w:r w:rsidRPr="00141EEC">
                    <w:rPr>
                      <w:rFonts w:asciiTheme="minorHAnsi" w:hAnsiTheme="minorHAnsi" w:cstheme="minorHAnsi"/>
                      <w:color w:val="000000"/>
                      <w:sz w:val="20"/>
                      <w:szCs w:val="20"/>
                      <w:lang w:val="en-US"/>
                    </w:rPr>
                    <w:t>-204,0</w:t>
                  </w:r>
                </w:p>
              </w:tc>
              <w:tc>
                <w:tcPr>
                  <w:tcW w:w="1342" w:type="dxa"/>
                  <w:shd w:val="clear" w:color="auto" w:fill="auto"/>
                  <w:vAlign w:val="center"/>
                  <w:hideMark/>
                </w:tcPr>
                <w:p w:rsidR="00345821" w:rsidRPr="00141EEC" w:rsidRDefault="00345821" w:rsidP="00141EEC">
                  <w:pPr>
                    <w:jc w:val="right"/>
                    <w:rPr>
                      <w:rFonts w:asciiTheme="minorHAnsi" w:hAnsiTheme="minorHAnsi" w:cstheme="minorHAnsi"/>
                      <w:color w:val="000000"/>
                      <w:sz w:val="20"/>
                      <w:szCs w:val="20"/>
                      <w:lang w:val="en-US"/>
                    </w:rPr>
                  </w:pPr>
                  <w:r w:rsidRPr="00141EEC">
                    <w:rPr>
                      <w:rFonts w:asciiTheme="minorHAnsi" w:hAnsiTheme="minorHAnsi" w:cstheme="minorHAnsi"/>
                      <w:color w:val="000000"/>
                      <w:sz w:val="20"/>
                      <w:szCs w:val="20"/>
                      <w:lang w:val="en-US"/>
                    </w:rPr>
                    <w:t>12 040,4</w:t>
                  </w:r>
                </w:p>
              </w:tc>
            </w:tr>
            <w:tr w:rsidR="00345821" w:rsidRPr="00D040FC" w:rsidTr="00141EEC">
              <w:trPr>
                <w:trHeight w:val="79"/>
              </w:trPr>
              <w:tc>
                <w:tcPr>
                  <w:tcW w:w="3224" w:type="dxa"/>
                  <w:shd w:val="clear" w:color="auto" w:fill="auto"/>
                  <w:vAlign w:val="center"/>
                  <w:hideMark/>
                </w:tcPr>
                <w:p w:rsidR="00345821" w:rsidRPr="00141EEC" w:rsidRDefault="00992D82" w:rsidP="00141EEC">
                  <w:pPr>
                    <w:rPr>
                      <w:rFonts w:asciiTheme="minorHAnsi" w:hAnsiTheme="minorHAnsi" w:cstheme="minorHAnsi"/>
                      <w:color w:val="000000"/>
                      <w:sz w:val="20"/>
                      <w:szCs w:val="20"/>
                      <w:lang w:val="en-US"/>
                    </w:rPr>
                  </w:pPr>
                  <w:r w:rsidRPr="00141EEC">
                    <w:rPr>
                      <w:rFonts w:asciiTheme="minorHAnsi" w:hAnsiTheme="minorHAnsi" w:cstheme="minorHAnsi"/>
                      <w:color w:val="000000"/>
                      <w:sz w:val="20"/>
                      <w:szCs w:val="20"/>
                      <w:lang w:val="en-US"/>
                    </w:rPr>
                    <w:t>Direct Investment: Intercompany Lending</w:t>
                  </w:r>
                </w:p>
              </w:tc>
              <w:tc>
                <w:tcPr>
                  <w:tcW w:w="1336" w:type="dxa"/>
                  <w:shd w:val="clear" w:color="auto" w:fill="auto"/>
                  <w:vAlign w:val="center"/>
                  <w:hideMark/>
                </w:tcPr>
                <w:p w:rsidR="00345821" w:rsidRPr="00141EEC" w:rsidRDefault="00345821" w:rsidP="00141EEC">
                  <w:pPr>
                    <w:jc w:val="right"/>
                    <w:rPr>
                      <w:rFonts w:asciiTheme="minorHAnsi" w:hAnsiTheme="minorHAnsi" w:cstheme="minorHAnsi"/>
                      <w:color w:val="000000"/>
                      <w:sz w:val="20"/>
                      <w:szCs w:val="20"/>
                      <w:lang w:val="en-US"/>
                    </w:rPr>
                  </w:pPr>
                  <w:r w:rsidRPr="00141EEC">
                    <w:rPr>
                      <w:rFonts w:asciiTheme="minorHAnsi" w:hAnsiTheme="minorHAnsi" w:cstheme="minorHAnsi"/>
                      <w:color w:val="000000"/>
                      <w:sz w:val="20"/>
                      <w:szCs w:val="20"/>
                      <w:lang w:val="en-US"/>
                    </w:rPr>
                    <w:t>884,3</w:t>
                  </w:r>
                </w:p>
              </w:tc>
              <w:tc>
                <w:tcPr>
                  <w:tcW w:w="1126" w:type="dxa"/>
                  <w:shd w:val="clear" w:color="auto" w:fill="auto"/>
                  <w:vAlign w:val="center"/>
                  <w:hideMark/>
                </w:tcPr>
                <w:p w:rsidR="00345821" w:rsidRPr="00141EEC" w:rsidRDefault="00345821" w:rsidP="00141EEC">
                  <w:pPr>
                    <w:jc w:val="right"/>
                    <w:rPr>
                      <w:rFonts w:asciiTheme="minorHAnsi" w:hAnsiTheme="minorHAnsi" w:cstheme="minorHAnsi"/>
                      <w:color w:val="000000"/>
                      <w:sz w:val="20"/>
                      <w:szCs w:val="20"/>
                      <w:lang w:val="en-US"/>
                    </w:rPr>
                  </w:pPr>
                  <w:r w:rsidRPr="00141EEC">
                    <w:rPr>
                      <w:rFonts w:asciiTheme="minorHAnsi" w:hAnsiTheme="minorHAnsi" w:cstheme="minorHAnsi"/>
                      <w:color w:val="000000"/>
                      <w:sz w:val="20"/>
                      <w:szCs w:val="20"/>
                      <w:lang w:val="en-US"/>
                    </w:rPr>
                    <w:t>153,2</w:t>
                  </w:r>
                </w:p>
              </w:tc>
              <w:tc>
                <w:tcPr>
                  <w:tcW w:w="1326" w:type="dxa"/>
                  <w:shd w:val="clear" w:color="auto" w:fill="auto"/>
                  <w:vAlign w:val="center"/>
                  <w:hideMark/>
                </w:tcPr>
                <w:p w:rsidR="00345821" w:rsidRPr="00141EEC" w:rsidRDefault="00345821" w:rsidP="00141EEC">
                  <w:pPr>
                    <w:jc w:val="right"/>
                    <w:rPr>
                      <w:rFonts w:asciiTheme="minorHAnsi" w:hAnsiTheme="minorHAnsi" w:cstheme="minorHAnsi"/>
                      <w:color w:val="000000"/>
                      <w:sz w:val="20"/>
                      <w:szCs w:val="20"/>
                      <w:lang w:val="en-US"/>
                    </w:rPr>
                  </w:pPr>
                  <w:r w:rsidRPr="00141EEC">
                    <w:rPr>
                      <w:rFonts w:asciiTheme="minorHAnsi" w:hAnsiTheme="minorHAnsi" w:cstheme="minorHAnsi"/>
                      <w:color w:val="000000"/>
                      <w:sz w:val="20"/>
                      <w:szCs w:val="20"/>
                      <w:lang w:val="en-US"/>
                    </w:rPr>
                    <w:t>7,6</w:t>
                  </w:r>
                </w:p>
              </w:tc>
              <w:tc>
                <w:tcPr>
                  <w:tcW w:w="1248" w:type="dxa"/>
                  <w:shd w:val="clear" w:color="auto" w:fill="auto"/>
                  <w:vAlign w:val="center"/>
                  <w:hideMark/>
                </w:tcPr>
                <w:p w:rsidR="00345821" w:rsidRPr="00141EEC" w:rsidRDefault="00345821" w:rsidP="00141EEC">
                  <w:pPr>
                    <w:jc w:val="right"/>
                    <w:rPr>
                      <w:rFonts w:asciiTheme="minorHAnsi" w:hAnsiTheme="minorHAnsi" w:cstheme="minorHAnsi"/>
                      <w:color w:val="000000"/>
                      <w:sz w:val="20"/>
                      <w:szCs w:val="20"/>
                      <w:lang w:val="en-US"/>
                    </w:rPr>
                  </w:pPr>
                  <w:r w:rsidRPr="00141EEC">
                    <w:rPr>
                      <w:rFonts w:asciiTheme="minorHAnsi" w:hAnsiTheme="minorHAnsi" w:cstheme="minorHAnsi"/>
                      <w:color w:val="000000"/>
                      <w:sz w:val="20"/>
                      <w:szCs w:val="20"/>
                      <w:lang w:val="en-US"/>
                    </w:rPr>
                    <w:t>-30,0</w:t>
                  </w:r>
                </w:p>
              </w:tc>
              <w:tc>
                <w:tcPr>
                  <w:tcW w:w="1342" w:type="dxa"/>
                  <w:shd w:val="clear" w:color="auto" w:fill="auto"/>
                  <w:vAlign w:val="center"/>
                  <w:hideMark/>
                </w:tcPr>
                <w:p w:rsidR="00345821" w:rsidRPr="00141EEC" w:rsidRDefault="00345821" w:rsidP="00141EEC">
                  <w:pPr>
                    <w:jc w:val="right"/>
                    <w:rPr>
                      <w:rFonts w:asciiTheme="minorHAnsi" w:hAnsiTheme="minorHAnsi" w:cstheme="minorHAnsi"/>
                      <w:color w:val="000000"/>
                      <w:sz w:val="20"/>
                      <w:szCs w:val="20"/>
                      <w:lang w:val="en-US"/>
                    </w:rPr>
                  </w:pPr>
                  <w:r w:rsidRPr="00141EEC">
                    <w:rPr>
                      <w:rFonts w:asciiTheme="minorHAnsi" w:hAnsiTheme="minorHAnsi" w:cstheme="minorHAnsi"/>
                      <w:color w:val="000000"/>
                      <w:sz w:val="20"/>
                      <w:szCs w:val="20"/>
                      <w:lang w:val="en-US"/>
                    </w:rPr>
                    <w:t>1 015,1</w:t>
                  </w:r>
                </w:p>
              </w:tc>
            </w:tr>
          </w:tbl>
          <w:p w:rsidR="00345821" w:rsidRPr="00141EEC" w:rsidRDefault="00345821" w:rsidP="00141EEC">
            <w:pPr>
              <w:rPr>
                <w:rFonts w:asciiTheme="minorHAnsi" w:hAnsiTheme="minorHAnsi" w:cstheme="minorHAnsi"/>
                <w:lang w:val="en-US"/>
              </w:rPr>
            </w:pPr>
          </w:p>
          <w:p w:rsidR="00345821" w:rsidRPr="00141EEC" w:rsidRDefault="00345821" w:rsidP="00141EEC">
            <w:pPr>
              <w:jc w:val="right"/>
              <w:rPr>
                <w:rFonts w:asciiTheme="minorHAnsi" w:hAnsiTheme="minorHAnsi" w:cstheme="minorHAnsi"/>
                <w:lang w:val="en-US"/>
              </w:rPr>
            </w:pPr>
          </w:p>
          <w:p w:rsidR="00345821" w:rsidRPr="00141EEC" w:rsidRDefault="00345821" w:rsidP="00141EEC">
            <w:pPr>
              <w:jc w:val="right"/>
              <w:rPr>
                <w:rFonts w:asciiTheme="minorHAnsi" w:hAnsiTheme="minorHAnsi" w:cstheme="minorHAnsi"/>
                <w:lang w:val="en-US"/>
              </w:rPr>
            </w:pPr>
          </w:p>
          <w:p w:rsidR="009158A5" w:rsidRDefault="009158A5" w:rsidP="00141EEC">
            <w:pPr>
              <w:jc w:val="right"/>
              <w:rPr>
                <w:rFonts w:asciiTheme="minorHAnsi" w:hAnsiTheme="minorHAnsi" w:cstheme="minorHAnsi"/>
                <w:lang w:val="en-US"/>
              </w:rPr>
            </w:pPr>
          </w:p>
          <w:p w:rsidR="009B0578" w:rsidRPr="00141EEC" w:rsidRDefault="009B0578" w:rsidP="00141EEC">
            <w:pPr>
              <w:jc w:val="right"/>
              <w:rPr>
                <w:rFonts w:asciiTheme="minorHAnsi" w:hAnsiTheme="minorHAnsi" w:cstheme="minorHAnsi"/>
                <w:lang w:val="en-US"/>
              </w:rPr>
            </w:pPr>
          </w:p>
          <w:p w:rsidR="009158A5" w:rsidRPr="00141EEC" w:rsidRDefault="009158A5" w:rsidP="00141EEC">
            <w:pPr>
              <w:jc w:val="right"/>
              <w:rPr>
                <w:rFonts w:asciiTheme="minorHAnsi" w:hAnsiTheme="minorHAnsi" w:cstheme="minorHAnsi"/>
                <w:lang w:val="en-US"/>
              </w:rPr>
            </w:pPr>
          </w:p>
          <w:p w:rsidR="00345821" w:rsidRPr="005A1478" w:rsidRDefault="009158A5" w:rsidP="00141EEC">
            <w:pPr>
              <w:jc w:val="right"/>
              <w:rPr>
                <w:rFonts w:asciiTheme="minorHAnsi" w:hAnsiTheme="minorHAnsi" w:cstheme="minorHAnsi"/>
                <w:lang w:val="en-US"/>
              </w:rPr>
            </w:pPr>
            <w:r>
              <w:rPr>
                <w:rFonts w:asciiTheme="minorHAnsi" w:hAnsiTheme="minorHAnsi" w:cstheme="minorHAnsi"/>
                <w:lang w:val="en-US"/>
              </w:rPr>
              <w:t>Figure</w:t>
            </w:r>
            <w:r w:rsidR="00345821" w:rsidRPr="005A1478">
              <w:rPr>
                <w:rFonts w:asciiTheme="minorHAnsi" w:hAnsiTheme="minorHAnsi" w:cstheme="minorHAnsi"/>
                <w:lang w:val="en-US"/>
              </w:rPr>
              <w:t xml:space="preserve"> 1</w:t>
            </w:r>
          </w:p>
          <w:p w:rsidR="00345821" w:rsidRPr="005A1478" w:rsidRDefault="00345821" w:rsidP="00141EEC">
            <w:pPr>
              <w:ind w:firstLine="741"/>
              <w:jc w:val="both"/>
              <w:rPr>
                <w:rFonts w:asciiTheme="minorHAnsi" w:hAnsiTheme="minorHAnsi" w:cstheme="minorHAnsi"/>
                <w:lang w:val="en-US"/>
              </w:rPr>
            </w:pPr>
          </w:p>
          <w:p w:rsidR="00345821" w:rsidRPr="009158A5" w:rsidRDefault="009158A5" w:rsidP="00141EEC">
            <w:pPr>
              <w:ind w:firstLine="741"/>
              <w:jc w:val="center"/>
              <w:rPr>
                <w:rFonts w:asciiTheme="minorHAnsi" w:hAnsiTheme="minorHAnsi" w:cstheme="minorHAnsi"/>
                <w:b/>
                <w:sz w:val="26"/>
                <w:szCs w:val="26"/>
                <w:lang w:val="en-US"/>
              </w:rPr>
            </w:pPr>
            <w:r>
              <w:rPr>
                <w:rFonts w:asciiTheme="minorHAnsi" w:hAnsiTheme="minorHAnsi" w:cstheme="minorHAnsi"/>
                <w:b/>
                <w:sz w:val="26"/>
                <w:szCs w:val="26"/>
                <w:lang w:val="en-US"/>
              </w:rPr>
              <w:t>Gross</w:t>
            </w:r>
            <w:r w:rsidR="00345821" w:rsidRPr="009158A5">
              <w:rPr>
                <w:rFonts w:asciiTheme="minorHAnsi" w:hAnsiTheme="minorHAnsi" w:cstheme="minorHAnsi"/>
                <w:b/>
                <w:sz w:val="26"/>
                <w:szCs w:val="26"/>
                <w:lang w:val="en-US"/>
              </w:rPr>
              <w:t xml:space="preserve"> </w:t>
            </w:r>
            <w:r>
              <w:rPr>
                <w:rFonts w:asciiTheme="minorHAnsi" w:hAnsiTheme="minorHAnsi" w:cstheme="minorHAnsi"/>
                <w:b/>
                <w:sz w:val="26"/>
                <w:szCs w:val="26"/>
                <w:lang w:val="en-US"/>
              </w:rPr>
              <w:t>external</w:t>
            </w:r>
            <w:r w:rsidR="00345821" w:rsidRPr="009158A5">
              <w:rPr>
                <w:rFonts w:asciiTheme="minorHAnsi" w:hAnsiTheme="minorHAnsi" w:cstheme="minorHAnsi"/>
                <w:b/>
                <w:sz w:val="26"/>
                <w:szCs w:val="26"/>
                <w:lang w:val="en-US"/>
              </w:rPr>
              <w:t xml:space="preserve"> </w:t>
            </w:r>
            <w:r>
              <w:rPr>
                <w:rFonts w:asciiTheme="minorHAnsi" w:hAnsiTheme="minorHAnsi" w:cstheme="minorHAnsi"/>
                <w:b/>
                <w:sz w:val="26"/>
                <w:szCs w:val="26"/>
                <w:lang w:val="en-US"/>
              </w:rPr>
              <w:t>debt</w:t>
            </w:r>
            <w:r w:rsidR="00345821" w:rsidRPr="009158A5">
              <w:rPr>
                <w:rFonts w:asciiTheme="minorHAnsi" w:hAnsiTheme="minorHAnsi" w:cstheme="minorHAnsi"/>
                <w:b/>
                <w:sz w:val="26"/>
                <w:szCs w:val="26"/>
                <w:lang w:val="en-US"/>
              </w:rPr>
              <w:t xml:space="preserve"> </w:t>
            </w:r>
            <w:r>
              <w:rPr>
                <w:rFonts w:asciiTheme="minorHAnsi" w:hAnsiTheme="minorHAnsi" w:cstheme="minorHAnsi"/>
                <w:b/>
                <w:sz w:val="26"/>
                <w:szCs w:val="26"/>
                <w:lang w:val="en-US"/>
              </w:rPr>
              <w:t xml:space="preserve">by financial </w:t>
            </w:r>
          </w:p>
          <w:p w:rsidR="00345821" w:rsidRPr="005A1478" w:rsidRDefault="00345821" w:rsidP="00141EEC">
            <w:pPr>
              <w:pStyle w:val="aff8"/>
              <w:spacing w:before="0" w:beforeAutospacing="0" w:after="0" w:afterAutospacing="0"/>
              <w:ind w:right="164" w:firstLine="284"/>
              <w:jc w:val="right"/>
              <w:rPr>
                <w:rFonts w:asciiTheme="minorHAnsi" w:hAnsiTheme="minorHAnsi" w:cstheme="minorHAnsi"/>
                <w:lang w:val="en-US"/>
              </w:rPr>
            </w:pPr>
            <w:r w:rsidRPr="005A1478">
              <w:rPr>
                <w:rFonts w:asciiTheme="minorHAnsi" w:hAnsiTheme="minorHAnsi" w:cstheme="minorHAnsi"/>
                <w:i/>
                <w:color w:val="000000"/>
                <w:sz w:val="20"/>
                <w:szCs w:val="20"/>
                <w:lang w:val="en-US"/>
              </w:rPr>
              <w:t>(</w:t>
            </w:r>
            <w:r w:rsidR="005A1478">
              <w:rPr>
                <w:rFonts w:asciiTheme="minorHAnsi" w:hAnsiTheme="minorHAnsi" w:cstheme="minorHAnsi"/>
                <w:i/>
                <w:color w:val="000000"/>
                <w:sz w:val="20"/>
                <w:szCs w:val="20"/>
                <w:lang w:val="en-US"/>
              </w:rPr>
              <w:t>mln</w:t>
            </w:r>
            <w:r w:rsidRPr="005A1478">
              <w:rPr>
                <w:rFonts w:asciiTheme="minorHAnsi" w:hAnsiTheme="minorHAnsi" w:cstheme="minorHAnsi"/>
                <w:i/>
                <w:color w:val="000000"/>
                <w:sz w:val="20"/>
                <w:szCs w:val="20"/>
                <w:lang w:val="en-US"/>
              </w:rPr>
              <w:t xml:space="preserve">. </w:t>
            </w:r>
            <w:r w:rsidR="005A1478">
              <w:rPr>
                <w:rFonts w:asciiTheme="minorHAnsi" w:hAnsiTheme="minorHAnsi" w:cstheme="minorHAnsi"/>
                <w:i/>
                <w:color w:val="000000"/>
                <w:sz w:val="20"/>
                <w:szCs w:val="20"/>
                <w:lang w:val="en-US"/>
              </w:rPr>
              <w:t>doll</w:t>
            </w:r>
            <w:r w:rsidRPr="005A1478">
              <w:rPr>
                <w:rFonts w:asciiTheme="minorHAnsi" w:hAnsiTheme="minorHAnsi" w:cstheme="minorHAnsi"/>
                <w:i/>
                <w:color w:val="000000"/>
                <w:sz w:val="20"/>
                <w:szCs w:val="20"/>
                <w:lang w:val="en-US"/>
              </w:rPr>
              <w:t>.)</w:t>
            </w:r>
            <w:r w:rsidRPr="005A1478">
              <w:rPr>
                <w:rFonts w:asciiTheme="minorHAnsi" w:hAnsiTheme="minorHAnsi" w:cstheme="minorHAnsi"/>
                <w:noProof/>
                <w:lang w:val="en-US"/>
              </w:rPr>
              <w:t xml:space="preserve"> </w:t>
            </w:r>
            <w:r w:rsidRPr="00C92486">
              <w:rPr>
                <w:rFonts w:asciiTheme="minorHAnsi" w:hAnsiTheme="minorHAnsi" w:cstheme="minorHAnsi"/>
                <w:noProof/>
              </w:rPr>
              <w:drawing>
                <wp:inline distT="0" distB="0" distL="0" distR="0" wp14:anchorId="1DD13AFA" wp14:editId="7ED03998">
                  <wp:extent cx="6081395" cy="4114800"/>
                  <wp:effectExtent l="0" t="0" r="14605"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345821" w:rsidRPr="005A1478" w:rsidRDefault="00345821" w:rsidP="00141EEC">
            <w:pPr>
              <w:ind w:firstLine="741"/>
              <w:jc w:val="both"/>
              <w:rPr>
                <w:rFonts w:asciiTheme="minorHAnsi" w:hAnsiTheme="minorHAnsi" w:cstheme="minorHAnsi"/>
                <w:lang w:val="en-US"/>
              </w:rPr>
            </w:pPr>
          </w:p>
          <w:p w:rsidR="00345821" w:rsidRPr="005A1478" w:rsidRDefault="005A1478" w:rsidP="00141EEC">
            <w:pPr>
              <w:ind w:firstLine="741"/>
              <w:jc w:val="both"/>
              <w:rPr>
                <w:rFonts w:asciiTheme="minorHAnsi" w:hAnsiTheme="minorHAnsi" w:cstheme="minorHAnsi"/>
                <w:lang w:val="en-US"/>
              </w:rPr>
            </w:pPr>
            <w:r>
              <w:rPr>
                <w:rFonts w:asciiTheme="minorHAnsi" w:hAnsiTheme="minorHAnsi" w:cstheme="minorHAnsi"/>
                <w:lang w:val="en-US"/>
              </w:rPr>
              <w:t xml:space="preserve">In the structure of gross external debt loans </w:t>
            </w:r>
            <w:r w:rsidR="00FD6C98">
              <w:rPr>
                <w:rFonts w:asciiTheme="minorHAnsi" w:hAnsiTheme="minorHAnsi" w:cstheme="minorHAnsi"/>
                <w:lang w:val="en-US"/>
              </w:rPr>
              <w:t xml:space="preserve">prevail </w:t>
            </w:r>
            <w:r>
              <w:rPr>
                <w:rFonts w:asciiTheme="minorHAnsi" w:hAnsiTheme="minorHAnsi" w:cstheme="minorHAnsi"/>
                <w:lang w:val="en-US"/>
              </w:rPr>
              <w:t xml:space="preserve">(86%). Liabilities for debt securities and others instruments are at commensurate level. </w:t>
            </w:r>
          </w:p>
          <w:p w:rsidR="00345821" w:rsidRPr="005A1478" w:rsidRDefault="005A1478" w:rsidP="005A1478">
            <w:pPr>
              <w:ind w:firstLine="741"/>
              <w:jc w:val="both"/>
              <w:rPr>
                <w:rFonts w:asciiTheme="minorHAnsi" w:hAnsiTheme="minorHAnsi" w:cstheme="minorHAnsi"/>
                <w:lang w:val="en-US"/>
              </w:rPr>
            </w:pPr>
            <w:r>
              <w:rPr>
                <w:rFonts w:asciiTheme="minorHAnsi" w:hAnsiTheme="minorHAnsi" w:cstheme="minorHAnsi"/>
                <w:lang w:val="en-US"/>
              </w:rPr>
              <w:t>The</w:t>
            </w:r>
            <w:r w:rsidRPr="005A1478">
              <w:rPr>
                <w:rFonts w:asciiTheme="minorHAnsi" w:hAnsiTheme="minorHAnsi" w:cstheme="minorHAnsi"/>
                <w:lang w:val="en-US"/>
              </w:rPr>
              <w:t xml:space="preserve"> </w:t>
            </w:r>
            <w:r>
              <w:rPr>
                <w:rFonts w:asciiTheme="minorHAnsi" w:hAnsiTheme="minorHAnsi" w:cstheme="minorHAnsi"/>
                <w:lang w:val="en-US"/>
              </w:rPr>
              <w:t>ratio</w:t>
            </w:r>
            <w:r w:rsidRPr="005A1478">
              <w:rPr>
                <w:rFonts w:asciiTheme="minorHAnsi" w:hAnsiTheme="minorHAnsi" w:cstheme="minorHAnsi"/>
                <w:lang w:val="en-US"/>
              </w:rPr>
              <w:t xml:space="preserve"> </w:t>
            </w:r>
            <w:r>
              <w:rPr>
                <w:rFonts w:asciiTheme="minorHAnsi" w:hAnsiTheme="minorHAnsi" w:cstheme="minorHAnsi"/>
                <w:lang w:val="en-US"/>
              </w:rPr>
              <w:t>of</w:t>
            </w:r>
            <w:r w:rsidRPr="005A1478">
              <w:rPr>
                <w:rFonts w:asciiTheme="minorHAnsi" w:hAnsiTheme="minorHAnsi" w:cstheme="minorHAnsi"/>
                <w:lang w:val="en-US"/>
              </w:rPr>
              <w:t xml:space="preserve"> </w:t>
            </w:r>
            <w:r>
              <w:rPr>
                <w:rFonts w:asciiTheme="minorHAnsi" w:hAnsiTheme="minorHAnsi" w:cstheme="minorHAnsi"/>
                <w:lang w:val="en-US"/>
              </w:rPr>
              <w:t>external</w:t>
            </w:r>
            <w:r w:rsidRPr="005A1478">
              <w:rPr>
                <w:rFonts w:asciiTheme="minorHAnsi" w:hAnsiTheme="minorHAnsi" w:cstheme="minorHAnsi"/>
                <w:lang w:val="en-US"/>
              </w:rPr>
              <w:t xml:space="preserve"> </w:t>
            </w:r>
            <w:r>
              <w:rPr>
                <w:rFonts w:asciiTheme="minorHAnsi" w:hAnsiTheme="minorHAnsi" w:cstheme="minorHAnsi"/>
                <w:lang w:val="en-US"/>
              </w:rPr>
              <w:t>debt</w:t>
            </w:r>
            <w:r w:rsidRPr="005A1478">
              <w:rPr>
                <w:rFonts w:asciiTheme="minorHAnsi" w:hAnsiTheme="minorHAnsi" w:cstheme="minorHAnsi"/>
                <w:lang w:val="en-US"/>
              </w:rPr>
              <w:t xml:space="preserve"> </w:t>
            </w:r>
            <w:r>
              <w:rPr>
                <w:rFonts w:asciiTheme="minorHAnsi" w:hAnsiTheme="minorHAnsi" w:cstheme="minorHAnsi"/>
                <w:lang w:val="en-US"/>
              </w:rPr>
              <w:t>to</w:t>
            </w:r>
            <w:r w:rsidRPr="005A1478">
              <w:rPr>
                <w:rFonts w:asciiTheme="minorHAnsi" w:hAnsiTheme="minorHAnsi" w:cstheme="minorHAnsi"/>
                <w:lang w:val="en-US"/>
              </w:rPr>
              <w:t xml:space="preserve"> </w:t>
            </w:r>
            <w:r>
              <w:rPr>
                <w:rFonts w:asciiTheme="minorHAnsi" w:hAnsiTheme="minorHAnsi" w:cstheme="minorHAnsi"/>
                <w:lang w:val="en-US"/>
              </w:rPr>
              <w:t>GDP</w:t>
            </w:r>
            <w:r w:rsidRPr="005A1478">
              <w:rPr>
                <w:rFonts w:asciiTheme="minorHAnsi" w:hAnsiTheme="minorHAnsi" w:cstheme="minorHAnsi"/>
                <w:lang w:val="en-US"/>
              </w:rPr>
              <w:t>, excluding other liabilities equals 59</w:t>
            </w:r>
            <w:r>
              <w:rPr>
                <w:rFonts w:asciiTheme="minorHAnsi" w:hAnsiTheme="minorHAnsi" w:cstheme="minorHAnsi"/>
                <w:lang w:val="en-US"/>
              </w:rPr>
              <w:t>%.</w:t>
            </w:r>
          </w:p>
        </w:tc>
      </w:tr>
    </w:tbl>
    <w:p w:rsidR="00BE0704" w:rsidRPr="005A1478" w:rsidRDefault="00BE0704" w:rsidP="000F2DF8">
      <w:pPr>
        <w:jc w:val="right"/>
        <w:rPr>
          <w:rFonts w:cs="Arial"/>
          <w:lang w:val="en-US"/>
        </w:rPr>
        <w:sectPr w:rsidR="00BE0704" w:rsidRPr="005A1478" w:rsidSect="00777D04">
          <w:type w:val="continuous"/>
          <w:pgSz w:w="11906" w:h="16838" w:code="9"/>
          <w:pgMar w:top="1134" w:right="851" w:bottom="851" w:left="1134" w:header="709" w:footer="0" w:gutter="0"/>
          <w:cols w:space="708"/>
          <w:titlePg/>
          <w:docGrid w:linePitch="360"/>
        </w:sectPr>
      </w:pPr>
    </w:p>
    <w:p w:rsidR="000F2DF8" w:rsidRPr="004A50A8" w:rsidRDefault="00C1522E" w:rsidP="00106BE1">
      <w:pPr>
        <w:ind w:right="-456"/>
        <w:jc w:val="right"/>
        <w:rPr>
          <w:i/>
          <w:sz w:val="22"/>
          <w:szCs w:val="22"/>
          <w:lang w:val="en-US"/>
        </w:rPr>
      </w:pPr>
      <w:r w:rsidRPr="004A50A8">
        <w:rPr>
          <w:rFonts w:cs="Calibri"/>
          <w:i/>
          <w:sz w:val="22"/>
          <w:szCs w:val="22"/>
          <w:lang w:val="en-US"/>
        </w:rPr>
        <w:lastRenderedPageBreak/>
        <w:t xml:space="preserve">Addenda </w:t>
      </w:r>
      <w:r w:rsidR="00AA3404" w:rsidRPr="004A50A8">
        <w:rPr>
          <w:i/>
          <w:sz w:val="22"/>
          <w:szCs w:val="22"/>
          <w:lang w:val="en-US"/>
        </w:rPr>
        <w:t>1</w:t>
      </w:r>
    </w:p>
    <w:p w:rsidR="00213598" w:rsidRPr="00147844" w:rsidRDefault="00213598" w:rsidP="004A50A8">
      <w:pPr>
        <w:pStyle w:val="1"/>
        <w:spacing w:before="0"/>
        <w:ind w:left="709"/>
        <w:jc w:val="center"/>
        <w:rPr>
          <w:rFonts w:cs="Calibri"/>
          <w:b w:val="0"/>
          <w:sz w:val="24"/>
          <w:szCs w:val="24"/>
          <w:lang w:val="en-US"/>
        </w:rPr>
      </w:pPr>
      <w:bookmarkStart w:id="20" w:name="_Toc67050800"/>
      <w:r w:rsidRPr="00147844">
        <w:rPr>
          <w:rFonts w:ascii="Calibri" w:hAnsi="Calibri" w:cs="Calibri"/>
          <w:bCs w:val="0"/>
          <w:color w:val="000000"/>
          <w:sz w:val="24"/>
          <w:szCs w:val="24"/>
          <w:lang w:val="en-US"/>
        </w:rPr>
        <w:t xml:space="preserve">BALANCE OF PAYMENTS </w:t>
      </w:r>
      <w:r w:rsidR="00A36D7A">
        <w:rPr>
          <w:rFonts w:ascii="Calibri" w:hAnsi="Calibri" w:cs="Calibri"/>
          <w:bCs w:val="0"/>
          <w:color w:val="000000"/>
          <w:sz w:val="24"/>
          <w:szCs w:val="24"/>
          <w:lang w:val="en-US"/>
        </w:rPr>
        <w:t>FOR</w:t>
      </w:r>
      <w:r w:rsidRPr="00147844">
        <w:rPr>
          <w:rFonts w:ascii="Calibri" w:hAnsi="Calibri" w:cs="Calibri"/>
          <w:bCs w:val="0"/>
          <w:color w:val="000000"/>
          <w:sz w:val="24"/>
          <w:szCs w:val="24"/>
          <w:lang w:val="en-US"/>
        </w:rPr>
        <w:t xml:space="preserve"> 201</w:t>
      </w:r>
      <w:r w:rsidR="009733DE">
        <w:rPr>
          <w:rFonts w:ascii="Calibri" w:hAnsi="Calibri" w:cs="Calibri"/>
          <w:bCs w:val="0"/>
          <w:color w:val="000000"/>
          <w:sz w:val="24"/>
          <w:szCs w:val="24"/>
          <w:lang w:val="en-US"/>
        </w:rPr>
        <w:t>0</w:t>
      </w:r>
      <w:r w:rsidR="00C6151B" w:rsidRPr="00147844">
        <w:rPr>
          <w:rFonts w:ascii="Calibri" w:hAnsi="Calibri" w:cs="Calibri"/>
          <w:bCs w:val="0"/>
          <w:color w:val="000000"/>
          <w:sz w:val="24"/>
          <w:szCs w:val="24"/>
          <w:lang w:val="en-US"/>
        </w:rPr>
        <w:t xml:space="preserve"> AND </w:t>
      </w:r>
      <w:r w:rsidR="00C6151B" w:rsidRPr="00147844">
        <w:rPr>
          <w:rFonts w:ascii="Calibri" w:hAnsi="Calibri" w:cs="Calibri"/>
          <w:sz w:val="24"/>
          <w:szCs w:val="24"/>
        </w:rPr>
        <w:t>20</w:t>
      </w:r>
      <w:r w:rsidR="00C6151B" w:rsidRPr="00147844">
        <w:rPr>
          <w:rFonts w:ascii="Calibri" w:hAnsi="Calibri" w:cs="Calibri"/>
          <w:sz w:val="24"/>
          <w:szCs w:val="24"/>
          <w:lang w:val="en-US"/>
        </w:rPr>
        <w:t>20</w:t>
      </w:r>
      <w:bookmarkEnd w:id="20"/>
    </w:p>
    <w:p w:rsidR="00213598" w:rsidRPr="005A1478" w:rsidRDefault="00213598" w:rsidP="00213598">
      <w:pPr>
        <w:jc w:val="center"/>
        <w:rPr>
          <w:rFonts w:cs="Calibri"/>
          <w:sz w:val="22"/>
          <w:szCs w:val="22"/>
          <w:lang w:val="en-US"/>
        </w:rPr>
      </w:pPr>
      <w:r w:rsidRPr="00147844">
        <w:rPr>
          <w:rFonts w:cs="Calibri"/>
          <w:sz w:val="22"/>
          <w:szCs w:val="22"/>
          <w:lang w:val="en-US"/>
        </w:rPr>
        <w:t>(analytic presentation)</w:t>
      </w:r>
    </w:p>
    <w:p w:rsidR="00213598" w:rsidRPr="004A50A8" w:rsidRDefault="003C16F4" w:rsidP="00106BE1">
      <w:pPr>
        <w:ind w:right="-456"/>
        <w:jc w:val="right"/>
        <w:rPr>
          <w:i/>
          <w:color w:val="000000"/>
          <w:sz w:val="18"/>
          <w:szCs w:val="18"/>
          <w:lang w:val="en-US"/>
        </w:rPr>
      </w:pPr>
      <w:r>
        <w:rPr>
          <w:i/>
          <w:color w:val="000000"/>
          <w:sz w:val="18"/>
          <w:szCs w:val="18"/>
          <w:lang w:val="en-US"/>
        </w:rPr>
        <w:t xml:space="preserve"> </w:t>
      </w:r>
      <w:r w:rsidR="00213598" w:rsidRPr="004A50A8">
        <w:rPr>
          <w:i/>
          <w:color w:val="000000"/>
          <w:sz w:val="18"/>
          <w:szCs w:val="18"/>
          <w:lang w:val="en-US"/>
        </w:rPr>
        <w:t>(mln. USD)</w:t>
      </w:r>
    </w:p>
    <w:tbl>
      <w:tblPr>
        <w:tblW w:w="15424" w:type="dxa"/>
        <w:tblInd w:w="-113" w:type="dxa"/>
        <w:tblLook w:val="04A0" w:firstRow="1" w:lastRow="0" w:firstColumn="1" w:lastColumn="0" w:noHBand="0" w:noVBand="1"/>
      </w:tblPr>
      <w:tblGrid>
        <w:gridCol w:w="2660"/>
        <w:gridCol w:w="840"/>
        <w:gridCol w:w="840"/>
        <w:gridCol w:w="839"/>
        <w:gridCol w:w="838"/>
        <w:gridCol w:w="839"/>
        <w:gridCol w:w="838"/>
        <w:gridCol w:w="839"/>
        <w:gridCol w:w="903"/>
        <w:gridCol w:w="887"/>
        <w:gridCol w:w="838"/>
        <w:gridCol w:w="839"/>
        <w:gridCol w:w="838"/>
        <w:gridCol w:w="878"/>
        <w:gridCol w:w="851"/>
        <w:gridCol w:w="857"/>
      </w:tblGrid>
      <w:tr w:rsidR="00106BE1" w:rsidRPr="009733DE" w:rsidTr="00A36D7A">
        <w:trPr>
          <w:trHeight w:val="160"/>
          <w:tblHeader/>
        </w:trPr>
        <w:tc>
          <w:tcPr>
            <w:tcW w:w="2660" w:type="dxa"/>
            <w:vMerge w:val="restart"/>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106BE1" w:rsidRPr="005A1478" w:rsidRDefault="00106BE1" w:rsidP="00106BE1">
            <w:pPr>
              <w:tabs>
                <w:tab w:val="left" w:pos="435"/>
              </w:tabs>
              <w:jc w:val="center"/>
              <w:rPr>
                <w:rFonts w:asciiTheme="minorHAnsi" w:hAnsiTheme="minorHAnsi" w:cstheme="minorHAnsi"/>
                <w:color w:val="000000"/>
                <w:sz w:val="16"/>
                <w:szCs w:val="16"/>
                <w:lang w:val="en-US"/>
              </w:rPr>
            </w:pPr>
            <w:r w:rsidRPr="005A1478">
              <w:rPr>
                <w:rFonts w:asciiTheme="minorHAnsi" w:hAnsiTheme="minorHAnsi" w:cstheme="minorHAnsi"/>
                <w:color w:val="000000"/>
                <w:sz w:val="16"/>
                <w:szCs w:val="16"/>
                <w:lang w:val="en-US"/>
              </w:rPr>
              <w:t> </w:t>
            </w:r>
          </w:p>
        </w:tc>
        <w:tc>
          <w:tcPr>
            <w:tcW w:w="840" w:type="dxa"/>
            <w:vMerge w:val="restart"/>
            <w:tcBorders>
              <w:top w:val="single" w:sz="4" w:space="0" w:color="4F81BD"/>
              <w:left w:val="single" w:sz="4" w:space="0" w:color="4F81BD"/>
              <w:right w:val="single" w:sz="4" w:space="0" w:color="4F81BD"/>
            </w:tcBorders>
            <w:vAlign w:val="center"/>
          </w:tcPr>
          <w:p w:rsidR="00106BE1" w:rsidRPr="005A1478" w:rsidRDefault="00106BE1" w:rsidP="00106BE1">
            <w:pPr>
              <w:jc w:val="center"/>
              <w:rPr>
                <w:rFonts w:asciiTheme="minorHAnsi" w:hAnsiTheme="minorHAnsi" w:cstheme="minorHAnsi"/>
                <w:b/>
                <w:color w:val="000000"/>
                <w:sz w:val="16"/>
                <w:szCs w:val="16"/>
                <w:lang w:val="en-US"/>
              </w:rPr>
            </w:pPr>
            <w:r w:rsidRPr="005A1478">
              <w:rPr>
                <w:rFonts w:asciiTheme="minorHAnsi" w:hAnsiTheme="minorHAnsi" w:cstheme="minorHAnsi"/>
                <w:b/>
                <w:color w:val="000000"/>
                <w:sz w:val="16"/>
                <w:szCs w:val="16"/>
                <w:lang w:val="en-US"/>
              </w:rPr>
              <w:t>2010</w:t>
            </w:r>
          </w:p>
        </w:tc>
        <w:tc>
          <w:tcPr>
            <w:tcW w:w="840" w:type="dxa"/>
            <w:vMerge w:val="restart"/>
            <w:tcBorders>
              <w:top w:val="single" w:sz="4" w:space="0" w:color="4F81BD"/>
              <w:left w:val="single" w:sz="4" w:space="0" w:color="4F81BD"/>
              <w:right w:val="single" w:sz="4" w:space="0" w:color="4F81BD"/>
            </w:tcBorders>
            <w:vAlign w:val="center"/>
          </w:tcPr>
          <w:p w:rsidR="00106BE1" w:rsidRPr="005A1478" w:rsidRDefault="00106BE1" w:rsidP="00106BE1">
            <w:pPr>
              <w:jc w:val="center"/>
              <w:rPr>
                <w:rFonts w:asciiTheme="minorHAnsi" w:hAnsiTheme="minorHAnsi" w:cstheme="minorHAnsi"/>
                <w:b/>
                <w:color w:val="000000"/>
                <w:sz w:val="16"/>
                <w:szCs w:val="16"/>
                <w:lang w:val="en-US"/>
              </w:rPr>
            </w:pPr>
            <w:r w:rsidRPr="005A1478">
              <w:rPr>
                <w:rFonts w:asciiTheme="minorHAnsi" w:hAnsiTheme="minorHAnsi" w:cstheme="minorHAnsi"/>
                <w:b/>
                <w:color w:val="000000"/>
                <w:sz w:val="16"/>
                <w:szCs w:val="16"/>
                <w:lang w:val="en-US"/>
              </w:rPr>
              <w:t>2011</w:t>
            </w:r>
          </w:p>
        </w:tc>
        <w:tc>
          <w:tcPr>
            <w:tcW w:w="839" w:type="dxa"/>
            <w:vMerge w:val="restart"/>
            <w:tcBorders>
              <w:top w:val="single" w:sz="4" w:space="0" w:color="4F81BD"/>
              <w:left w:val="single" w:sz="4" w:space="0" w:color="4F81BD"/>
              <w:right w:val="single" w:sz="4" w:space="0" w:color="4F81BD"/>
            </w:tcBorders>
            <w:vAlign w:val="center"/>
          </w:tcPr>
          <w:p w:rsidR="00106BE1" w:rsidRPr="005A1478" w:rsidRDefault="00106BE1" w:rsidP="00106BE1">
            <w:pPr>
              <w:jc w:val="center"/>
              <w:rPr>
                <w:rFonts w:asciiTheme="minorHAnsi" w:hAnsiTheme="minorHAnsi" w:cstheme="minorHAnsi"/>
                <w:b/>
                <w:color w:val="000000"/>
                <w:sz w:val="16"/>
                <w:szCs w:val="16"/>
                <w:lang w:val="en-US"/>
              </w:rPr>
            </w:pPr>
            <w:r w:rsidRPr="005A1478">
              <w:rPr>
                <w:rFonts w:asciiTheme="minorHAnsi" w:hAnsiTheme="minorHAnsi" w:cstheme="minorHAnsi"/>
                <w:b/>
                <w:color w:val="000000"/>
                <w:sz w:val="16"/>
                <w:szCs w:val="16"/>
                <w:lang w:val="en-US"/>
              </w:rPr>
              <w:t>2012</w:t>
            </w:r>
          </w:p>
        </w:tc>
        <w:tc>
          <w:tcPr>
            <w:tcW w:w="838" w:type="dxa"/>
            <w:vMerge w:val="restart"/>
            <w:tcBorders>
              <w:top w:val="single" w:sz="4" w:space="0" w:color="4F81BD"/>
              <w:left w:val="single" w:sz="4" w:space="0" w:color="4F81BD"/>
              <w:right w:val="single" w:sz="4" w:space="0" w:color="4F81BD"/>
            </w:tcBorders>
            <w:vAlign w:val="center"/>
          </w:tcPr>
          <w:p w:rsidR="00106BE1" w:rsidRPr="005A1478" w:rsidRDefault="00106BE1" w:rsidP="00106BE1">
            <w:pPr>
              <w:jc w:val="center"/>
              <w:rPr>
                <w:rFonts w:asciiTheme="minorHAnsi" w:hAnsiTheme="minorHAnsi" w:cstheme="minorHAnsi"/>
                <w:b/>
                <w:color w:val="000000"/>
                <w:sz w:val="16"/>
                <w:szCs w:val="16"/>
                <w:lang w:val="en-US"/>
              </w:rPr>
            </w:pPr>
            <w:r w:rsidRPr="005A1478">
              <w:rPr>
                <w:rFonts w:asciiTheme="minorHAnsi" w:hAnsiTheme="minorHAnsi" w:cstheme="minorHAnsi"/>
                <w:b/>
                <w:color w:val="000000"/>
                <w:sz w:val="16"/>
                <w:szCs w:val="16"/>
                <w:lang w:val="en-US"/>
              </w:rPr>
              <w:t>2013</w:t>
            </w:r>
          </w:p>
        </w:tc>
        <w:tc>
          <w:tcPr>
            <w:tcW w:w="839" w:type="dxa"/>
            <w:vMerge w:val="restart"/>
            <w:tcBorders>
              <w:top w:val="single" w:sz="4" w:space="0" w:color="4F81BD"/>
              <w:left w:val="single" w:sz="4" w:space="0" w:color="4F81BD"/>
              <w:right w:val="single" w:sz="4" w:space="0" w:color="4F81BD"/>
            </w:tcBorders>
            <w:vAlign w:val="center"/>
          </w:tcPr>
          <w:p w:rsidR="00106BE1" w:rsidRPr="005A1478" w:rsidRDefault="00106BE1" w:rsidP="00106BE1">
            <w:pPr>
              <w:jc w:val="center"/>
              <w:rPr>
                <w:rFonts w:asciiTheme="minorHAnsi" w:hAnsiTheme="minorHAnsi" w:cstheme="minorHAnsi"/>
                <w:b/>
                <w:color w:val="000000"/>
                <w:sz w:val="16"/>
                <w:szCs w:val="16"/>
                <w:lang w:val="en-US"/>
              </w:rPr>
            </w:pPr>
            <w:r w:rsidRPr="005A1478">
              <w:rPr>
                <w:rFonts w:asciiTheme="minorHAnsi" w:hAnsiTheme="minorHAnsi" w:cstheme="minorHAnsi"/>
                <w:b/>
                <w:color w:val="000000"/>
                <w:sz w:val="16"/>
                <w:szCs w:val="16"/>
                <w:lang w:val="en-US"/>
              </w:rPr>
              <w:t>2014</w:t>
            </w:r>
          </w:p>
        </w:tc>
        <w:tc>
          <w:tcPr>
            <w:tcW w:w="838" w:type="dxa"/>
            <w:vMerge w:val="restart"/>
            <w:tcBorders>
              <w:top w:val="single" w:sz="4" w:space="0" w:color="4F81BD"/>
              <w:left w:val="single" w:sz="4" w:space="0" w:color="4F81BD"/>
              <w:right w:val="single" w:sz="4" w:space="0" w:color="4F81BD"/>
            </w:tcBorders>
            <w:vAlign w:val="center"/>
          </w:tcPr>
          <w:p w:rsidR="00106BE1" w:rsidRPr="005A1478" w:rsidRDefault="00106BE1" w:rsidP="00106BE1">
            <w:pPr>
              <w:jc w:val="center"/>
              <w:rPr>
                <w:rFonts w:asciiTheme="minorHAnsi" w:hAnsiTheme="minorHAnsi" w:cstheme="minorHAnsi"/>
                <w:b/>
                <w:color w:val="000000"/>
                <w:sz w:val="16"/>
                <w:szCs w:val="16"/>
                <w:lang w:val="en-US"/>
              </w:rPr>
            </w:pPr>
            <w:r w:rsidRPr="005A1478">
              <w:rPr>
                <w:rFonts w:asciiTheme="minorHAnsi" w:hAnsiTheme="minorHAnsi" w:cstheme="minorHAnsi"/>
                <w:b/>
                <w:color w:val="000000"/>
                <w:sz w:val="16"/>
                <w:szCs w:val="16"/>
                <w:lang w:val="en-US"/>
              </w:rPr>
              <w:t>2015</w:t>
            </w:r>
          </w:p>
        </w:tc>
        <w:tc>
          <w:tcPr>
            <w:tcW w:w="839" w:type="dxa"/>
            <w:vMerge w:val="restart"/>
            <w:tcBorders>
              <w:top w:val="single" w:sz="4" w:space="0" w:color="4F81BD"/>
              <w:left w:val="single" w:sz="4" w:space="0" w:color="4F81BD"/>
              <w:right w:val="single" w:sz="4" w:space="0" w:color="4F81BD"/>
            </w:tcBorders>
            <w:vAlign w:val="center"/>
          </w:tcPr>
          <w:p w:rsidR="00106BE1" w:rsidRPr="005A1478" w:rsidRDefault="00106BE1" w:rsidP="00106BE1">
            <w:pPr>
              <w:jc w:val="center"/>
              <w:rPr>
                <w:rFonts w:asciiTheme="minorHAnsi" w:hAnsiTheme="minorHAnsi" w:cstheme="minorHAnsi"/>
                <w:b/>
                <w:color w:val="000000"/>
                <w:sz w:val="16"/>
                <w:szCs w:val="16"/>
                <w:lang w:val="en-US"/>
              </w:rPr>
            </w:pPr>
            <w:r w:rsidRPr="005A1478">
              <w:rPr>
                <w:rFonts w:asciiTheme="minorHAnsi" w:hAnsiTheme="minorHAnsi" w:cstheme="minorHAnsi"/>
                <w:b/>
                <w:color w:val="000000"/>
                <w:sz w:val="16"/>
                <w:szCs w:val="16"/>
                <w:lang w:val="en-US"/>
              </w:rPr>
              <w:t>2016</w:t>
            </w:r>
          </w:p>
        </w:tc>
        <w:tc>
          <w:tcPr>
            <w:tcW w:w="903" w:type="dxa"/>
            <w:vMerge w:val="restart"/>
            <w:tcBorders>
              <w:top w:val="single" w:sz="4" w:space="0" w:color="4F81BD"/>
              <w:left w:val="single" w:sz="4" w:space="0" w:color="4F81BD"/>
              <w:right w:val="single" w:sz="4" w:space="0" w:color="4F81BD"/>
            </w:tcBorders>
            <w:vAlign w:val="center"/>
          </w:tcPr>
          <w:p w:rsidR="00106BE1" w:rsidRPr="005A1478" w:rsidRDefault="00106BE1" w:rsidP="00106BE1">
            <w:pPr>
              <w:jc w:val="center"/>
              <w:rPr>
                <w:rFonts w:asciiTheme="minorHAnsi" w:hAnsiTheme="minorHAnsi" w:cstheme="minorHAnsi"/>
                <w:b/>
                <w:color w:val="000000"/>
                <w:sz w:val="16"/>
                <w:szCs w:val="16"/>
                <w:lang w:val="en-US"/>
              </w:rPr>
            </w:pPr>
            <w:r w:rsidRPr="005A1478">
              <w:rPr>
                <w:rFonts w:asciiTheme="minorHAnsi" w:hAnsiTheme="minorHAnsi" w:cstheme="minorHAnsi"/>
                <w:b/>
                <w:color w:val="000000"/>
                <w:sz w:val="16"/>
                <w:szCs w:val="16"/>
                <w:lang w:val="en-US"/>
              </w:rPr>
              <w:t>2017</w:t>
            </w:r>
          </w:p>
        </w:tc>
        <w:tc>
          <w:tcPr>
            <w:tcW w:w="887" w:type="dxa"/>
            <w:vMerge w:val="restart"/>
            <w:tcBorders>
              <w:top w:val="single" w:sz="4" w:space="0" w:color="4F81BD"/>
              <w:left w:val="single" w:sz="4" w:space="0" w:color="4F81BD"/>
              <w:right w:val="single" w:sz="4" w:space="0" w:color="4F81BD"/>
            </w:tcBorders>
            <w:vAlign w:val="center"/>
          </w:tcPr>
          <w:p w:rsidR="00106BE1" w:rsidRPr="009733DE" w:rsidRDefault="00106BE1" w:rsidP="00106BE1">
            <w:pPr>
              <w:jc w:val="center"/>
              <w:rPr>
                <w:rFonts w:asciiTheme="minorHAnsi" w:hAnsiTheme="minorHAnsi" w:cstheme="minorHAnsi"/>
                <w:b/>
                <w:color w:val="000000"/>
                <w:sz w:val="16"/>
                <w:szCs w:val="16"/>
              </w:rPr>
            </w:pPr>
            <w:r w:rsidRPr="009733DE">
              <w:rPr>
                <w:rFonts w:asciiTheme="minorHAnsi" w:hAnsiTheme="minorHAnsi" w:cstheme="minorHAnsi"/>
                <w:b/>
                <w:color w:val="000000"/>
                <w:sz w:val="16"/>
                <w:szCs w:val="16"/>
              </w:rPr>
              <w:t>2018</w:t>
            </w:r>
          </w:p>
        </w:tc>
        <w:tc>
          <w:tcPr>
            <w:tcW w:w="838" w:type="dxa"/>
            <w:vMerge w:val="restart"/>
            <w:tcBorders>
              <w:top w:val="single" w:sz="4" w:space="0" w:color="4F81BD"/>
              <w:left w:val="single" w:sz="4" w:space="0" w:color="4F81BD"/>
              <w:right w:val="single" w:sz="4" w:space="0" w:color="4F81BD"/>
            </w:tcBorders>
            <w:vAlign w:val="center"/>
          </w:tcPr>
          <w:p w:rsidR="00106BE1" w:rsidRPr="009733DE" w:rsidRDefault="00106BE1" w:rsidP="00106BE1">
            <w:pPr>
              <w:jc w:val="center"/>
              <w:rPr>
                <w:rFonts w:asciiTheme="minorHAnsi" w:hAnsiTheme="minorHAnsi" w:cstheme="minorHAnsi"/>
                <w:b/>
                <w:color w:val="000000"/>
                <w:sz w:val="16"/>
                <w:szCs w:val="16"/>
              </w:rPr>
            </w:pPr>
            <w:r w:rsidRPr="009733DE">
              <w:rPr>
                <w:rFonts w:asciiTheme="minorHAnsi" w:hAnsiTheme="minorHAnsi" w:cstheme="minorHAnsi"/>
                <w:b/>
                <w:color w:val="000000"/>
                <w:sz w:val="16"/>
                <w:szCs w:val="16"/>
              </w:rPr>
              <w:t>2019</w:t>
            </w:r>
          </w:p>
        </w:tc>
        <w:tc>
          <w:tcPr>
            <w:tcW w:w="4263" w:type="dxa"/>
            <w:gridSpan w:val="5"/>
            <w:tcBorders>
              <w:top w:val="single" w:sz="4" w:space="0" w:color="4F81BD"/>
              <w:left w:val="single" w:sz="4" w:space="0" w:color="4F81BD"/>
              <w:bottom w:val="single" w:sz="4" w:space="0" w:color="4F81BD"/>
              <w:right w:val="single" w:sz="4" w:space="0" w:color="4F81BD"/>
            </w:tcBorders>
            <w:vAlign w:val="center"/>
          </w:tcPr>
          <w:p w:rsidR="00106BE1" w:rsidRPr="009733DE" w:rsidRDefault="00106BE1" w:rsidP="00106BE1">
            <w:pPr>
              <w:jc w:val="center"/>
              <w:rPr>
                <w:rFonts w:asciiTheme="minorHAnsi" w:hAnsiTheme="minorHAnsi" w:cstheme="minorHAnsi"/>
                <w:color w:val="000000"/>
                <w:sz w:val="16"/>
                <w:szCs w:val="16"/>
              </w:rPr>
            </w:pPr>
            <w:r w:rsidRPr="009733DE">
              <w:rPr>
                <w:rFonts w:asciiTheme="minorHAnsi" w:hAnsiTheme="minorHAnsi" w:cstheme="minorHAnsi"/>
                <w:b/>
                <w:color w:val="000000"/>
                <w:sz w:val="16"/>
                <w:szCs w:val="16"/>
              </w:rPr>
              <w:t>2020</w:t>
            </w:r>
          </w:p>
        </w:tc>
      </w:tr>
      <w:tr w:rsidR="00106BE1" w:rsidRPr="009733DE" w:rsidTr="00A36D7A">
        <w:trPr>
          <w:trHeight w:val="269"/>
          <w:tblHeader/>
        </w:trPr>
        <w:tc>
          <w:tcPr>
            <w:tcW w:w="2660" w:type="dxa"/>
            <w:vMerge/>
            <w:tcBorders>
              <w:top w:val="single" w:sz="4" w:space="0" w:color="4F81BD"/>
              <w:left w:val="single" w:sz="4" w:space="0" w:color="4F81BD"/>
              <w:bottom w:val="single" w:sz="4" w:space="0" w:color="4F81BD"/>
              <w:right w:val="single" w:sz="4" w:space="0" w:color="4F81BD"/>
            </w:tcBorders>
            <w:vAlign w:val="center"/>
            <w:hideMark/>
          </w:tcPr>
          <w:p w:rsidR="00106BE1" w:rsidRPr="009733DE" w:rsidRDefault="00106BE1" w:rsidP="00106BE1">
            <w:pPr>
              <w:tabs>
                <w:tab w:val="left" w:pos="435"/>
              </w:tabs>
              <w:rPr>
                <w:rFonts w:asciiTheme="minorHAnsi" w:hAnsiTheme="minorHAnsi" w:cstheme="minorHAnsi"/>
                <w:color w:val="000000"/>
                <w:sz w:val="16"/>
                <w:szCs w:val="16"/>
              </w:rPr>
            </w:pPr>
          </w:p>
        </w:tc>
        <w:tc>
          <w:tcPr>
            <w:tcW w:w="840" w:type="dxa"/>
            <w:vMerge/>
            <w:tcBorders>
              <w:left w:val="single" w:sz="4" w:space="0" w:color="4F81BD"/>
              <w:bottom w:val="single" w:sz="4" w:space="0" w:color="4F81BD"/>
              <w:right w:val="single" w:sz="4" w:space="0" w:color="4F81BD"/>
            </w:tcBorders>
            <w:vAlign w:val="center"/>
          </w:tcPr>
          <w:p w:rsidR="00106BE1" w:rsidRPr="009733DE" w:rsidRDefault="00106BE1" w:rsidP="00106BE1">
            <w:pPr>
              <w:jc w:val="center"/>
              <w:rPr>
                <w:rFonts w:asciiTheme="minorHAnsi" w:hAnsiTheme="minorHAnsi" w:cstheme="minorHAnsi"/>
                <w:b/>
                <w:color w:val="000000"/>
                <w:sz w:val="16"/>
                <w:szCs w:val="16"/>
              </w:rPr>
            </w:pPr>
          </w:p>
        </w:tc>
        <w:tc>
          <w:tcPr>
            <w:tcW w:w="840" w:type="dxa"/>
            <w:vMerge/>
            <w:tcBorders>
              <w:left w:val="single" w:sz="4" w:space="0" w:color="4F81BD"/>
              <w:bottom w:val="single" w:sz="4" w:space="0" w:color="4F81BD"/>
              <w:right w:val="single" w:sz="4" w:space="0" w:color="4F81BD"/>
            </w:tcBorders>
            <w:vAlign w:val="center"/>
          </w:tcPr>
          <w:p w:rsidR="00106BE1" w:rsidRPr="009733DE" w:rsidRDefault="00106BE1" w:rsidP="00106BE1">
            <w:pPr>
              <w:jc w:val="center"/>
              <w:rPr>
                <w:rFonts w:asciiTheme="minorHAnsi" w:hAnsiTheme="minorHAnsi" w:cstheme="minorHAnsi"/>
                <w:b/>
                <w:color w:val="000000"/>
                <w:sz w:val="16"/>
                <w:szCs w:val="16"/>
              </w:rPr>
            </w:pPr>
          </w:p>
        </w:tc>
        <w:tc>
          <w:tcPr>
            <w:tcW w:w="839" w:type="dxa"/>
            <w:vMerge/>
            <w:tcBorders>
              <w:left w:val="single" w:sz="4" w:space="0" w:color="4F81BD"/>
              <w:bottom w:val="single" w:sz="4" w:space="0" w:color="4F81BD"/>
              <w:right w:val="single" w:sz="4" w:space="0" w:color="4F81BD"/>
            </w:tcBorders>
            <w:vAlign w:val="center"/>
          </w:tcPr>
          <w:p w:rsidR="00106BE1" w:rsidRPr="009733DE" w:rsidRDefault="00106BE1" w:rsidP="00106BE1">
            <w:pPr>
              <w:jc w:val="center"/>
              <w:rPr>
                <w:rFonts w:asciiTheme="minorHAnsi" w:hAnsiTheme="minorHAnsi" w:cstheme="minorHAnsi"/>
                <w:b/>
                <w:color w:val="000000"/>
                <w:sz w:val="16"/>
                <w:szCs w:val="16"/>
              </w:rPr>
            </w:pPr>
          </w:p>
        </w:tc>
        <w:tc>
          <w:tcPr>
            <w:tcW w:w="838" w:type="dxa"/>
            <w:vMerge/>
            <w:tcBorders>
              <w:left w:val="single" w:sz="4" w:space="0" w:color="4F81BD"/>
              <w:bottom w:val="single" w:sz="4" w:space="0" w:color="4F81BD"/>
              <w:right w:val="single" w:sz="4" w:space="0" w:color="4F81BD"/>
            </w:tcBorders>
            <w:vAlign w:val="center"/>
          </w:tcPr>
          <w:p w:rsidR="00106BE1" w:rsidRPr="009733DE" w:rsidRDefault="00106BE1" w:rsidP="00106BE1">
            <w:pPr>
              <w:jc w:val="center"/>
              <w:rPr>
                <w:rFonts w:asciiTheme="minorHAnsi" w:hAnsiTheme="minorHAnsi" w:cstheme="minorHAnsi"/>
                <w:color w:val="000000"/>
                <w:sz w:val="16"/>
                <w:szCs w:val="16"/>
              </w:rPr>
            </w:pPr>
          </w:p>
        </w:tc>
        <w:tc>
          <w:tcPr>
            <w:tcW w:w="839" w:type="dxa"/>
            <w:vMerge/>
            <w:tcBorders>
              <w:left w:val="single" w:sz="4" w:space="0" w:color="4F81BD"/>
              <w:bottom w:val="single" w:sz="4" w:space="0" w:color="4F81BD"/>
              <w:right w:val="single" w:sz="4" w:space="0" w:color="4F81BD"/>
            </w:tcBorders>
            <w:vAlign w:val="center"/>
          </w:tcPr>
          <w:p w:rsidR="00106BE1" w:rsidRPr="009733DE" w:rsidRDefault="00106BE1" w:rsidP="00106BE1">
            <w:pPr>
              <w:jc w:val="center"/>
              <w:rPr>
                <w:rFonts w:asciiTheme="minorHAnsi" w:hAnsiTheme="minorHAnsi" w:cstheme="minorHAnsi"/>
                <w:color w:val="000000"/>
                <w:sz w:val="16"/>
                <w:szCs w:val="16"/>
              </w:rPr>
            </w:pPr>
          </w:p>
        </w:tc>
        <w:tc>
          <w:tcPr>
            <w:tcW w:w="838" w:type="dxa"/>
            <w:vMerge/>
            <w:tcBorders>
              <w:left w:val="single" w:sz="4" w:space="0" w:color="4F81BD"/>
              <w:bottom w:val="single" w:sz="4" w:space="0" w:color="4F81BD"/>
              <w:right w:val="single" w:sz="4" w:space="0" w:color="4F81BD"/>
            </w:tcBorders>
            <w:vAlign w:val="center"/>
          </w:tcPr>
          <w:p w:rsidR="00106BE1" w:rsidRPr="009733DE" w:rsidRDefault="00106BE1" w:rsidP="00106BE1">
            <w:pPr>
              <w:jc w:val="center"/>
              <w:rPr>
                <w:rFonts w:asciiTheme="minorHAnsi" w:hAnsiTheme="minorHAnsi" w:cstheme="minorHAnsi"/>
                <w:color w:val="000000"/>
                <w:sz w:val="16"/>
                <w:szCs w:val="16"/>
              </w:rPr>
            </w:pPr>
          </w:p>
        </w:tc>
        <w:tc>
          <w:tcPr>
            <w:tcW w:w="839" w:type="dxa"/>
            <w:vMerge/>
            <w:tcBorders>
              <w:left w:val="single" w:sz="4" w:space="0" w:color="4F81BD"/>
              <w:bottom w:val="single" w:sz="4" w:space="0" w:color="4F81BD"/>
              <w:right w:val="single" w:sz="4" w:space="0" w:color="4F81BD"/>
            </w:tcBorders>
            <w:vAlign w:val="center"/>
          </w:tcPr>
          <w:p w:rsidR="00106BE1" w:rsidRPr="009733DE" w:rsidRDefault="00106BE1" w:rsidP="00106BE1">
            <w:pPr>
              <w:jc w:val="center"/>
              <w:rPr>
                <w:rFonts w:asciiTheme="minorHAnsi" w:hAnsiTheme="minorHAnsi" w:cstheme="minorHAnsi"/>
                <w:color w:val="000000"/>
                <w:sz w:val="16"/>
                <w:szCs w:val="16"/>
              </w:rPr>
            </w:pPr>
          </w:p>
        </w:tc>
        <w:tc>
          <w:tcPr>
            <w:tcW w:w="903" w:type="dxa"/>
            <w:vMerge/>
            <w:tcBorders>
              <w:left w:val="single" w:sz="4" w:space="0" w:color="4F81BD"/>
              <w:bottom w:val="single" w:sz="4" w:space="0" w:color="4F81BD"/>
              <w:right w:val="single" w:sz="4" w:space="0" w:color="4F81BD"/>
            </w:tcBorders>
            <w:vAlign w:val="center"/>
          </w:tcPr>
          <w:p w:rsidR="00106BE1" w:rsidRPr="009733DE" w:rsidRDefault="00106BE1" w:rsidP="00106BE1">
            <w:pPr>
              <w:jc w:val="center"/>
              <w:rPr>
                <w:rFonts w:asciiTheme="minorHAnsi" w:hAnsiTheme="minorHAnsi" w:cstheme="minorHAnsi"/>
                <w:color w:val="000000"/>
                <w:sz w:val="16"/>
                <w:szCs w:val="16"/>
              </w:rPr>
            </w:pPr>
          </w:p>
        </w:tc>
        <w:tc>
          <w:tcPr>
            <w:tcW w:w="887" w:type="dxa"/>
            <w:vMerge/>
            <w:tcBorders>
              <w:left w:val="single" w:sz="4" w:space="0" w:color="4F81BD"/>
              <w:bottom w:val="single" w:sz="4" w:space="0" w:color="4F81BD"/>
              <w:right w:val="single" w:sz="4" w:space="0" w:color="4F81BD"/>
            </w:tcBorders>
            <w:vAlign w:val="center"/>
          </w:tcPr>
          <w:p w:rsidR="00106BE1" w:rsidRPr="009733DE" w:rsidRDefault="00106BE1" w:rsidP="00106BE1">
            <w:pPr>
              <w:jc w:val="center"/>
              <w:rPr>
                <w:rFonts w:asciiTheme="minorHAnsi" w:hAnsiTheme="minorHAnsi" w:cstheme="minorHAnsi"/>
                <w:color w:val="000000"/>
                <w:sz w:val="16"/>
                <w:szCs w:val="16"/>
              </w:rPr>
            </w:pPr>
          </w:p>
        </w:tc>
        <w:tc>
          <w:tcPr>
            <w:tcW w:w="838" w:type="dxa"/>
            <w:vMerge/>
            <w:tcBorders>
              <w:left w:val="single" w:sz="4" w:space="0" w:color="4F81BD"/>
              <w:bottom w:val="single" w:sz="4" w:space="0" w:color="4F81BD"/>
              <w:right w:val="single" w:sz="4" w:space="0" w:color="4F81BD"/>
            </w:tcBorders>
            <w:vAlign w:val="center"/>
          </w:tcPr>
          <w:p w:rsidR="00106BE1" w:rsidRPr="009733DE" w:rsidRDefault="00106BE1" w:rsidP="00106BE1">
            <w:pPr>
              <w:jc w:val="center"/>
              <w:rPr>
                <w:rFonts w:asciiTheme="minorHAnsi" w:hAnsiTheme="minorHAnsi" w:cstheme="minorHAnsi"/>
                <w:color w:val="000000"/>
                <w:sz w:val="16"/>
                <w:szCs w:val="16"/>
              </w:rPr>
            </w:pPr>
          </w:p>
        </w:tc>
        <w:tc>
          <w:tcPr>
            <w:tcW w:w="839" w:type="dxa"/>
            <w:tcBorders>
              <w:top w:val="single" w:sz="4" w:space="0" w:color="4F81BD"/>
              <w:left w:val="single" w:sz="4" w:space="0" w:color="4F81BD"/>
              <w:bottom w:val="single" w:sz="4" w:space="0" w:color="4F81BD"/>
              <w:right w:val="single" w:sz="4" w:space="0" w:color="4F81BD"/>
            </w:tcBorders>
            <w:vAlign w:val="center"/>
          </w:tcPr>
          <w:p w:rsidR="00106BE1" w:rsidRPr="009733DE" w:rsidRDefault="009733DE" w:rsidP="00106BE1">
            <w:pPr>
              <w:jc w:val="center"/>
              <w:rPr>
                <w:rFonts w:asciiTheme="minorHAnsi" w:hAnsiTheme="minorHAnsi" w:cstheme="minorHAnsi"/>
                <w:b/>
                <w:color w:val="000000"/>
                <w:sz w:val="16"/>
                <w:szCs w:val="16"/>
                <w:lang w:val="en-US"/>
              </w:rPr>
            </w:pPr>
            <w:r w:rsidRPr="009733DE">
              <w:rPr>
                <w:rFonts w:asciiTheme="minorHAnsi" w:hAnsiTheme="minorHAnsi" w:cstheme="minorHAnsi"/>
                <w:b/>
                <w:color w:val="000000"/>
                <w:sz w:val="16"/>
                <w:szCs w:val="16"/>
                <w:lang w:val="en-US"/>
              </w:rPr>
              <w:t>Year</w:t>
            </w:r>
          </w:p>
        </w:tc>
        <w:tc>
          <w:tcPr>
            <w:tcW w:w="838" w:type="dxa"/>
            <w:tcBorders>
              <w:top w:val="single" w:sz="4" w:space="0" w:color="4F81BD"/>
              <w:left w:val="single" w:sz="4" w:space="0" w:color="4F81BD"/>
              <w:bottom w:val="single" w:sz="4" w:space="0" w:color="4F81BD"/>
              <w:right w:val="single" w:sz="4" w:space="0" w:color="4F81BD"/>
            </w:tcBorders>
            <w:vAlign w:val="center"/>
          </w:tcPr>
          <w:p w:rsidR="00106BE1" w:rsidRPr="009733DE" w:rsidRDefault="009733DE" w:rsidP="00106BE1">
            <w:pPr>
              <w:jc w:val="center"/>
              <w:rPr>
                <w:rFonts w:asciiTheme="minorHAnsi" w:hAnsiTheme="minorHAnsi" w:cstheme="minorHAnsi"/>
                <w:color w:val="000000"/>
                <w:sz w:val="16"/>
                <w:szCs w:val="16"/>
                <w:lang w:val="en-US"/>
              </w:rPr>
            </w:pPr>
            <w:r w:rsidRPr="009733DE">
              <w:rPr>
                <w:rFonts w:asciiTheme="minorHAnsi" w:hAnsiTheme="minorHAnsi" w:cstheme="minorHAnsi"/>
                <w:color w:val="000000"/>
                <w:sz w:val="16"/>
                <w:szCs w:val="16"/>
                <w:lang w:val="en-US"/>
              </w:rPr>
              <w:t>Q1</w:t>
            </w:r>
          </w:p>
        </w:tc>
        <w:tc>
          <w:tcPr>
            <w:tcW w:w="878" w:type="dxa"/>
            <w:tcBorders>
              <w:top w:val="single" w:sz="4" w:space="0" w:color="4F81BD"/>
              <w:left w:val="single" w:sz="4" w:space="0" w:color="4F81BD"/>
              <w:bottom w:val="single" w:sz="4" w:space="0" w:color="4F81BD"/>
              <w:right w:val="single" w:sz="4" w:space="0" w:color="4F81BD"/>
            </w:tcBorders>
            <w:vAlign w:val="center"/>
          </w:tcPr>
          <w:p w:rsidR="00106BE1" w:rsidRPr="009733DE" w:rsidRDefault="009733DE" w:rsidP="00106BE1">
            <w:pPr>
              <w:jc w:val="center"/>
              <w:rPr>
                <w:rFonts w:asciiTheme="minorHAnsi" w:hAnsiTheme="minorHAnsi" w:cstheme="minorHAnsi"/>
                <w:color w:val="000000"/>
                <w:sz w:val="16"/>
                <w:szCs w:val="16"/>
                <w:lang w:val="en-US"/>
              </w:rPr>
            </w:pPr>
            <w:r w:rsidRPr="009733DE">
              <w:rPr>
                <w:rFonts w:asciiTheme="minorHAnsi" w:hAnsiTheme="minorHAnsi" w:cstheme="minorHAnsi"/>
                <w:color w:val="000000"/>
                <w:sz w:val="16"/>
                <w:szCs w:val="16"/>
                <w:lang w:val="en-US"/>
              </w:rPr>
              <w:t>Q2</w:t>
            </w:r>
          </w:p>
        </w:tc>
        <w:tc>
          <w:tcPr>
            <w:tcW w:w="851" w:type="dxa"/>
            <w:tcBorders>
              <w:top w:val="single" w:sz="4" w:space="0" w:color="4F81BD"/>
              <w:left w:val="single" w:sz="4" w:space="0" w:color="4F81BD"/>
              <w:bottom w:val="single" w:sz="4" w:space="0" w:color="4F81BD"/>
              <w:right w:val="single" w:sz="4" w:space="0" w:color="4F81BD"/>
            </w:tcBorders>
            <w:vAlign w:val="center"/>
          </w:tcPr>
          <w:p w:rsidR="00106BE1" w:rsidRPr="009733DE" w:rsidRDefault="009733DE" w:rsidP="00106BE1">
            <w:pPr>
              <w:jc w:val="center"/>
              <w:rPr>
                <w:rFonts w:asciiTheme="minorHAnsi" w:hAnsiTheme="minorHAnsi" w:cstheme="minorHAnsi"/>
                <w:color w:val="000000"/>
                <w:sz w:val="16"/>
                <w:szCs w:val="16"/>
                <w:lang w:val="en-US"/>
              </w:rPr>
            </w:pPr>
            <w:r w:rsidRPr="009733DE">
              <w:rPr>
                <w:rFonts w:asciiTheme="minorHAnsi" w:hAnsiTheme="minorHAnsi" w:cstheme="minorHAnsi"/>
                <w:color w:val="000000"/>
                <w:sz w:val="16"/>
                <w:szCs w:val="16"/>
                <w:lang w:val="en-US"/>
              </w:rPr>
              <w:t>Q3</w:t>
            </w:r>
          </w:p>
        </w:tc>
        <w:tc>
          <w:tcPr>
            <w:tcW w:w="852" w:type="dxa"/>
            <w:tcBorders>
              <w:top w:val="single" w:sz="4" w:space="0" w:color="4F81BD"/>
              <w:left w:val="single" w:sz="4" w:space="0" w:color="4F81BD"/>
              <w:bottom w:val="single" w:sz="4" w:space="0" w:color="4F81BD"/>
              <w:right w:val="single" w:sz="4" w:space="0" w:color="4F81BD"/>
            </w:tcBorders>
            <w:vAlign w:val="center"/>
          </w:tcPr>
          <w:p w:rsidR="00106BE1" w:rsidRPr="009733DE" w:rsidRDefault="009733DE" w:rsidP="00106BE1">
            <w:pPr>
              <w:jc w:val="center"/>
              <w:rPr>
                <w:rFonts w:asciiTheme="minorHAnsi" w:hAnsiTheme="minorHAnsi" w:cstheme="minorHAnsi"/>
                <w:color w:val="000000"/>
                <w:sz w:val="16"/>
                <w:szCs w:val="16"/>
                <w:lang w:val="en-US"/>
              </w:rPr>
            </w:pPr>
            <w:r w:rsidRPr="009733DE">
              <w:rPr>
                <w:rFonts w:asciiTheme="minorHAnsi" w:hAnsiTheme="minorHAnsi" w:cstheme="minorHAnsi"/>
                <w:color w:val="000000"/>
                <w:sz w:val="16"/>
                <w:szCs w:val="16"/>
                <w:lang w:val="en-US"/>
              </w:rPr>
              <w:t>Q4</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000000" w:fill="B8CCE4"/>
            <w:noWrap/>
            <w:vAlign w:val="center"/>
            <w:hideMark/>
          </w:tcPr>
          <w:p w:rsidR="00106BE1" w:rsidRPr="009733DE" w:rsidRDefault="00106BE1" w:rsidP="009733DE">
            <w:pPr>
              <w:tabs>
                <w:tab w:val="left" w:pos="435"/>
              </w:tabs>
              <w:rPr>
                <w:rFonts w:asciiTheme="minorHAnsi" w:hAnsiTheme="minorHAnsi" w:cstheme="minorHAnsi"/>
                <w:b/>
                <w:bCs/>
                <w:color w:val="000000"/>
                <w:sz w:val="16"/>
                <w:szCs w:val="16"/>
              </w:rPr>
            </w:pPr>
            <w:r w:rsidRPr="009733DE">
              <w:rPr>
                <w:rFonts w:asciiTheme="minorHAnsi" w:hAnsiTheme="minorHAnsi" w:cstheme="minorHAnsi"/>
                <w:b/>
                <w:bCs/>
                <w:color w:val="000000"/>
                <w:sz w:val="16"/>
                <w:szCs w:val="16"/>
              </w:rPr>
              <w:t xml:space="preserve">A. Current account balance </w:t>
            </w:r>
          </w:p>
        </w:tc>
        <w:tc>
          <w:tcPr>
            <w:tcW w:w="840"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2 516,6</w:t>
            </w:r>
          </w:p>
        </w:tc>
        <w:tc>
          <w:tcPr>
            <w:tcW w:w="840"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2 770,7</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1 196,1</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1 302,2</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2 073,4</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888,2</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213,2</w:t>
            </w:r>
          </w:p>
        </w:tc>
        <w:tc>
          <w:tcPr>
            <w:tcW w:w="903"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1 477,9</w:t>
            </w:r>
          </w:p>
        </w:tc>
        <w:tc>
          <w:tcPr>
            <w:tcW w:w="887"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-3 593,2</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-3 365,6</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-3 138,4</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-911,7</w:t>
            </w:r>
          </w:p>
        </w:tc>
        <w:tc>
          <w:tcPr>
            <w:tcW w:w="87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-1 050,9</w:t>
            </w:r>
          </w:p>
        </w:tc>
        <w:tc>
          <w:tcPr>
            <w:tcW w:w="851"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1 595,2</w:t>
            </w:r>
          </w:p>
        </w:tc>
        <w:tc>
          <w:tcPr>
            <w:tcW w:w="852"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-2 771,0</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noWrap/>
            <w:vAlign w:val="center"/>
            <w:hideMark/>
          </w:tcPr>
          <w:p w:rsidR="00106BE1" w:rsidRPr="009733DE" w:rsidRDefault="00106BE1" w:rsidP="009733DE">
            <w:pPr>
              <w:tabs>
                <w:tab w:val="left" w:pos="435"/>
              </w:tabs>
              <w:rPr>
                <w:rFonts w:asciiTheme="minorHAnsi" w:hAnsiTheme="minorHAnsi" w:cstheme="minorHAnsi"/>
                <w:color w:val="000000"/>
                <w:sz w:val="16"/>
                <w:szCs w:val="16"/>
              </w:rPr>
            </w:pPr>
            <w:r w:rsidRPr="009733DE">
              <w:rPr>
                <w:rFonts w:asciiTheme="minorHAnsi" w:hAnsiTheme="minorHAnsi" w:cstheme="minorHAnsi"/>
                <w:color w:val="000000"/>
                <w:sz w:val="16"/>
                <w:szCs w:val="16"/>
              </w:rPr>
              <w:t>Goods, credit (exports)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10 647,9</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12 405,1</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10 848,6</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11 150,0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10 556,2</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9 481,5</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8 645,2</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10 161,5</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11 385,6</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13 898,6</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12 823,2</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2 609,3</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2 579,2</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5 616,2</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2 018,5</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noWrap/>
            <w:vAlign w:val="center"/>
            <w:hideMark/>
          </w:tcPr>
          <w:p w:rsidR="00106BE1" w:rsidRPr="009733DE" w:rsidRDefault="00106BE1" w:rsidP="009733DE">
            <w:pPr>
              <w:tabs>
                <w:tab w:val="left" w:pos="435"/>
              </w:tabs>
              <w:rPr>
                <w:rFonts w:asciiTheme="minorHAnsi" w:hAnsiTheme="minorHAnsi" w:cstheme="minorHAnsi"/>
                <w:color w:val="000000"/>
                <w:sz w:val="16"/>
                <w:szCs w:val="16"/>
              </w:rPr>
            </w:pPr>
            <w:r w:rsidRPr="009733DE">
              <w:rPr>
                <w:rFonts w:asciiTheme="minorHAnsi" w:hAnsiTheme="minorHAnsi" w:cstheme="minorHAnsi"/>
                <w:color w:val="000000"/>
                <w:sz w:val="16"/>
                <w:szCs w:val="16"/>
              </w:rPr>
              <w:t>Goods, debit (imports)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9 735,0</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12 473,0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13 345,6</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13 962,0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13 514,1</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11 576,0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11 037,3</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12 377,3</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18 252,4</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21 190,0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19 048,3</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4 291,4</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4 290,1</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4 998,3</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5 468,6</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noWrap/>
            <w:vAlign w:val="center"/>
            <w:hideMark/>
          </w:tcPr>
          <w:p w:rsidR="00106BE1" w:rsidRPr="009733DE" w:rsidRDefault="00106BE1" w:rsidP="009733DE">
            <w:pPr>
              <w:tabs>
                <w:tab w:val="left" w:pos="435"/>
              </w:tabs>
              <w:rPr>
                <w:rFonts w:asciiTheme="minorHAnsi" w:hAnsiTheme="minorHAnsi" w:cstheme="minorHAnsi"/>
                <w:color w:val="000000"/>
                <w:sz w:val="16"/>
                <w:szCs w:val="16"/>
              </w:rPr>
            </w:pPr>
            <w:r w:rsidRPr="009733DE">
              <w:rPr>
                <w:rFonts w:asciiTheme="minorHAnsi" w:hAnsiTheme="minorHAnsi" w:cstheme="minorHAnsi"/>
                <w:color w:val="000000"/>
                <w:sz w:val="16"/>
                <w:szCs w:val="16"/>
              </w:rPr>
              <w:t>Services, credit (exports)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1 405,3</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1 832,3</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2 125,1</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2 432,3</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2 370,5</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2 357,8</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1 904,7</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2 250,7</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2 749,5</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3 094,8</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1 699,5</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606,8</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315,0</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348,6</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429,1</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noWrap/>
            <w:vAlign w:val="center"/>
            <w:hideMark/>
          </w:tcPr>
          <w:p w:rsidR="00106BE1" w:rsidRPr="009733DE" w:rsidRDefault="00106BE1" w:rsidP="009733DE">
            <w:pPr>
              <w:tabs>
                <w:tab w:val="left" w:pos="435"/>
              </w:tabs>
              <w:rPr>
                <w:rFonts w:asciiTheme="minorHAnsi" w:hAnsiTheme="minorHAnsi" w:cstheme="minorHAnsi"/>
                <w:color w:val="000000"/>
                <w:sz w:val="16"/>
                <w:szCs w:val="16"/>
              </w:rPr>
            </w:pPr>
            <w:r w:rsidRPr="009733DE">
              <w:rPr>
                <w:rFonts w:asciiTheme="minorHAnsi" w:hAnsiTheme="minorHAnsi" w:cstheme="minorHAnsi"/>
                <w:color w:val="000000"/>
                <w:sz w:val="16"/>
                <w:szCs w:val="16"/>
              </w:rPr>
              <w:t>Services, debit (imports)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2 658,3</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3 119,3</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3 465,6</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3 382,5</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2 888,5</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3 093,3</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3 443,7</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4 092,8</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5 191,1</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5 360,9</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3 511,3</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1 064,7</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686,3</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791,1</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969,2</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noWrap/>
            <w:vAlign w:val="center"/>
            <w:hideMark/>
          </w:tcPr>
          <w:p w:rsidR="00106BE1" w:rsidRPr="009733DE" w:rsidRDefault="00106BE1" w:rsidP="009733DE">
            <w:pPr>
              <w:tabs>
                <w:tab w:val="left" w:pos="435"/>
              </w:tabs>
              <w:ind w:left="142"/>
              <w:rPr>
                <w:rFonts w:asciiTheme="minorHAnsi" w:hAnsiTheme="minorHAnsi" w:cstheme="minorHAnsi"/>
                <w:i/>
                <w:iCs/>
                <w:color w:val="000000"/>
                <w:sz w:val="16"/>
                <w:szCs w:val="16"/>
                <w:lang w:val="en-US"/>
              </w:rPr>
            </w:pPr>
            <w:r w:rsidRPr="009733DE">
              <w:rPr>
                <w:rFonts w:asciiTheme="minorHAnsi" w:hAnsiTheme="minorHAnsi" w:cstheme="minorHAnsi"/>
                <w:i/>
                <w:iCs/>
                <w:color w:val="000000"/>
                <w:sz w:val="16"/>
                <w:szCs w:val="16"/>
                <w:lang w:val="en-US"/>
              </w:rPr>
              <w:t xml:space="preserve">Balance on goods and services </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-340,1</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-1 354,9</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-3 837,7</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-3 762,3</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-3 476,0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-2 830,0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-3 931,1</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-4 057,9</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-9 308,4</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-9 557,4</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-8 036,9</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-2 140,0</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-2 082,1</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175,3</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-3 990,2</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noWrap/>
            <w:vAlign w:val="center"/>
            <w:hideMark/>
          </w:tcPr>
          <w:p w:rsidR="00106BE1" w:rsidRPr="009733DE" w:rsidRDefault="00106BE1" w:rsidP="009733DE">
            <w:pPr>
              <w:tabs>
                <w:tab w:val="left" w:pos="435"/>
              </w:tabs>
              <w:rPr>
                <w:rFonts w:asciiTheme="minorHAnsi" w:hAnsiTheme="minorHAnsi" w:cstheme="minorHAnsi"/>
                <w:color w:val="000000"/>
                <w:sz w:val="16"/>
                <w:szCs w:val="16"/>
              </w:rPr>
            </w:pPr>
            <w:r w:rsidRPr="009733DE">
              <w:rPr>
                <w:rFonts w:asciiTheme="minorHAnsi" w:hAnsiTheme="minorHAnsi" w:cstheme="minorHAnsi"/>
                <w:color w:val="000000"/>
                <w:sz w:val="16"/>
                <w:szCs w:val="16"/>
              </w:rPr>
              <w:t>Primary income, credit</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1 129,9</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1 496,5</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1 355,0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1 756,6</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1 625,5</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2 025,2</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2 210,4</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2 597,5</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3 205,2</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2 957,3</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1 658,3</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634,9</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363,1</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449,9</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210,4</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noWrap/>
            <w:vAlign w:val="center"/>
            <w:hideMark/>
          </w:tcPr>
          <w:p w:rsidR="00106BE1" w:rsidRPr="009733DE" w:rsidRDefault="00106BE1" w:rsidP="009733DE">
            <w:pPr>
              <w:tabs>
                <w:tab w:val="left" w:pos="435"/>
              </w:tabs>
              <w:rPr>
                <w:rFonts w:asciiTheme="minorHAnsi" w:hAnsiTheme="minorHAnsi" w:cstheme="minorHAnsi"/>
                <w:color w:val="000000"/>
                <w:sz w:val="16"/>
                <w:szCs w:val="16"/>
              </w:rPr>
            </w:pPr>
            <w:r w:rsidRPr="009733DE">
              <w:rPr>
                <w:rFonts w:asciiTheme="minorHAnsi" w:hAnsiTheme="minorHAnsi" w:cstheme="minorHAnsi"/>
                <w:color w:val="000000"/>
                <w:sz w:val="16"/>
                <w:szCs w:val="16"/>
              </w:rPr>
              <w:t>Primary income, debit</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275,1</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362,4</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561,9</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534,5</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510,6</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598,6</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1 357,7</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1 384,6</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1 697,6</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2 220,1</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1 899,4</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424,7</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454,8</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497,1</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522,8</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noWrap/>
            <w:vAlign w:val="center"/>
            <w:hideMark/>
          </w:tcPr>
          <w:p w:rsidR="00106BE1" w:rsidRPr="009733DE" w:rsidRDefault="00106BE1" w:rsidP="009733DE">
            <w:pPr>
              <w:tabs>
                <w:tab w:val="left" w:pos="435"/>
              </w:tabs>
              <w:ind w:left="142"/>
              <w:rPr>
                <w:rFonts w:asciiTheme="minorHAnsi" w:hAnsiTheme="minorHAnsi" w:cstheme="minorHAnsi"/>
                <w:i/>
                <w:iCs/>
                <w:color w:val="000000"/>
                <w:sz w:val="16"/>
                <w:szCs w:val="16"/>
                <w:lang w:val="en-US"/>
              </w:rPr>
            </w:pPr>
            <w:r w:rsidRPr="009733DE">
              <w:rPr>
                <w:rFonts w:asciiTheme="minorHAnsi" w:hAnsiTheme="minorHAnsi" w:cstheme="minorHAnsi"/>
                <w:i/>
                <w:iCs/>
                <w:color w:val="000000"/>
                <w:sz w:val="16"/>
                <w:szCs w:val="16"/>
                <w:lang w:val="en-US"/>
              </w:rPr>
              <w:t>Balance on goods, services, and primary income</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514,7</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-220,7</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-3 044,6</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-2 540,2</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-2 361,1</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-1 403,3</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-3 078,4</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-2 845,0</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-7 800,9</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-8 820,2</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-8 277,9</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-1 929,7</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-2 173,9</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128,2</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-4 302,5</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noWrap/>
            <w:vAlign w:val="center"/>
            <w:hideMark/>
          </w:tcPr>
          <w:p w:rsidR="00106BE1" w:rsidRPr="009733DE" w:rsidRDefault="00106BE1" w:rsidP="009733DE">
            <w:pPr>
              <w:tabs>
                <w:tab w:val="left" w:pos="435"/>
              </w:tabs>
              <w:rPr>
                <w:rFonts w:asciiTheme="minorHAnsi" w:hAnsiTheme="minorHAnsi" w:cstheme="minorHAnsi"/>
                <w:color w:val="000000"/>
                <w:sz w:val="16"/>
                <w:szCs w:val="16"/>
              </w:rPr>
            </w:pPr>
            <w:r w:rsidRPr="009733DE">
              <w:rPr>
                <w:rFonts w:asciiTheme="minorHAnsi" w:hAnsiTheme="minorHAnsi" w:cstheme="minorHAnsi"/>
                <w:color w:val="000000"/>
                <w:sz w:val="16"/>
                <w:szCs w:val="16"/>
              </w:rPr>
              <w:t>Secondary income, credit</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2 393,6</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3 511,2</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4 804,2</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4 731,7</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5 237,6</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2 874,0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3 727,2</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4 816,1</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4 822,9</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6 040,3</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5 584,8</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1 148,6</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1 210,9</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1 587,9</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1 637,4</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noWrap/>
            <w:vAlign w:val="center"/>
            <w:hideMark/>
          </w:tcPr>
          <w:p w:rsidR="00106BE1" w:rsidRPr="009733DE" w:rsidRDefault="00106BE1" w:rsidP="009733DE">
            <w:pPr>
              <w:tabs>
                <w:tab w:val="left" w:pos="435"/>
              </w:tabs>
              <w:rPr>
                <w:rFonts w:asciiTheme="minorHAnsi" w:hAnsiTheme="minorHAnsi" w:cstheme="minorHAnsi"/>
                <w:color w:val="000000"/>
                <w:sz w:val="16"/>
                <w:szCs w:val="16"/>
              </w:rPr>
            </w:pPr>
            <w:r w:rsidRPr="009733DE">
              <w:rPr>
                <w:rFonts w:asciiTheme="minorHAnsi" w:hAnsiTheme="minorHAnsi" w:cstheme="minorHAnsi"/>
                <w:color w:val="000000"/>
                <w:sz w:val="16"/>
                <w:szCs w:val="16"/>
              </w:rPr>
              <w:t>Secondary income, debit</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391,7</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519,7</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563,5</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889,4</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803,1</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582,6</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435,6</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493,1</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615,2</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585,7</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445,3</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130,5</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87,9</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121,0</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105,9</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000000" w:fill="B8CCE4"/>
            <w:vAlign w:val="center"/>
            <w:hideMark/>
          </w:tcPr>
          <w:p w:rsidR="00106BE1" w:rsidRPr="009733DE" w:rsidRDefault="00106BE1" w:rsidP="009733DE">
            <w:pPr>
              <w:tabs>
                <w:tab w:val="left" w:pos="435"/>
              </w:tabs>
              <w:rPr>
                <w:rFonts w:asciiTheme="minorHAnsi" w:hAnsiTheme="minorHAnsi" w:cstheme="minorHAnsi"/>
                <w:b/>
                <w:bCs/>
                <w:color w:val="000000"/>
                <w:sz w:val="16"/>
                <w:szCs w:val="16"/>
                <w:lang w:val="en-US"/>
              </w:rPr>
            </w:pPr>
            <w:r w:rsidRPr="009733DE">
              <w:rPr>
                <w:rFonts w:asciiTheme="minorHAnsi" w:hAnsiTheme="minorHAnsi" w:cstheme="minorHAnsi"/>
                <w:b/>
                <w:bCs/>
                <w:color w:val="000000"/>
                <w:sz w:val="16"/>
                <w:szCs w:val="16"/>
                <w:lang w:val="en-US"/>
              </w:rPr>
              <w:t>B. Capital account (excluding reserve assets)</w:t>
            </w:r>
          </w:p>
        </w:tc>
        <w:tc>
          <w:tcPr>
            <w:tcW w:w="840"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40"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7,0</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13,6</w:t>
            </w:r>
          </w:p>
        </w:tc>
        <w:tc>
          <w:tcPr>
            <w:tcW w:w="903"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99,8</w:t>
            </w:r>
          </w:p>
        </w:tc>
        <w:tc>
          <w:tcPr>
            <w:tcW w:w="887"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143,0</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254,0</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25,2</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0,2</w:t>
            </w:r>
          </w:p>
        </w:tc>
        <w:tc>
          <w:tcPr>
            <w:tcW w:w="87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15,0</w:t>
            </w:r>
          </w:p>
        </w:tc>
        <w:tc>
          <w:tcPr>
            <w:tcW w:w="851"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10,0</w:t>
            </w:r>
          </w:p>
        </w:tc>
        <w:tc>
          <w:tcPr>
            <w:tcW w:w="852"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rPr>
                <w:rFonts w:asciiTheme="minorHAnsi" w:hAnsiTheme="minorHAnsi" w:cstheme="minorHAnsi"/>
                <w:color w:val="000000"/>
                <w:sz w:val="16"/>
                <w:szCs w:val="16"/>
              </w:rPr>
            </w:pPr>
            <w:r w:rsidRPr="009733DE">
              <w:rPr>
                <w:rFonts w:asciiTheme="minorHAnsi" w:hAnsiTheme="minorHAnsi" w:cstheme="minorHAnsi"/>
                <w:color w:val="000000"/>
                <w:sz w:val="16"/>
                <w:szCs w:val="16"/>
              </w:rPr>
              <w:t>Capital account, credit</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13,6</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100,4</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145,7</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254,0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25,2</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0,2</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15,0</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10,0</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rPr>
                <w:rFonts w:asciiTheme="minorHAnsi" w:hAnsiTheme="minorHAnsi" w:cstheme="minorHAnsi"/>
                <w:color w:val="000000"/>
                <w:sz w:val="16"/>
                <w:szCs w:val="16"/>
              </w:rPr>
            </w:pPr>
            <w:r w:rsidRPr="009733DE">
              <w:rPr>
                <w:rFonts w:asciiTheme="minorHAnsi" w:hAnsiTheme="minorHAnsi" w:cstheme="minorHAnsi"/>
                <w:color w:val="000000"/>
                <w:sz w:val="16"/>
                <w:szCs w:val="16"/>
              </w:rPr>
              <w:t>Capital account, debit</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0,6</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2,6</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rPr>
                <w:rFonts w:asciiTheme="minorHAnsi" w:hAnsiTheme="minorHAnsi" w:cstheme="minorHAnsi"/>
                <w:color w:val="000000"/>
                <w:sz w:val="16"/>
                <w:szCs w:val="16"/>
                <w:lang w:val="en-US"/>
              </w:rPr>
            </w:pPr>
            <w:r w:rsidRPr="009733DE">
              <w:rPr>
                <w:rFonts w:asciiTheme="minorHAnsi" w:hAnsiTheme="minorHAnsi" w:cstheme="minorHAnsi"/>
                <w:color w:val="000000"/>
                <w:sz w:val="16"/>
                <w:szCs w:val="16"/>
                <w:lang w:val="en-US"/>
              </w:rPr>
              <w:t>Balance on capital account and current account</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2 516,6</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2 777,7</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1 196,1</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1 302,2</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2 073,4</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888,2</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226,9</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1 577,7</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-3 450,1</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-3 111,6</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-3 113,3</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-911,5</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-1 035,9</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1 605,2</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-2 771,0</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000000" w:fill="B8CCE4"/>
            <w:vAlign w:val="center"/>
            <w:hideMark/>
          </w:tcPr>
          <w:p w:rsidR="00106BE1" w:rsidRPr="009733DE" w:rsidRDefault="00106BE1" w:rsidP="00712E78">
            <w:pPr>
              <w:tabs>
                <w:tab w:val="left" w:pos="435"/>
              </w:tabs>
              <w:rPr>
                <w:rFonts w:asciiTheme="minorHAnsi" w:hAnsiTheme="minorHAnsi" w:cstheme="minorHAnsi"/>
                <w:b/>
                <w:bCs/>
                <w:color w:val="000000"/>
                <w:sz w:val="16"/>
                <w:szCs w:val="16"/>
              </w:rPr>
            </w:pPr>
            <w:r w:rsidRPr="009733DE">
              <w:rPr>
                <w:rFonts w:asciiTheme="minorHAnsi" w:hAnsiTheme="minorHAnsi" w:cstheme="minorHAnsi"/>
                <w:b/>
                <w:bCs/>
                <w:color w:val="000000"/>
                <w:sz w:val="16"/>
                <w:szCs w:val="16"/>
              </w:rPr>
              <w:t>C. Financial account</w:t>
            </w:r>
          </w:p>
        </w:tc>
        <w:tc>
          <w:tcPr>
            <w:tcW w:w="840"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481,6</w:t>
            </w:r>
          </w:p>
        </w:tc>
        <w:tc>
          <w:tcPr>
            <w:tcW w:w="840"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-251,0</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449,0</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-1 342,3</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1 499,7</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755,6</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-15,9</w:t>
            </w:r>
          </w:p>
        </w:tc>
        <w:tc>
          <w:tcPr>
            <w:tcW w:w="903"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-671,5</w:t>
            </w:r>
          </w:p>
        </w:tc>
        <w:tc>
          <w:tcPr>
            <w:tcW w:w="887"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-1 316,2</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-6 471,7</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-5 411,2</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-1 365,8</w:t>
            </w:r>
          </w:p>
        </w:tc>
        <w:tc>
          <w:tcPr>
            <w:tcW w:w="87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-1 369,6</w:t>
            </w:r>
          </w:p>
        </w:tc>
        <w:tc>
          <w:tcPr>
            <w:tcW w:w="851"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399,0</w:t>
            </w:r>
          </w:p>
        </w:tc>
        <w:tc>
          <w:tcPr>
            <w:tcW w:w="852"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-3 074,8</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rPr>
                <w:rFonts w:asciiTheme="minorHAnsi" w:hAnsiTheme="minorHAnsi" w:cstheme="minorHAnsi"/>
                <w:color w:val="000000"/>
                <w:sz w:val="16"/>
                <w:szCs w:val="16"/>
              </w:rPr>
            </w:pPr>
            <w:r w:rsidRPr="009733DE">
              <w:rPr>
                <w:rFonts w:asciiTheme="minorHAnsi" w:hAnsiTheme="minorHAnsi" w:cstheme="minorHAnsi"/>
                <w:color w:val="000000"/>
                <w:sz w:val="16"/>
                <w:szCs w:val="16"/>
              </w:rPr>
              <w:t>Direct investment: assets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2,9</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3,6</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3,1</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4,3</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4,4</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4,6</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5,8</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9,0</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1,9</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3,1</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1,7</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0,6</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-0,2</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0,7</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0,6</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rPr>
                <w:rFonts w:asciiTheme="minorHAnsi" w:hAnsiTheme="minorHAnsi" w:cstheme="minorHAnsi"/>
                <w:color w:val="000000"/>
                <w:sz w:val="16"/>
                <w:szCs w:val="16"/>
              </w:rPr>
            </w:pPr>
            <w:r w:rsidRPr="009733DE">
              <w:rPr>
                <w:rFonts w:asciiTheme="minorHAnsi" w:hAnsiTheme="minorHAnsi" w:cstheme="minorHAnsi"/>
                <w:color w:val="000000"/>
                <w:sz w:val="16"/>
                <w:szCs w:val="16"/>
              </w:rPr>
              <w:t>Direct investment: liabilities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1 662,7</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1 615,1</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744,2</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691,6</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808,7</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1 041,2</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1 662,6</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1 797,3</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624,7</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2 316,5</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1 725,7</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267,1</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478,1</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369,7</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610,8</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rPr>
                <w:rFonts w:asciiTheme="minorHAnsi" w:hAnsiTheme="minorHAnsi" w:cstheme="minorHAnsi"/>
                <w:color w:val="000000"/>
                <w:sz w:val="16"/>
                <w:szCs w:val="16"/>
              </w:rPr>
            </w:pPr>
            <w:r w:rsidRPr="009733DE">
              <w:rPr>
                <w:rFonts w:asciiTheme="minorHAnsi" w:hAnsiTheme="minorHAnsi" w:cstheme="minorHAnsi"/>
                <w:color w:val="000000"/>
                <w:sz w:val="16"/>
                <w:szCs w:val="16"/>
              </w:rPr>
              <w:t>Portfolio investment: assets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-0,1</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-0,2</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142"/>
              <w:rPr>
                <w:rFonts w:asciiTheme="minorHAnsi" w:hAnsiTheme="minorHAnsi" w:cstheme="minorHAnsi"/>
                <w:color w:val="000000"/>
                <w:sz w:val="16"/>
                <w:szCs w:val="16"/>
                <w:lang w:val="en-US"/>
              </w:rPr>
            </w:pPr>
            <w:r w:rsidRPr="009733DE">
              <w:rPr>
                <w:rFonts w:asciiTheme="minorHAnsi" w:hAnsiTheme="minorHAnsi" w:cstheme="minorHAnsi"/>
                <w:color w:val="000000"/>
                <w:sz w:val="16"/>
                <w:szCs w:val="16"/>
                <w:lang w:val="en-US"/>
              </w:rPr>
              <w:t>Equity and investment fund shares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-0,1</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-0,2</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142"/>
              <w:rPr>
                <w:rFonts w:asciiTheme="minorHAnsi" w:hAnsiTheme="minorHAnsi" w:cstheme="minorHAnsi"/>
                <w:color w:val="000000"/>
                <w:sz w:val="16"/>
                <w:szCs w:val="16"/>
              </w:rPr>
            </w:pPr>
            <w:r w:rsidRPr="009733DE">
              <w:rPr>
                <w:rFonts w:asciiTheme="minorHAnsi" w:hAnsiTheme="minorHAnsi" w:cstheme="minorHAnsi"/>
                <w:color w:val="000000"/>
                <w:sz w:val="16"/>
                <w:szCs w:val="16"/>
              </w:rPr>
              <w:t>Debt securities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rPr>
                <w:rFonts w:asciiTheme="minorHAnsi" w:hAnsiTheme="minorHAnsi" w:cstheme="minorHAnsi"/>
                <w:color w:val="000000"/>
                <w:sz w:val="16"/>
                <w:szCs w:val="16"/>
              </w:rPr>
            </w:pPr>
            <w:r w:rsidRPr="009733DE">
              <w:rPr>
                <w:rFonts w:asciiTheme="minorHAnsi" w:hAnsiTheme="minorHAnsi" w:cstheme="minorHAnsi"/>
                <w:color w:val="000000"/>
                <w:sz w:val="16"/>
                <w:szCs w:val="16"/>
              </w:rPr>
              <w:t>Portfolio investment: liabilities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0,6</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5,7</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0,7</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1,3</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1,7</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0,6</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2,0</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3,1</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13,0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1 345,7</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1 389,4</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1,4</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11,2</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-4,1</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1 380,9</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142"/>
              <w:rPr>
                <w:rFonts w:asciiTheme="minorHAnsi" w:hAnsiTheme="minorHAnsi" w:cstheme="minorHAnsi"/>
                <w:color w:val="000000"/>
                <w:sz w:val="16"/>
                <w:szCs w:val="16"/>
                <w:lang w:val="en-US"/>
              </w:rPr>
            </w:pPr>
            <w:r w:rsidRPr="009733DE">
              <w:rPr>
                <w:rFonts w:asciiTheme="minorHAnsi" w:hAnsiTheme="minorHAnsi" w:cstheme="minorHAnsi"/>
                <w:color w:val="000000"/>
                <w:sz w:val="16"/>
                <w:szCs w:val="16"/>
                <w:lang w:val="en-US"/>
              </w:rPr>
              <w:t>Equity and investment fund shares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0,6</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5,7</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0,7</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1,3</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1,7</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0,6</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2,0</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3,1</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13,0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29,2</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32,2</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9,6</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2,7</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4,1</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15,9</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142"/>
              <w:rPr>
                <w:rFonts w:asciiTheme="minorHAnsi" w:hAnsiTheme="minorHAnsi" w:cstheme="minorHAnsi"/>
                <w:color w:val="000000"/>
                <w:sz w:val="16"/>
                <w:szCs w:val="16"/>
              </w:rPr>
            </w:pPr>
            <w:r w:rsidRPr="009733DE">
              <w:rPr>
                <w:rFonts w:asciiTheme="minorHAnsi" w:hAnsiTheme="minorHAnsi" w:cstheme="minorHAnsi"/>
                <w:color w:val="000000"/>
                <w:sz w:val="16"/>
                <w:szCs w:val="16"/>
              </w:rPr>
              <w:t>Debt securities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1 316,5</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1 357,1</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-8,2</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8,5</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-8,2</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1 365,0</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rPr>
                <w:rFonts w:asciiTheme="minorHAnsi" w:hAnsiTheme="minorHAnsi" w:cstheme="minorHAnsi"/>
                <w:color w:val="000000"/>
                <w:sz w:val="16"/>
                <w:szCs w:val="16"/>
                <w:lang w:val="en-US"/>
              </w:rPr>
            </w:pPr>
            <w:r w:rsidRPr="009733DE">
              <w:rPr>
                <w:rFonts w:asciiTheme="minorHAnsi" w:hAnsiTheme="minorHAnsi" w:cstheme="minorHAnsi"/>
                <w:color w:val="000000"/>
                <w:sz w:val="16"/>
                <w:szCs w:val="16"/>
                <w:lang w:val="en-US"/>
              </w:rPr>
              <w:t>Financial derivatives (other than reserves)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1,3</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4,3</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6,4</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0,3</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1,7</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1,1</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3,2</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142"/>
              <w:rPr>
                <w:rFonts w:asciiTheme="minorHAnsi" w:hAnsiTheme="minorHAnsi" w:cstheme="minorHAnsi"/>
                <w:color w:val="000000"/>
                <w:sz w:val="16"/>
                <w:szCs w:val="16"/>
              </w:rPr>
            </w:pPr>
            <w:r w:rsidRPr="009733DE">
              <w:rPr>
                <w:rFonts w:asciiTheme="minorHAnsi" w:hAnsiTheme="minorHAnsi" w:cstheme="minorHAnsi"/>
                <w:color w:val="000000"/>
                <w:sz w:val="16"/>
                <w:szCs w:val="16"/>
              </w:rPr>
              <w:lastRenderedPageBreak/>
              <w:t>Financial derivatives: assets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142"/>
              <w:rPr>
                <w:rFonts w:asciiTheme="minorHAnsi" w:hAnsiTheme="minorHAnsi" w:cstheme="minorHAnsi"/>
                <w:color w:val="000000"/>
                <w:sz w:val="16"/>
                <w:szCs w:val="16"/>
              </w:rPr>
            </w:pPr>
            <w:r w:rsidRPr="009733DE">
              <w:rPr>
                <w:rFonts w:asciiTheme="minorHAnsi" w:hAnsiTheme="minorHAnsi" w:cstheme="minorHAnsi"/>
                <w:color w:val="000000"/>
                <w:sz w:val="16"/>
                <w:szCs w:val="16"/>
              </w:rPr>
              <w:t>Financial derivatives: liabilities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-1,3</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-4,3</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-6,4</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-0,3</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-1,7</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-1,1</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-3,2</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rPr>
                <w:rFonts w:asciiTheme="minorHAnsi" w:hAnsiTheme="minorHAnsi" w:cstheme="minorHAnsi"/>
                <w:color w:val="000000"/>
                <w:sz w:val="16"/>
                <w:szCs w:val="16"/>
              </w:rPr>
            </w:pPr>
            <w:r w:rsidRPr="009733DE">
              <w:rPr>
                <w:rFonts w:asciiTheme="minorHAnsi" w:hAnsiTheme="minorHAnsi" w:cstheme="minorHAnsi"/>
                <w:color w:val="000000"/>
                <w:sz w:val="16"/>
                <w:szCs w:val="16"/>
              </w:rPr>
              <w:t>Other investment: assets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2 495,9</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1 297,3</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1 581,3</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957,9</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4 277,2</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3 371,6</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3 015,7</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2 822,7</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1 548,4</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2 627,2</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5 265,2</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601,0</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427,3</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2 301,5</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1 935,4</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142"/>
              <w:rPr>
                <w:rFonts w:asciiTheme="minorHAnsi" w:hAnsiTheme="minorHAnsi" w:cstheme="minorHAnsi"/>
                <w:color w:val="000000"/>
                <w:sz w:val="16"/>
                <w:szCs w:val="16"/>
              </w:rPr>
            </w:pPr>
            <w:r w:rsidRPr="009733DE">
              <w:rPr>
                <w:rFonts w:asciiTheme="minorHAnsi" w:hAnsiTheme="minorHAnsi" w:cstheme="minorHAnsi"/>
                <w:color w:val="000000"/>
                <w:sz w:val="16"/>
                <w:szCs w:val="16"/>
              </w:rPr>
              <w:t>Other equity instruments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0,3</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142"/>
              <w:rPr>
                <w:rFonts w:asciiTheme="minorHAnsi" w:hAnsiTheme="minorHAnsi" w:cstheme="minorHAnsi"/>
                <w:color w:val="000000"/>
                <w:sz w:val="16"/>
                <w:szCs w:val="16"/>
              </w:rPr>
            </w:pPr>
            <w:r w:rsidRPr="009733DE">
              <w:rPr>
                <w:rFonts w:asciiTheme="minorHAnsi" w:hAnsiTheme="minorHAnsi" w:cstheme="minorHAnsi"/>
                <w:color w:val="000000"/>
                <w:sz w:val="16"/>
                <w:szCs w:val="16"/>
              </w:rPr>
              <w:t>Debt instruments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2 495,9</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1 297,3</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1 581,3</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957,9</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4 277,2</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3 371,6</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3 015,7</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2 822,7</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1 548,4</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2 626,9</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5 265,2</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601,0</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427,3</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2 301,5</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1 935,4</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284" w:firstLineChars="12" w:firstLine="19"/>
              <w:rPr>
                <w:rFonts w:asciiTheme="minorHAnsi" w:hAnsiTheme="minorHAnsi" w:cstheme="minorHAnsi"/>
                <w:color w:val="000000"/>
                <w:sz w:val="16"/>
                <w:szCs w:val="16"/>
              </w:rPr>
            </w:pPr>
            <w:r w:rsidRPr="009733DE">
              <w:rPr>
                <w:rFonts w:asciiTheme="minorHAnsi" w:hAnsiTheme="minorHAnsi" w:cstheme="minorHAnsi"/>
                <w:color w:val="000000"/>
                <w:sz w:val="16"/>
                <w:szCs w:val="16"/>
              </w:rPr>
              <w:t>Central bank</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284"/>
              <w:rPr>
                <w:rFonts w:asciiTheme="minorHAnsi" w:hAnsiTheme="minorHAnsi" w:cstheme="minorHAnsi"/>
                <w:color w:val="000000"/>
                <w:sz w:val="16"/>
                <w:szCs w:val="16"/>
                <w:lang w:val="en-US"/>
              </w:rPr>
            </w:pPr>
            <w:r w:rsidRPr="009733DE">
              <w:rPr>
                <w:rFonts w:asciiTheme="minorHAnsi" w:hAnsiTheme="minorHAnsi" w:cstheme="minorHAnsi"/>
                <w:color w:val="000000"/>
                <w:sz w:val="16"/>
                <w:szCs w:val="16"/>
                <w:lang w:val="en-US"/>
              </w:rPr>
              <w:t>Deposit-taking corporations (except the central bank)</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693,5</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313,8</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374,5</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46,1</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-251,8</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-276,4</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659,7</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366,2</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-750,3</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-1 060,7</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620,2</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79,8</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-194,7</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-246,7</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981,8</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284"/>
              <w:rPr>
                <w:rFonts w:asciiTheme="minorHAnsi" w:hAnsiTheme="minorHAnsi" w:cstheme="minorHAnsi"/>
                <w:color w:val="000000"/>
                <w:sz w:val="16"/>
                <w:szCs w:val="16"/>
              </w:rPr>
            </w:pPr>
            <w:r w:rsidRPr="009733DE">
              <w:rPr>
                <w:rFonts w:asciiTheme="minorHAnsi" w:hAnsiTheme="minorHAnsi" w:cstheme="minorHAnsi"/>
                <w:color w:val="000000"/>
                <w:sz w:val="16"/>
                <w:szCs w:val="16"/>
              </w:rPr>
              <w:t>General government</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-11,3</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-5,2</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-5,3</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-5,5</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-10,7</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-8,5</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-0,5</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-0,6</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-6,8</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-7,8</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-21,8</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-5,5</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-5,0</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-6,1</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-5,1</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284"/>
              <w:rPr>
                <w:rFonts w:asciiTheme="minorHAnsi" w:hAnsiTheme="minorHAnsi" w:cstheme="minorHAnsi"/>
                <w:color w:val="000000"/>
                <w:sz w:val="16"/>
                <w:szCs w:val="16"/>
              </w:rPr>
            </w:pPr>
            <w:r w:rsidRPr="009733DE">
              <w:rPr>
                <w:rFonts w:asciiTheme="minorHAnsi" w:hAnsiTheme="minorHAnsi" w:cstheme="minorHAnsi"/>
                <w:color w:val="000000"/>
                <w:sz w:val="16"/>
                <w:szCs w:val="16"/>
              </w:rPr>
              <w:t>Other sectors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1 813,7</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988,8</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1 212,1</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917,3</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4 539,6</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3 656,6</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2 356,5</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2 457,0</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2 305,5</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3 695,4</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4 666,7</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526,7</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627,0</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2 554,3</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958,7</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426"/>
              <w:rPr>
                <w:rFonts w:asciiTheme="minorHAnsi" w:hAnsiTheme="minorHAnsi" w:cstheme="minorHAnsi"/>
                <w:color w:val="000000"/>
                <w:sz w:val="16"/>
                <w:szCs w:val="16"/>
              </w:rPr>
            </w:pPr>
            <w:r w:rsidRPr="009733DE">
              <w:rPr>
                <w:rFonts w:asciiTheme="minorHAnsi" w:hAnsiTheme="minorHAnsi" w:cstheme="minorHAnsi"/>
                <w:color w:val="000000"/>
                <w:sz w:val="16"/>
                <w:szCs w:val="16"/>
              </w:rPr>
              <w:t>Other financial corporations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-9,5</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-0,6</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-0,6</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426"/>
              <w:rPr>
                <w:rFonts w:asciiTheme="minorHAnsi" w:hAnsiTheme="minorHAnsi" w:cstheme="minorHAnsi"/>
                <w:color w:val="000000"/>
                <w:sz w:val="16"/>
                <w:szCs w:val="16"/>
                <w:lang w:val="en-US"/>
              </w:rPr>
            </w:pPr>
            <w:r w:rsidRPr="009733DE">
              <w:rPr>
                <w:rFonts w:asciiTheme="minorHAnsi" w:hAnsiTheme="minorHAnsi" w:cstheme="minorHAnsi"/>
                <w:color w:val="000000"/>
                <w:sz w:val="16"/>
                <w:szCs w:val="16"/>
                <w:lang w:val="en-US"/>
              </w:rPr>
              <w:t>Nonfinancial corporations, households, and NPISHs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1 813,7</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988,8</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1 212,1</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917,3</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4 539,6</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3 656,6</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2 356,5</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2 457,0</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2 305,5</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3 704,8</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4 667,3</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527,3</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627,0</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2 554,3</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958,7</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rPr>
                <w:rFonts w:asciiTheme="minorHAnsi" w:hAnsiTheme="minorHAnsi" w:cstheme="minorHAnsi"/>
                <w:color w:val="000000"/>
                <w:sz w:val="16"/>
                <w:szCs w:val="16"/>
              </w:rPr>
            </w:pPr>
            <w:r w:rsidRPr="009733DE">
              <w:rPr>
                <w:rFonts w:asciiTheme="minorHAnsi" w:hAnsiTheme="minorHAnsi" w:cstheme="minorHAnsi"/>
                <w:color w:val="000000"/>
                <w:sz w:val="16"/>
                <w:szCs w:val="16"/>
              </w:rPr>
              <w:t>Other investment: liabilities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353,8</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-68,9</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390,4</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1 611,7</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1 971,5</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1 578,8</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1 372,8</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1 702,7</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2 230,1</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5 444,0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7 569,3</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1 699,3</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1 308,9</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1 538,7</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3 022,3</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142"/>
              <w:rPr>
                <w:rFonts w:asciiTheme="minorHAnsi" w:hAnsiTheme="minorHAnsi" w:cstheme="minorHAnsi"/>
                <w:color w:val="000000"/>
                <w:sz w:val="16"/>
                <w:szCs w:val="16"/>
              </w:rPr>
            </w:pPr>
            <w:r w:rsidRPr="009733DE">
              <w:rPr>
                <w:rFonts w:asciiTheme="minorHAnsi" w:hAnsiTheme="minorHAnsi" w:cstheme="minorHAnsi"/>
                <w:color w:val="000000"/>
                <w:sz w:val="16"/>
                <w:szCs w:val="16"/>
              </w:rPr>
              <w:t>Other equity</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142"/>
              <w:rPr>
                <w:rFonts w:asciiTheme="minorHAnsi" w:hAnsiTheme="minorHAnsi" w:cstheme="minorHAnsi"/>
                <w:color w:val="000000"/>
                <w:sz w:val="16"/>
                <w:szCs w:val="16"/>
              </w:rPr>
            </w:pPr>
            <w:r w:rsidRPr="009733DE">
              <w:rPr>
                <w:rFonts w:asciiTheme="minorHAnsi" w:hAnsiTheme="minorHAnsi" w:cstheme="minorHAnsi"/>
                <w:color w:val="000000"/>
                <w:sz w:val="16"/>
                <w:szCs w:val="16"/>
              </w:rPr>
              <w:t>SDR allocation</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0,1</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-0,1</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-0,1</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0,1</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0,3</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0,2</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-0,2</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-0,4</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-0,2</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-0,2</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142"/>
              <w:rPr>
                <w:rFonts w:asciiTheme="minorHAnsi" w:hAnsiTheme="minorHAnsi" w:cstheme="minorHAnsi"/>
                <w:color w:val="000000"/>
                <w:sz w:val="16"/>
                <w:szCs w:val="16"/>
              </w:rPr>
            </w:pPr>
            <w:r w:rsidRPr="009733DE">
              <w:rPr>
                <w:rFonts w:asciiTheme="minorHAnsi" w:hAnsiTheme="minorHAnsi" w:cstheme="minorHAnsi"/>
                <w:color w:val="000000"/>
                <w:sz w:val="16"/>
                <w:szCs w:val="16"/>
              </w:rPr>
              <w:t>Debt instruments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353,7</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-68,8</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390,5</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1 611,6</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1 971,6</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1 578,8</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1 372,7</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1 702,4</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2 229,8</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5 444,2</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7 569,7</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1 699,5</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1 309,2</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1 538,7</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3 022,3</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284"/>
              <w:rPr>
                <w:rFonts w:asciiTheme="minorHAnsi" w:hAnsiTheme="minorHAnsi" w:cstheme="minorHAnsi"/>
                <w:color w:val="000000"/>
                <w:sz w:val="16"/>
                <w:szCs w:val="16"/>
              </w:rPr>
            </w:pPr>
            <w:r w:rsidRPr="009733DE">
              <w:rPr>
                <w:rFonts w:asciiTheme="minorHAnsi" w:hAnsiTheme="minorHAnsi" w:cstheme="minorHAnsi"/>
                <w:color w:val="000000"/>
                <w:sz w:val="16"/>
                <w:szCs w:val="16"/>
              </w:rPr>
              <w:t>Central bank</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284"/>
              <w:rPr>
                <w:rFonts w:asciiTheme="minorHAnsi" w:hAnsiTheme="minorHAnsi" w:cstheme="minorHAnsi"/>
                <w:color w:val="000000"/>
                <w:sz w:val="16"/>
                <w:szCs w:val="16"/>
                <w:lang w:val="en-US"/>
              </w:rPr>
            </w:pPr>
            <w:r w:rsidRPr="009733DE">
              <w:rPr>
                <w:rFonts w:asciiTheme="minorHAnsi" w:hAnsiTheme="minorHAnsi" w:cstheme="minorHAnsi"/>
                <w:color w:val="000000"/>
                <w:sz w:val="16"/>
                <w:szCs w:val="16"/>
                <w:lang w:val="en-US"/>
              </w:rPr>
              <w:t>Deposit-taking corporations (except the entral bank)</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67,6</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-13,5</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29,7</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-8,1</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75,3</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41,9</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32,0</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206,1</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396,9</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1 785,8</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2 743,1</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789,1</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779,3</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400,2</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774,5</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284"/>
              <w:rPr>
                <w:rFonts w:asciiTheme="minorHAnsi" w:hAnsiTheme="minorHAnsi" w:cstheme="minorHAnsi"/>
                <w:color w:val="000000"/>
                <w:sz w:val="16"/>
                <w:szCs w:val="16"/>
              </w:rPr>
            </w:pPr>
            <w:r w:rsidRPr="009733DE">
              <w:rPr>
                <w:rFonts w:asciiTheme="minorHAnsi" w:hAnsiTheme="minorHAnsi" w:cstheme="minorHAnsi"/>
                <w:color w:val="000000"/>
                <w:sz w:val="16"/>
                <w:szCs w:val="16"/>
              </w:rPr>
              <w:t>General government</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47,8</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193,8</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211,1</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323,7</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418,0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1 027,2</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758,6</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912,9</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1 839,4</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2 842,4</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2 919,0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167,1</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427,9</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892,5</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1 431,4</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284"/>
              <w:rPr>
                <w:rFonts w:asciiTheme="minorHAnsi" w:hAnsiTheme="minorHAnsi" w:cstheme="minorHAnsi"/>
                <w:color w:val="000000"/>
                <w:sz w:val="16"/>
                <w:szCs w:val="16"/>
              </w:rPr>
            </w:pPr>
            <w:r w:rsidRPr="009733DE">
              <w:rPr>
                <w:rFonts w:asciiTheme="minorHAnsi" w:hAnsiTheme="minorHAnsi" w:cstheme="minorHAnsi"/>
                <w:color w:val="000000"/>
                <w:sz w:val="16"/>
                <w:szCs w:val="16"/>
              </w:rPr>
              <w:t>Other sectors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238,3</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-249,0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149,7</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1 295,9</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1 478,2</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509,7</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582,1</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583,4</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-6,4</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816,0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1 907,6</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743,3</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102,0</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245,9</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816,4</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Chars="177" w:left="425"/>
              <w:rPr>
                <w:rFonts w:asciiTheme="minorHAnsi" w:hAnsiTheme="minorHAnsi" w:cstheme="minorHAnsi"/>
                <w:color w:val="000000"/>
                <w:sz w:val="16"/>
                <w:szCs w:val="16"/>
              </w:rPr>
            </w:pPr>
            <w:r w:rsidRPr="009733DE">
              <w:rPr>
                <w:rFonts w:asciiTheme="minorHAnsi" w:hAnsiTheme="minorHAnsi" w:cstheme="minorHAnsi"/>
                <w:color w:val="000000"/>
                <w:sz w:val="16"/>
                <w:szCs w:val="16"/>
              </w:rPr>
              <w:t>Other financial corporations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5,4</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3,3</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1,8</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0,9</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1,4</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1,1</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-1,7</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Chars="177" w:left="425"/>
              <w:rPr>
                <w:rFonts w:asciiTheme="minorHAnsi" w:hAnsiTheme="minorHAnsi" w:cstheme="minorHAnsi"/>
                <w:color w:val="000000"/>
                <w:sz w:val="16"/>
                <w:szCs w:val="16"/>
                <w:lang w:val="en-US"/>
              </w:rPr>
            </w:pPr>
            <w:r w:rsidRPr="009733DE">
              <w:rPr>
                <w:rFonts w:asciiTheme="minorHAnsi" w:hAnsiTheme="minorHAnsi" w:cstheme="minorHAnsi"/>
                <w:color w:val="000000"/>
                <w:sz w:val="16"/>
                <w:szCs w:val="16"/>
                <w:lang w:val="en-US"/>
              </w:rPr>
              <w:t>Nonfinancial corporations, households, and PISHs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238,3</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-249,0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149,7</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1 295,9</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1 478,2</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509,7</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582,1</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583,4</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-11,8</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812,7</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1 905,8</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742,4</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100,5</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244,8</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818,1</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000000" w:fill="B8CCE4"/>
            <w:vAlign w:val="center"/>
            <w:hideMark/>
          </w:tcPr>
          <w:p w:rsidR="00106BE1" w:rsidRPr="009733DE" w:rsidRDefault="00106BE1" w:rsidP="009733DE">
            <w:pPr>
              <w:tabs>
                <w:tab w:val="left" w:pos="435"/>
              </w:tabs>
              <w:rPr>
                <w:rFonts w:asciiTheme="minorHAnsi" w:hAnsiTheme="minorHAnsi" w:cstheme="minorHAnsi"/>
                <w:b/>
                <w:bCs/>
                <w:color w:val="000000"/>
                <w:sz w:val="16"/>
                <w:szCs w:val="16"/>
                <w:lang w:val="en-US"/>
              </w:rPr>
            </w:pPr>
            <w:r w:rsidRPr="009733DE">
              <w:rPr>
                <w:rFonts w:asciiTheme="minorHAnsi" w:hAnsiTheme="minorHAnsi" w:cstheme="minorHAnsi"/>
                <w:b/>
                <w:bCs/>
                <w:color w:val="000000"/>
                <w:sz w:val="16"/>
                <w:szCs w:val="16"/>
                <w:lang w:val="en-US"/>
              </w:rPr>
              <w:t>D. Net Errors and Omissions</w:t>
            </w:r>
          </w:p>
        </w:tc>
        <w:tc>
          <w:tcPr>
            <w:tcW w:w="840"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-779,6</w:t>
            </w:r>
          </w:p>
        </w:tc>
        <w:tc>
          <w:tcPr>
            <w:tcW w:w="840"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-504,2</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-813,4</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-1 898,8</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-941,2</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85,2</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309,7</w:t>
            </w:r>
          </w:p>
        </w:tc>
        <w:tc>
          <w:tcPr>
            <w:tcW w:w="903"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-2 505,2</w:t>
            </w:r>
          </w:p>
        </w:tc>
        <w:tc>
          <w:tcPr>
            <w:tcW w:w="887"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570,2</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-1 953,5</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-901,3</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-453,6</w:t>
            </w:r>
          </w:p>
        </w:tc>
        <w:tc>
          <w:tcPr>
            <w:tcW w:w="87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-682,8</w:t>
            </w:r>
          </w:p>
        </w:tc>
        <w:tc>
          <w:tcPr>
            <w:tcW w:w="851"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766,7</w:t>
            </w:r>
          </w:p>
        </w:tc>
        <w:tc>
          <w:tcPr>
            <w:tcW w:w="852"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-531,7</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000000" w:fill="B8CCE4"/>
            <w:vAlign w:val="center"/>
            <w:hideMark/>
          </w:tcPr>
          <w:p w:rsidR="00106BE1" w:rsidRPr="009733DE" w:rsidRDefault="00106BE1" w:rsidP="009733DE">
            <w:pPr>
              <w:tabs>
                <w:tab w:val="left" w:pos="435"/>
              </w:tabs>
              <w:rPr>
                <w:rFonts w:asciiTheme="minorHAnsi" w:hAnsiTheme="minorHAnsi" w:cstheme="minorHAnsi"/>
                <w:b/>
                <w:bCs/>
                <w:color w:val="000000"/>
                <w:sz w:val="16"/>
                <w:szCs w:val="16"/>
              </w:rPr>
            </w:pPr>
            <w:r w:rsidRPr="009733DE">
              <w:rPr>
                <w:rFonts w:asciiTheme="minorHAnsi" w:hAnsiTheme="minorHAnsi" w:cstheme="minorHAnsi"/>
                <w:b/>
                <w:bCs/>
                <w:color w:val="000000"/>
                <w:sz w:val="16"/>
                <w:szCs w:val="16"/>
              </w:rPr>
              <w:t>E. Overall Balance</w:t>
            </w:r>
          </w:p>
        </w:tc>
        <w:tc>
          <w:tcPr>
            <w:tcW w:w="840"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-1 255,4</w:t>
            </w:r>
          </w:p>
        </w:tc>
        <w:tc>
          <w:tcPr>
            <w:tcW w:w="840"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-2 524,5</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66,3</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-745,7</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367,6</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-217,8</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-552,4</w:t>
            </w:r>
          </w:p>
        </w:tc>
        <w:tc>
          <w:tcPr>
            <w:tcW w:w="903"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256,0</w:t>
            </w:r>
          </w:p>
        </w:tc>
        <w:tc>
          <w:tcPr>
            <w:tcW w:w="887"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1 563,7</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-1 406,6</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-1 396,6</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-0,7</w:t>
            </w:r>
          </w:p>
        </w:tc>
        <w:tc>
          <w:tcPr>
            <w:tcW w:w="87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349,1</w:t>
            </w:r>
          </w:p>
        </w:tc>
        <w:tc>
          <w:tcPr>
            <w:tcW w:w="851"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-1 972,9</w:t>
            </w:r>
          </w:p>
        </w:tc>
        <w:tc>
          <w:tcPr>
            <w:tcW w:w="852"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227,8</w:t>
            </w:r>
          </w:p>
        </w:tc>
      </w:tr>
      <w:tr w:rsidR="00106BE1" w:rsidRPr="009733DE" w:rsidTr="00A36D7A">
        <w:trPr>
          <w:trHeight w:val="283"/>
        </w:trPr>
        <w:tc>
          <w:tcPr>
            <w:tcW w:w="2660" w:type="dxa"/>
            <w:tcBorders>
              <w:top w:val="nil"/>
              <w:left w:val="single" w:sz="4" w:space="0" w:color="4F81BD"/>
              <w:bottom w:val="single" w:sz="4" w:space="0" w:color="4F81BD"/>
              <w:right w:val="single" w:sz="4" w:space="0" w:color="4F81BD"/>
            </w:tcBorders>
            <w:shd w:val="clear" w:color="000000" w:fill="B8CCE4"/>
            <w:vAlign w:val="center"/>
            <w:hideMark/>
          </w:tcPr>
          <w:p w:rsidR="00106BE1" w:rsidRPr="009733DE" w:rsidRDefault="00106BE1" w:rsidP="009733DE">
            <w:pPr>
              <w:tabs>
                <w:tab w:val="left" w:pos="435"/>
              </w:tabs>
              <w:rPr>
                <w:rFonts w:asciiTheme="minorHAnsi" w:hAnsiTheme="minorHAnsi" w:cstheme="minorHAnsi"/>
                <w:b/>
                <w:bCs/>
                <w:color w:val="000000"/>
                <w:sz w:val="16"/>
                <w:szCs w:val="16"/>
                <w:lang w:val="en-US"/>
              </w:rPr>
            </w:pPr>
            <w:r w:rsidRPr="009733DE">
              <w:rPr>
                <w:rFonts w:asciiTheme="minorHAnsi" w:hAnsiTheme="minorHAnsi" w:cstheme="minorHAnsi"/>
                <w:b/>
                <w:bCs/>
                <w:color w:val="000000"/>
                <w:sz w:val="16"/>
                <w:szCs w:val="16"/>
                <w:lang w:val="en-US"/>
              </w:rPr>
              <w:t>F. Reserves and Related Items</w:t>
            </w:r>
          </w:p>
        </w:tc>
        <w:tc>
          <w:tcPr>
            <w:tcW w:w="840"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1 255,4</w:t>
            </w:r>
          </w:p>
        </w:tc>
        <w:tc>
          <w:tcPr>
            <w:tcW w:w="840"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2 524,5</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-66,3</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745,7</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-367,6</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217,8</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552,4</w:t>
            </w:r>
          </w:p>
        </w:tc>
        <w:tc>
          <w:tcPr>
            <w:tcW w:w="903"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-256,0</w:t>
            </w:r>
          </w:p>
        </w:tc>
        <w:tc>
          <w:tcPr>
            <w:tcW w:w="887"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-1 563,7</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1 406,6</w:t>
            </w:r>
          </w:p>
        </w:tc>
        <w:tc>
          <w:tcPr>
            <w:tcW w:w="839"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1 396,6</w:t>
            </w:r>
          </w:p>
        </w:tc>
        <w:tc>
          <w:tcPr>
            <w:tcW w:w="83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0,7</w:t>
            </w:r>
          </w:p>
        </w:tc>
        <w:tc>
          <w:tcPr>
            <w:tcW w:w="878"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-349,1</w:t>
            </w:r>
          </w:p>
        </w:tc>
        <w:tc>
          <w:tcPr>
            <w:tcW w:w="851"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1 972,9</w:t>
            </w:r>
          </w:p>
        </w:tc>
        <w:tc>
          <w:tcPr>
            <w:tcW w:w="852" w:type="dxa"/>
            <w:tcBorders>
              <w:top w:val="nil"/>
              <w:left w:val="single" w:sz="4" w:space="0" w:color="4F81BD"/>
              <w:bottom w:val="single" w:sz="4" w:space="0" w:color="4F81BD"/>
              <w:right w:val="single" w:sz="4" w:space="0" w:color="4F81BD"/>
            </w:tcBorders>
            <w:shd w:val="clear" w:color="000000" w:fill="B8CCE4"/>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-227,8</w:t>
            </w:r>
          </w:p>
        </w:tc>
      </w:tr>
      <w:tr w:rsidR="00106BE1" w:rsidRPr="009733DE" w:rsidTr="00A36D7A">
        <w:trPr>
          <w:trHeight w:val="340"/>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142"/>
              <w:rPr>
                <w:rFonts w:asciiTheme="minorHAnsi" w:hAnsiTheme="minorHAnsi" w:cstheme="minorHAnsi"/>
                <w:color w:val="000000"/>
                <w:sz w:val="16"/>
                <w:szCs w:val="16"/>
              </w:rPr>
            </w:pPr>
            <w:r w:rsidRPr="009733DE">
              <w:rPr>
                <w:rFonts w:asciiTheme="minorHAnsi" w:hAnsiTheme="minorHAnsi" w:cstheme="minorHAnsi"/>
                <w:color w:val="000000"/>
                <w:sz w:val="16"/>
                <w:szCs w:val="16"/>
              </w:rPr>
              <w:t>Reserve assets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1 255,4</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2 524,5</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-66,3</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745,7</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-367,6</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217,8</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552,4</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-256,0</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-1 563,7</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1 406,6</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1 771,4</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0,7</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25,5</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1 973,0</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-227,8</w:t>
            </w:r>
          </w:p>
        </w:tc>
      </w:tr>
      <w:tr w:rsidR="00106BE1" w:rsidRPr="009733DE" w:rsidTr="00A36D7A">
        <w:trPr>
          <w:trHeight w:val="340"/>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142"/>
              <w:rPr>
                <w:rFonts w:asciiTheme="minorHAnsi" w:hAnsiTheme="minorHAnsi" w:cstheme="minorHAnsi"/>
                <w:sz w:val="16"/>
                <w:szCs w:val="16"/>
                <w:lang w:val="en-US"/>
              </w:rPr>
            </w:pPr>
            <w:r w:rsidRPr="009733DE">
              <w:rPr>
                <w:rFonts w:asciiTheme="minorHAnsi" w:hAnsiTheme="minorHAnsi" w:cstheme="minorHAnsi"/>
                <w:sz w:val="16"/>
                <w:szCs w:val="16"/>
                <w:lang w:val="en-US"/>
              </w:rPr>
              <w:t>Net credits from the IMF (other than reserves)</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374,8</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374,6</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0,1</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r>
      <w:tr w:rsidR="00106BE1" w:rsidRPr="009733DE" w:rsidTr="00A36D7A">
        <w:trPr>
          <w:trHeight w:val="340"/>
        </w:trPr>
        <w:tc>
          <w:tcPr>
            <w:tcW w:w="2660" w:type="dxa"/>
            <w:tcBorders>
              <w:top w:val="nil"/>
              <w:left w:val="single" w:sz="4" w:space="0" w:color="4F81BD"/>
              <w:bottom w:val="single" w:sz="4" w:space="0" w:color="4F81BD"/>
              <w:right w:val="single" w:sz="4" w:space="0" w:color="4F81BD"/>
            </w:tcBorders>
            <w:shd w:val="clear" w:color="auto" w:fill="auto"/>
            <w:vAlign w:val="center"/>
            <w:hideMark/>
          </w:tcPr>
          <w:p w:rsidR="00106BE1" w:rsidRPr="009733DE" w:rsidRDefault="00106BE1" w:rsidP="009733DE">
            <w:pPr>
              <w:tabs>
                <w:tab w:val="left" w:pos="435"/>
              </w:tabs>
              <w:ind w:left="142"/>
              <w:rPr>
                <w:rFonts w:asciiTheme="minorHAnsi" w:hAnsiTheme="minorHAnsi" w:cstheme="minorHAnsi"/>
                <w:color w:val="000000"/>
                <w:sz w:val="16"/>
                <w:szCs w:val="16"/>
              </w:rPr>
            </w:pPr>
            <w:r w:rsidRPr="009733DE">
              <w:rPr>
                <w:rFonts w:asciiTheme="minorHAnsi" w:hAnsiTheme="minorHAnsi" w:cstheme="minorHAnsi"/>
                <w:color w:val="000000"/>
                <w:sz w:val="16"/>
                <w:szCs w:val="16"/>
              </w:rPr>
              <w:t>Exceptional financing</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40"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903"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87"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9"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3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78"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51"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c>
          <w:tcPr>
            <w:tcW w:w="852" w:type="dxa"/>
            <w:tcBorders>
              <w:top w:val="nil"/>
              <w:left w:val="single" w:sz="4" w:space="0" w:color="4F81BD"/>
              <w:bottom w:val="single" w:sz="4" w:space="0" w:color="4F81BD"/>
              <w:right w:val="single" w:sz="4" w:space="0" w:color="4F81BD"/>
            </w:tcBorders>
            <w:vAlign w:val="center"/>
          </w:tcPr>
          <w:p w:rsidR="00106BE1" w:rsidRPr="009733DE" w:rsidRDefault="00106BE1" w:rsidP="00106BE1">
            <w:pPr>
              <w:jc w:val="right"/>
              <w:rPr>
                <w:rFonts w:asciiTheme="minorHAnsi" w:hAnsiTheme="minorHAnsi" w:cstheme="minorHAnsi"/>
                <w:color w:val="000000"/>
                <w:sz w:val="16"/>
                <w:szCs w:val="16"/>
              </w:rPr>
            </w:pPr>
            <w:r w:rsidRPr="009733DE">
              <w:rPr>
                <w:rFonts w:asciiTheme="minorHAnsi" w:hAnsiTheme="minorHAnsi" w:cstheme="minorHAnsi"/>
                <w:color w:val="000000"/>
                <w:sz w:val="16"/>
                <w:szCs w:val="16"/>
              </w:rPr>
              <w:t>0,0</w:t>
            </w:r>
          </w:p>
        </w:tc>
      </w:tr>
    </w:tbl>
    <w:p w:rsidR="00B8089B" w:rsidRPr="00F45A80" w:rsidRDefault="00B8089B" w:rsidP="007F317E">
      <w:pPr>
        <w:jc w:val="both"/>
        <w:rPr>
          <w:rFonts w:cs="Calibri"/>
          <w:i/>
          <w:sz w:val="20"/>
          <w:szCs w:val="20"/>
          <w:lang w:val="en-US"/>
        </w:rPr>
      </w:pPr>
      <w:r w:rsidRPr="00F45A80">
        <w:rPr>
          <w:rFonts w:cs="Calibri"/>
          <w:i/>
          <w:color w:val="000000"/>
          <w:sz w:val="20"/>
          <w:szCs w:val="20"/>
          <w:lang w:val="en-US"/>
        </w:rPr>
        <w:t xml:space="preserve">This statistic report uses </w:t>
      </w:r>
      <w:r w:rsidR="00D60B5E">
        <w:rPr>
          <w:rFonts w:cs="Calibri"/>
          <w:i/>
          <w:color w:val="000000"/>
          <w:sz w:val="20"/>
          <w:szCs w:val="20"/>
          <w:lang w:val="en-US"/>
        </w:rPr>
        <w:t>analytic</w:t>
      </w:r>
      <w:r w:rsidRPr="00F45A80">
        <w:rPr>
          <w:rFonts w:cs="Calibri"/>
          <w:i/>
          <w:color w:val="000000"/>
          <w:sz w:val="20"/>
          <w:szCs w:val="20"/>
          <w:lang w:val="en-US"/>
        </w:rPr>
        <w:t xml:space="preserve"> presentation, described in the 6th edition of the Balance of Payments Manual (BPM6).</w:t>
      </w:r>
    </w:p>
    <w:p w:rsidR="00BC15C8" w:rsidRPr="00F45A80" w:rsidRDefault="000F2DF8" w:rsidP="00A36D7A">
      <w:pPr>
        <w:ind w:right="-315"/>
        <w:jc w:val="right"/>
        <w:rPr>
          <w:i/>
          <w:lang w:val="en-US"/>
        </w:rPr>
      </w:pPr>
      <w:r w:rsidRPr="00F45A80">
        <w:rPr>
          <w:rFonts w:cs="Arial"/>
          <w:highlight w:val="yellow"/>
          <w:lang w:val="en-US"/>
        </w:rPr>
        <w:br w:type="page"/>
      </w:r>
      <w:r w:rsidR="00BC15C8" w:rsidRPr="00F45A80">
        <w:rPr>
          <w:rFonts w:cs="Calibri"/>
          <w:i/>
          <w:lang w:val="en-US"/>
        </w:rPr>
        <w:lastRenderedPageBreak/>
        <w:t>Addenda</w:t>
      </w:r>
      <w:r w:rsidR="00BC15C8" w:rsidRPr="00F45A80">
        <w:rPr>
          <w:i/>
          <w:lang w:val="en-US"/>
        </w:rPr>
        <w:t xml:space="preserve"> 2</w:t>
      </w:r>
    </w:p>
    <w:p w:rsidR="00BC15C8" w:rsidRPr="005751B1" w:rsidRDefault="00BC15C8" w:rsidP="00BC15C8">
      <w:pPr>
        <w:pStyle w:val="1"/>
        <w:ind w:left="0"/>
        <w:jc w:val="center"/>
        <w:rPr>
          <w:rFonts w:ascii="Calibri" w:hAnsi="Calibri" w:cs="Calibri"/>
          <w:sz w:val="26"/>
          <w:szCs w:val="26"/>
          <w:lang w:val="en-US"/>
        </w:rPr>
      </w:pPr>
      <w:bookmarkStart w:id="21" w:name="_Toc67050801"/>
      <w:r w:rsidRPr="005751B1">
        <w:rPr>
          <w:rFonts w:ascii="Calibri" w:hAnsi="Calibri" w:cs="Calibri"/>
          <w:bCs w:val="0"/>
          <w:color w:val="000000"/>
          <w:sz w:val="26"/>
          <w:szCs w:val="26"/>
          <w:lang w:val="en-US"/>
        </w:rPr>
        <w:t xml:space="preserve">INTERNATIONAL INVESTMENT POSITION </w:t>
      </w:r>
      <w:r w:rsidR="00A36D7A">
        <w:rPr>
          <w:rFonts w:ascii="Calibri" w:hAnsi="Calibri" w:cs="Calibri"/>
          <w:sz w:val="26"/>
          <w:szCs w:val="26"/>
          <w:lang w:val="en-US"/>
        </w:rPr>
        <w:t>FOR</w:t>
      </w:r>
      <w:r w:rsidRPr="005751B1">
        <w:rPr>
          <w:rFonts w:ascii="Calibri" w:hAnsi="Calibri" w:cs="Calibri"/>
          <w:sz w:val="26"/>
          <w:szCs w:val="26"/>
          <w:lang w:val="en-US"/>
        </w:rPr>
        <w:t xml:space="preserve"> 201</w:t>
      </w:r>
      <w:r w:rsidR="00A36D7A">
        <w:rPr>
          <w:rFonts w:ascii="Calibri" w:hAnsi="Calibri" w:cs="Calibri"/>
          <w:sz w:val="26"/>
          <w:szCs w:val="26"/>
          <w:lang w:val="en-US"/>
        </w:rPr>
        <w:t>0</w:t>
      </w:r>
      <w:r w:rsidR="00C6151B" w:rsidRPr="005751B1">
        <w:rPr>
          <w:rFonts w:ascii="Calibri" w:hAnsi="Calibri" w:cs="Calibri"/>
          <w:sz w:val="26"/>
          <w:szCs w:val="26"/>
          <w:lang w:val="en-US"/>
        </w:rPr>
        <w:t xml:space="preserve"> AND </w:t>
      </w:r>
      <w:r w:rsidR="00C6151B" w:rsidRPr="005751B1">
        <w:rPr>
          <w:rFonts w:ascii="Calibri" w:hAnsi="Calibri" w:cs="Calibri"/>
          <w:sz w:val="26"/>
          <w:szCs w:val="26"/>
        </w:rPr>
        <w:t>20</w:t>
      </w:r>
      <w:r w:rsidR="00C6151B" w:rsidRPr="005751B1">
        <w:rPr>
          <w:rFonts w:ascii="Calibri" w:hAnsi="Calibri" w:cs="Calibri"/>
          <w:sz w:val="26"/>
          <w:szCs w:val="26"/>
          <w:lang w:val="en-US"/>
        </w:rPr>
        <w:t>20</w:t>
      </w:r>
      <w:bookmarkEnd w:id="21"/>
    </w:p>
    <w:p w:rsidR="004A50A8" w:rsidRPr="004A50A8" w:rsidRDefault="004A50A8" w:rsidP="00A36D7A">
      <w:pPr>
        <w:ind w:right="-315"/>
        <w:jc w:val="right"/>
        <w:rPr>
          <w:lang w:val="en-US" w:eastAsia="x-none"/>
        </w:rPr>
      </w:pPr>
      <w:r w:rsidRPr="00F45A80">
        <w:rPr>
          <w:i/>
          <w:color w:val="000000"/>
          <w:sz w:val="20"/>
          <w:szCs w:val="20"/>
          <w:lang w:val="en-US"/>
        </w:rPr>
        <w:t>(mln. USD)</w:t>
      </w:r>
    </w:p>
    <w:tbl>
      <w:tblPr>
        <w:tblW w:w="15513" w:type="dxa"/>
        <w:tblInd w:w="-147" w:type="dxa"/>
        <w:tblLook w:val="04A0" w:firstRow="1" w:lastRow="0" w:firstColumn="1" w:lastColumn="0" w:noHBand="0" w:noVBand="1"/>
      </w:tblPr>
      <w:tblGrid>
        <w:gridCol w:w="2269"/>
        <w:gridCol w:w="946"/>
        <w:gridCol w:w="946"/>
        <w:gridCol w:w="946"/>
        <w:gridCol w:w="946"/>
        <w:gridCol w:w="946"/>
        <w:gridCol w:w="946"/>
        <w:gridCol w:w="946"/>
        <w:gridCol w:w="946"/>
        <w:gridCol w:w="946"/>
        <w:gridCol w:w="946"/>
        <w:gridCol w:w="946"/>
        <w:gridCol w:w="946"/>
        <w:gridCol w:w="946"/>
        <w:gridCol w:w="946"/>
      </w:tblGrid>
      <w:tr w:rsidR="00A36D7A" w:rsidRPr="00A36D7A" w:rsidTr="00B152E4">
        <w:trPr>
          <w:trHeight w:val="334"/>
          <w:tblHeader/>
        </w:trPr>
        <w:tc>
          <w:tcPr>
            <w:tcW w:w="2269"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rsidR="00043E99" w:rsidRPr="00A36D7A" w:rsidRDefault="00043E99" w:rsidP="00043E99">
            <w:pPr>
              <w:jc w:val="center"/>
              <w:rPr>
                <w:rFonts w:asciiTheme="minorHAnsi" w:hAnsiTheme="minorHAnsi" w:cstheme="minorHAnsi"/>
                <w:bCs/>
                <w:color w:val="000000"/>
                <w:sz w:val="16"/>
                <w:szCs w:val="16"/>
                <w:lang w:val="en-US"/>
              </w:rPr>
            </w:pPr>
            <w:r w:rsidRPr="00A36D7A">
              <w:rPr>
                <w:rFonts w:asciiTheme="minorHAnsi" w:hAnsiTheme="minorHAnsi" w:cstheme="minorHAnsi"/>
                <w:bCs/>
                <w:color w:val="000000"/>
                <w:sz w:val="16"/>
                <w:szCs w:val="16"/>
                <w:lang w:val="en-US"/>
              </w:rPr>
              <w:t>Indicators</w:t>
            </w:r>
          </w:p>
        </w:tc>
        <w:tc>
          <w:tcPr>
            <w:tcW w:w="946" w:type="dxa"/>
            <w:tcBorders>
              <w:top w:val="single" w:sz="4" w:space="0" w:color="4F81BD"/>
              <w:left w:val="single" w:sz="4" w:space="0" w:color="4F81BD"/>
              <w:bottom w:val="single" w:sz="4" w:space="0" w:color="4F81BD"/>
              <w:right w:val="single" w:sz="4" w:space="0" w:color="4F81BD"/>
            </w:tcBorders>
            <w:vAlign w:val="center"/>
          </w:tcPr>
          <w:p w:rsidR="00043E99" w:rsidRPr="00A36D7A" w:rsidRDefault="00043E99" w:rsidP="00043E99">
            <w:pPr>
              <w:jc w:val="center"/>
              <w:rPr>
                <w:rFonts w:asciiTheme="minorHAnsi" w:hAnsiTheme="minorHAnsi" w:cstheme="minorHAnsi"/>
                <w:bCs/>
                <w:color w:val="000000"/>
                <w:sz w:val="16"/>
                <w:szCs w:val="16"/>
              </w:rPr>
            </w:pPr>
            <w:r w:rsidRPr="00A36D7A">
              <w:rPr>
                <w:rFonts w:asciiTheme="minorHAnsi" w:hAnsiTheme="minorHAnsi" w:cstheme="minorHAnsi"/>
                <w:bCs/>
                <w:color w:val="000000"/>
                <w:sz w:val="16"/>
                <w:szCs w:val="16"/>
              </w:rPr>
              <w:t>31.12.2010</w:t>
            </w:r>
          </w:p>
        </w:tc>
        <w:tc>
          <w:tcPr>
            <w:tcW w:w="946" w:type="dxa"/>
            <w:tcBorders>
              <w:top w:val="single" w:sz="4" w:space="0" w:color="4F81BD"/>
              <w:left w:val="single" w:sz="4" w:space="0" w:color="4F81BD"/>
              <w:bottom w:val="single" w:sz="4" w:space="0" w:color="4F81BD"/>
              <w:right w:val="single" w:sz="4" w:space="0" w:color="4F81BD"/>
            </w:tcBorders>
            <w:vAlign w:val="center"/>
          </w:tcPr>
          <w:p w:rsidR="00043E99" w:rsidRPr="00A36D7A" w:rsidRDefault="00043E99" w:rsidP="00043E99">
            <w:pPr>
              <w:jc w:val="center"/>
              <w:rPr>
                <w:rFonts w:asciiTheme="minorHAnsi" w:hAnsiTheme="minorHAnsi" w:cstheme="minorHAnsi"/>
                <w:bCs/>
                <w:color w:val="000000"/>
                <w:sz w:val="16"/>
                <w:szCs w:val="16"/>
              </w:rPr>
            </w:pPr>
            <w:r w:rsidRPr="00A36D7A">
              <w:rPr>
                <w:rFonts w:asciiTheme="minorHAnsi" w:hAnsiTheme="minorHAnsi" w:cstheme="minorHAnsi"/>
                <w:bCs/>
                <w:color w:val="000000"/>
                <w:sz w:val="16"/>
                <w:szCs w:val="16"/>
              </w:rPr>
              <w:t>31.12.2011</w:t>
            </w:r>
          </w:p>
        </w:tc>
        <w:tc>
          <w:tcPr>
            <w:tcW w:w="946" w:type="dxa"/>
            <w:tcBorders>
              <w:top w:val="single" w:sz="4" w:space="0" w:color="4F81BD"/>
              <w:left w:val="single" w:sz="4" w:space="0" w:color="4F81BD"/>
              <w:bottom w:val="single" w:sz="4" w:space="0" w:color="4F81BD"/>
              <w:right w:val="single" w:sz="4" w:space="0" w:color="4F81BD"/>
            </w:tcBorders>
            <w:vAlign w:val="center"/>
          </w:tcPr>
          <w:p w:rsidR="00043E99" w:rsidRPr="00A36D7A" w:rsidRDefault="00043E99" w:rsidP="00043E99">
            <w:pPr>
              <w:jc w:val="center"/>
              <w:rPr>
                <w:rFonts w:asciiTheme="minorHAnsi" w:hAnsiTheme="minorHAnsi" w:cstheme="minorHAnsi"/>
                <w:bCs/>
                <w:color w:val="000000"/>
                <w:sz w:val="16"/>
                <w:szCs w:val="16"/>
              </w:rPr>
            </w:pPr>
            <w:r w:rsidRPr="00A36D7A">
              <w:rPr>
                <w:rFonts w:asciiTheme="minorHAnsi" w:hAnsiTheme="minorHAnsi" w:cstheme="minorHAnsi"/>
                <w:bCs/>
                <w:color w:val="000000"/>
                <w:sz w:val="16"/>
                <w:szCs w:val="16"/>
              </w:rPr>
              <w:t>31.12.2012</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rsidR="00043E99" w:rsidRPr="00A36D7A" w:rsidRDefault="00043E99" w:rsidP="00043E99">
            <w:pPr>
              <w:jc w:val="center"/>
              <w:rPr>
                <w:rFonts w:asciiTheme="minorHAnsi" w:hAnsiTheme="minorHAnsi" w:cstheme="minorHAnsi"/>
                <w:bCs/>
                <w:color w:val="000000"/>
                <w:sz w:val="16"/>
                <w:szCs w:val="16"/>
              </w:rPr>
            </w:pPr>
            <w:r w:rsidRPr="00A36D7A">
              <w:rPr>
                <w:rFonts w:asciiTheme="minorHAnsi" w:hAnsiTheme="minorHAnsi" w:cstheme="minorHAnsi"/>
                <w:bCs/>
                <w:color w:val="000000"/>
                <w:sz w:val="16"/>
                <w:szCs w:val="16"/>
              </w:rPr>
              <w:t>31.12.2013</w:t>
            </w:r>
          </w:p>
        </w:tc>
        <w:tc>
          <w:tcPr>
            <w:tcW w:w="946" w:type="dxa"/>
            <w:tcBorders>
              <w:top w:val="single" w:sz="4" w:space="0" w:color="4F81BD"/>
              <w:left w:val="single" w:sz="4" w:space="0" w:color="4F81BD"/>
              <w:bottom w:val="single" w:sz="4" w:space="0" w:color="4F81BD"/>
              <w:right w:val="single" w:sz="4" w:space="0" w:color="4F81BD"/>
            </w:tcBorders>
            <w:vAlign w:val="center"/>
          </w:tcPr>
          <w:p w:rsidR="00043E99" w:rsidRPr="00A36D7A" w:rsidRDefault="00043E99" w:rsidP="00043E99">
            <w:pPr>
              <w:jc w:val="center"/>
              <w:rPr>
                <w:rFonts w:asciiTheme="minorHAnsi" w:hAnsiTheme="minorHAnsi" w:cstheme="minorHAnsi"/>
                <w:bCs/>
                <w:color w:val="000000"/>
                <w:sz w:val="16"/>
                <w:szCs w:val="16"/>
              </w:rPr>
            </w:pPr>
            <w:r w:rsidRPr="00A36D7A">
              <w:rPr>
                <w:rFonts w:asciiTheme="minorHAnsi" w:hAnsiTheme="minorHAnsi" w:cstheme="minorHAnsi"/>
                <w:bCs/>
                <w:color w:val="000000"/>
                <w:sz w:val="16"/>
                <w:szCs w:val="16"/>
              </w:rPr>
              <w:t>31.12.2014</w:t>
            </w:r>
          </w:p>
        </w:tc>
        <w:tc>
          <w:tcPr>
            <w:tcW w:w="946" w:type="dxa"/>
            <w:tcBorders>
              <w:top w:val="single" w:sz="4" w:space="0" w:color="4F81BD"/>
              <w:left w:val="single" w:sz="4" w:space="0" w:color="4F81BD"/>
              <w:bottom w:val="single" w:sz="4" w:space="0" w:color="4F81BD"/>
              <w:right w:val="single" w:sz="4" w:space="0" w:color="4F81BD"/>
            </w:tcBorders>
            <w:vAlign w:val="center"/>
          </w:tcPr>
          <w:p w:rsidR="00043E99" w:rsidRPr="00A36D7A" w:rsidRDefault="00043E99" w:rsidP="00043E99">
            <w:pPr>
              <w:jc w:val="center"/>
              <w:rPr>
                <w:rFonts w:asciiTheme="minorHAnsi" w:hAnsiTheme="minorHAnsi" w:cstheme="minorHAnsi"/>
                <w:bCs/>
                <w:color w:val="000000"/>
                <w:sz w:val="16"/>
                <w:szCs w:val="16"/>
              </w:rPr>
            </w:pPr>
            <w:r w:rsidRPr="00A36D7A">
              <w:rPr>
                <w:rFonts w:asciiTheme="minorHAnsi" w:hAnsiTheme="minorHAnsi" w:cstheme="minorHAnsi"/>
                <w:bCs/>
                <w:color w:val="000000"/>
                <w:sz w:val="16"/>
                <w:szCs w:val="16"/>
              </w:rPr>
              <w:t>31.12.2015</w:t>
            </w:r>
          </w:p>
        </w:tc>
        <w:tc>
          <w:tcPr>
            <w:tcW w:w="946" w:type="dxa"/>
            <w:tcBorders>
              <w:top w:val="single" w:sz="4" w:space="0" w:color="4F81BD"/>
              <w:left w:val="single" w:sz="4" w:space="0" w:color="4F81BD"/>
              <w:bottom w:val="single" w:sz="4" w:space="0" w:color="4F81BD"/>
              <w:right w:val="single" w:sz="4" w:space="0" w:color="4F81BD"/>
            </w:tcBorders>
            <w:vAlign w:val="center"/>
          </w:tcPr>
          <w:p w:rsidR="00043E99" w:rsidRPr="00A36D7A" w:rsidRDefault="00043E99" w:rsidP="00043E99">
            <w:pPr>
              <w:jc w:val="center"/>
              <w:rPr>
                <w:rFonts w:asciiTheme="minorHAnsi" w:hAnsiTheme="minorHAnsi" w:cstheme="minorHAnsi"/>
                <w:bCs/>
                <w:color w:val="000000"/>
                <w:sz w:val="16"/>
                <w:szCs w:val="16"/>
              </w:rPr>
            </w:pPr>
            <w:r w:rsidRPr="00A36D7A">
              <w:rPr>
                <w:rFonts w:asciiTheme="minorHAnsi" w:hAnsiTheme="minorHAnsi" w:cstheme="minorHAnsi"/>
                <w:bCs/>
                <w:color w:val="000000"/>
                <w:sz w:val="16"/>
                <w:szCs w:val="16"/>
              </w:rPr>
              <w:t>31.12.2016</w:t>
            </w:r>
          </w:p>
        </w:tc>
        <w:tc>
          <w:tcPr>
            <w:tcW w:w="946" w:type="dxa"/>
            <w:tcBorders>
              <w:top w:val="single" w:sz="4" w:space="0" w:color="4F81BD"/>
              <w:left w:val="single" w:sz="4" w:space="0" w:color="4F81BD"/>
              <w:bottom w:val="single" w:sz="4" w:space="0" w:color="4F81BD"/>
              <w:right w:val="single" w:sz="4" w:space="0" w:color="4F81BD"/>
            </w:tcBorders>
            <w:vAlign w:val="center"/>
          </w:tcPr>
          <w:p w:rsidR="00043E99" w:rsidRPr="00A36D7A" w:rsidRDefault="00043E99" w:rsidP="00043E99">
            <w:pPr>
              <w:jc w:val="center"/>
              <w:rPr>
                <w:rFonts w:asciiTheme="minorHAnsi" w:hAnsiTheme="minorHAnsi" w:cstheme="minorHAnsi"/>
                <w:bCs/>
                <w:color w:val="000000"/>
                <w:sz w:val="16"/>
                <w:szCs w:val="16"/>
              </w:rPr>
            </w:pPr>
            <w:r w:rsidRPr="00A36D7A">
              <w:rPr>
                <w:rFonts w:asciiTheme="minorHAnsi" w:hAnsiTheme="minorHAnsi" w:cstheme="minorHAnsi"/>
                <w:bCs/>
                <w:color w:val="000000"/>
                <w:sz w:val="16"/>
                <w:szCs w:val="16"/>
              </w:rPr>
              <w:t>31.12.2017</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rsidR="00043E99" w:rsidRPr="00A36D7A" w:rsidRDefault="00043E99" w:rsidP="00043E99">
            <w:pPr>
              <w:jc w:val="center"/>
              <w:rPr>
                <w:rFonts w:asciiTheme="minorHAnsi" w:hAnsiTheme="minorHAnsi" w:cstheme="minorHAnsi"/>
                <w:bCs/>
                <w:color w:val="000000"/>
                <w:sz w:val="16"/>
                <w:szCs w:val="16"/>
              </w:rPr>
            </w:pPr>
            <w:r w:rsidRPr="00A36D7A">
              <w:rPr>
                <w:rFonts w:asciiTheme="minorHAnsi" w:hAnsiTheme="minorHAnsi" w:cstheme="minorHAnsi"/>
                <w:bCs/>
                <w:color w:val="000000"/>
                <w:sz w:val="16"/>
                <w:szCs w:val="16"/>
              </w:rPr>
              <w:t>31.12.2018</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rsidR="00043E99" w:rsidRPr="00A36D7A" w:rsidRDefault="00043E99" w:rsidP="00043E99">
            <w:pPr>
              <w:jc w:val="center"/>
              <w:rPr>
                <w:rFonts w:asciiTheme="minorHAnsi" w:hAnsiTheme="minorHAnsi" w:cstheme="minorHAnsi"/>
                <w:bCs/>
                <w:color w:val="000000"/>
                <w:sz w:val="16"/>
                <w:szCs w:val="16"/>
              </w:rPr>
            </w:pPr>
            <w:r w:rsidRPr="00A36D7A">
              <w:rPr>
                <w:rFonts w:asciiTheme="minorHAnsi" w:hAnsiTheme="minorHAnsi" w:cstheme="minorHAnsi"/>
                <w:bCs/>
                <w:color w:val="000000"/>
                <w:sz w:val="16"/>
                <w:szCs w:val="16"/>
              </w:rPr>
              <w:t>31.12.2019</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rsidR="00043E99" w:rsidRPr="00A36D7A" w:rsidRDefault="00043E99" w:rsidP="00043E99">
            <w:pPr>
              <w:jc w:val="center"/>
              <w:rPr>
                <w:rFonts w:asciiTheme="minorHAnsi" w:hAnsiTheme="minorHAnsi" w:cstheme="minorHAnsi"/>
                <w:bCs/>
                <w:color w:val="000000"/>
                <w:sz w:val="16"/>
                <w:szCs w:val="16"/>
              </w:rPr>
            </w:pPr>
            <w:r w:rsidRPr="00A36D7A">
              <w:rPr>
                <w:rFonts w:asciiTheme="minorHAnsi" w:hAnsiTheme="minorHAnsi" w:cstheme="minorHAnsi"/>
                <w:bCs/>
                <w:color w:val="000000"/>
                <w:sz w:val="16"/>
                <w:szCs w:val="16"/>
              </w:rPr>
              <w:t>31.03.2020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rsidR="00043E99" w:rsidRPr="00A36D7A" w:rsidRDefault="00043E99" w:rsidP="00043E99">
            <w:pPr>
              <w:jc w:val="center"/>
              <w:rPr>
                <w:rFonts w:asciiTheme="minorHAnsi" w:hAnsiTheme="minorHAnsi" w:cstheme="minorHAnsi"/>
                <w:bCs/>
                <w:color w:val="000000"/>
                <w:sz w:val="16"/>
                <w:szCs w:val="16"/>
              </w:rPr>
            </w:pPr>
            <w:r w:rsidRPr="00A36D7A">
              <w:rPr>
                <w:rFonts w:asciiTheme="minorHAnsi" w:hAnsiTheme="minorHAnsi" w:cstheme="minorHAnsi"/>
                <w:bCs/>
                <w:color w:val="000000"/>
                <w:sz w:val="16"/>
                <w:szCs w:val="16"/>
              </w:rPr>
              <w:t>30.06.2020</w:t>
            </w:r>
          </w:p>
        </w:tc>
        <w:tc>
          <w:tcPr>
            <w:tcW w:w="946" w:type="dxa"/>
            <w:tcBorders>
              <w:top w:val="single" w:sz="4" w:space="0" w:color="4F81BD"/>
              <w:left w:val="single" w:sz="4" w:space="0" w:color="4F81BD"/>
              <w:bottom w:val="single" w:sz="4" w:space="0" w:color="4F81BD"/>
              <w:right w:val="single" w:sz="4" w:space="0" w:color="4F81BD"/>
            </w:tcBorders>
            <w:vAlign w:val="center"/>
          </w:tcPr>
          <w:p w:rsidR="00043E99" w:rsidRPr="00A36D7A" w:rsidRDefault="00712E78" w:rsidP="00043E99">
            <w:pPr>
              <w:jc w:val="center"/>
              <w:rPr>
                <w:rFonts w:asciiTheme="minorHAnsi" w:hAnsiTheme="minorHAnsi" w:cstheme="minorHAnsi"/>
                <w:bCs/>
                <w:color w:val="000000"/>
                <w:sz w:val="16"/>
                <w:szCs w:val="16"/>
              </w:rPr>
            </w:pPr>
            <w:r w:rsidRPr="00A36D7A">
              <w:rPr>
                <w:rFonts w:asciiTheme="minorHAnsi" w:hAnsiTheme="minorHAnsi" w:cstheme="minorHAnsi"/>
                <w:bCs/>
                <w:color w:val="000000"/>
                <w:sz w:val="16"/>
                <w:szCs w:val="16"/>
              </w:rPr>
              <w:t>30.09.2020</w:t>
            </w:r>
          </w:p>
        </w:tc>
        <w:tc>
          <w:tcPr>
            <w:tcW w:w="946" w:type="dxa"/>
            <w:tcBorders>
              <w:top w:val="single" w:sz="4" w:space="0" w:color="4F81BD"/>
              <w:left w:val="single" w:sz="4" w:space="0" w:color="4F81BD"/>
              <w:bottom w:val="single" w:sz="4" w:space="0" w:color="4F81BD"/>
              <w:right w:val="single" w:sz="4" w:space="0" w:color="4F81BD"/>
            </w:tcBorders>
            <w:vAlign w:val="center"/>
          </w:tcPr>
          <w:p w:rsidR="00043E99" w:rsidRPr="00A36D7A" w:rsidRDefault="00043E99" w:rsidP="00712E78">
            <w:pPr>
              <w:jc w:val="center"/>
              <w:rPr>
                <w:rFonts w:asciiTheme="minorHAnsi" w:hAnsiTheme="minorHAnsi" w:cstheme="minorHAnsi"/>
                <w:bCs/>
                <w:color w:val="000000"/>
                <w:sz w:val="16"/>
                <w:szCs w:val="16"/>
              </w:rPr>
            </w:pPr>
            <w:r w:rsidRPr="00A36D7A">
              <w:rPr>
                <w:rFonts w:asciiTheme="minorHAnsi" w:hAnsiTheme="minorHAnsi" w:cstheme="minorHAnsi"/>
                <w:bCs/>
                <w:color w:val="000000"/>
                <w:sz w:val="16"/>
                <w:szCs w:val="16"/>
              </w:rPr>
              <w:t>3</w:t>
            </w:r>
            <w:r w:rsidR="00712E78">
              <w:rPr>
                <w:rFonts w:asciiTheme="minorHAnsi" w:hAnsiTheme="minorHAnsi" w:cstheme="minorHAnsi"/>
                <w:bCs/>
                <w:color w:val="000000"/>
                <w:sz w:val="16"/>
                <w:szCs w:val="16"/>
                <w:lang w:val="en-US"/>
              </w:rPr>
              <w:t>1</w:t>
            </w:r>
            <w:r w:rsidRPr="00A36D7A">
              <w:rPr>
                <w:rFonts w:asciiTheme="minorHAnsi" w:hAnsiTheme="minorHAnsi" w:cstheme="minorHAnsi"/>
                <w:bCs/>
                <w:color w:val="000000"/>
                <w:sz w:val="16"/>
                <w:szCs w:val="16"/>
              </w:rPr>
              <w:t>.</w:t>
            </w:r>
            <w:r w:rsidR="00712E78">
              <w:rPr>
                <w:rFonts w:asciiTheme="minorHAnsi" w:hAnsiTheme="minorHAnsi" w:cstheme="minorHAnsi"/>
                <w:bCs/>
                <w:color w:val="000000"/>
                <w:sz w:val="16"/>
                <w:szCs w:val="16"/>
                <w:lang w:val="en-US"/>
              </w:rPr>
              <w:t>12</w:t>
            </w:r>
            <w:r w:rsidRPr="00A36D7A">
              <w:rPr>
                <w:rFonts w:asciiTheme="minorHAnsi" w:hAnsiTheme="minorHAnsi" w:cstheme="minorHAnsi"/>
                <w:bCs/>
                <w:color w:val="000000"/>
                <w:sz w:val="16"/>
                <w:szCs w:val="16"/>
              </w:rPr>
              <w:t>.2020</w:t>
            </w:r>
          </w:p>
        </w:tc>
      </w:tr>
      <w:tr w:rsidR="00A36D7A" w:rsidRPr="00A36D7A" w:rsidTr="00A36D7A">
        <w:trPr>
          <w:trHeight w:val="227"/>
        </w:trPr>
        <w:tc>
          <w:tcPr>
            <w:tcW w:w="2269" w:type="dxa"/>
            <w:tcBorders>
              <w:top w:val="nil"/>
              <w:left w:val="single" w:sz="4" w:space="0" w:color="4F81BD"/>
              <w:bottom w:val="single" w:sz="4" w:space="0" w:color="4F81BD"/>
              <w:right w:val="single" w:sz="4" w:space="0" w:color="4F81BD"/>
            </w:tcBorders>
            <w:shd w:val="clear" w:color="auto" w:fill="BDD6EE" w:themeFill="accent1" w:themeFillTint="66"/>
            <w:vAlign w:val="center"/>
            <w:hideMark/>
          </w:tcPr>
          <w:p w:rsidR="00A36D7A" w:rsidRPr="00A36D7A" w:rsidRDefault="00A36D7A" w:rsidP="00A36D7A">
            <w:pPr>
              <w:rPr>
                <w:rFonts w:asciiTheme="minorHAnsi" w:hAnsiTheme="minorHAnsi" w:cstheme="minorHAnsi"/>
                <w:b/>
                <w:bCs/>
                <w:color w:val="000000"/>
                <w:sz w:val="16"/>
                <w:szCs w:val="16"/>
                <w:lang w:val="en-US"/>
              </w:rPr>
            </w:pPr>
            <w:r w:rsidRPr="00A36D7A">
              <w:rPr>
                <w:rFonts w:asciiTheme="minorHAnsi" w:hAnsiTheme="minorHAnsi" w:cstheme="minorHAnsi"/>
                <w:b/>
                <w:bCs/>
                <w:color w:val="000000"/>
                <w:sz w:val="16"/>
                <w:szCs w:val="16"/>
                <w:lang w:val="en-US"/>
              </w:rPr>
              <w:t>Assets</w:t>
            </w:r>
          </w:p>
        </w:tc>
        <w:tc>
          <w:tcPr>
            <w:tcW w:w="946" w:type="dxa"/>
            <w:tcBorders>
              <w:top w:val="single" w:sz="4" w:space="0" w:color="4F81BD"/>
              <w:left w:val="nil"/>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21 824,0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26 985,4</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31 892,5</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31 648,8</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36 808,6</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38 955,2</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44 092,5</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48 608,9</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49 149,5</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54 883,8</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56 563,2</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59 068,1</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62 511,9</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65 917,6</w:t>
            </w:r>
          </w:p>
        </w:tc>
      </w:tr>
      <w:tr w:rsidR="00A36D7A" w:rsidRPr="00A36D7A" w:rsidTr="00A36D7A">
        <w:trPr>
          <w:trHeight w:val="227"/>
        </w:trPr>
        <w:tc>
          <w:tcPr>
            <w:tcW w:w="2269" w:type="dxa"/>
            <w:tcBorders>
              <w:top w:val="nil"/>
              <w:left w:val="single" w:sz="4" w:space="0" w:color="4F81BD"/>
              <w:bottom w:val="single" w:sz="4" w:space="0" w:color="4F81BD"/>
              <w:right w:val="single" w:sz="4" w:space="0" w:color="4F81BD"/>
            </w:tcBorders>
            <w:shd w:val="clear" w:color="auto" w:fill="BDD6EE" w:themeFill="accent1" w:themeFillTint="66"/>
            <w:vAlign w:val="center"/>
            <w:hideMark/>
          </w:tcPr>
          <w:p w:rsidR="00A36D7A" w:rsidRPr="00A36D7A" w:rsidRDefault="00A36D7A" w:rsidP="00A36D7A">
            <w:pPr>
              <w:rPr>
                <w:rFonts w:asciiTheme="minorHAnsi" w:hAnsiTheme="minorHAnsi" w:cstheme="minorHAnsi"/>
                <w:b/>
                <w:color w:val="000000"/>
                <w:sz w:val="16"/>
                <w:szCs w:val="16"/>
                <w:lang w:val="en-US"/>
              </w:rPr>
            </w:pPr>
            <w:r w:rsidRPr="00A36D7A">
              <w:rPr>
                <w:rFonts w:asciiTheme="minorHAnsi" w:hAnsiTheme="minorHAnsi" w:cstheme="minorHAnsi"/>
                <w:b/>
                <w:color w:val="000000"/>
                <w:sz w:val="16"/>
                <w:szCs w:val="16"/>
                <w:lang w:val="en-US"/>
              </w:rPr>
              <w:t xml:space="preserve">Direct investments </w:t>
            </w:r>
          </w:p>
        </w:tc>
        <w:tc>
          <w:tcPr>
            <w:tcW w:w="946" w:type="dxa"/>
            <w:tcBorders>
              <w:top w:val="single" w:sz="4" w:space="0" w:color="4F81BD"/>
              <w:left w:val="nil"/>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151,6</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155,2</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158,3</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162,6</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167,0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171,61</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177,8</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186,9</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191,14</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194,5</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194,4</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194,5</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194,9</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195,6</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Equity instruments and investment fund shares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13,3</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14,5</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15,1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17,0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18,9</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21,02</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24,7</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27,9</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30,46</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31,3</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30,6</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30,1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29,9</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29,9</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Investments of direct investor in direct investment enterprises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13,3</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14,5</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15,1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17,0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18,9</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21,02</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24,7</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27,9</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30,46</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31,3</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30,6</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30,1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29,9</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29,9</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Investments of direct investment enterprises in direct investor  (reverse investment)</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Investments between fellow enterprises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A36D7A">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Debt instruments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138,2</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140,7</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143,2</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145,6</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148,1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150,59</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153,1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159,0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160,68</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163,2</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163,8</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164,4</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165,1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165,7</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Investments of direct investor in direct investment enterprises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3,4</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2,68</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2,7</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2,7</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2,7</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2,7</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2,7</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Investments of direct investment enterprises in  direct investor  (reverse investment)</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Investments between fellow enterprises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138,2</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140,7</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143,2</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145,6</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148,1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150,59</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153,1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155,5</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158,00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160,5</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161,1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161,7</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162,3</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162,9</w:t>
            </w:r>
          </w:p>
        </w:tc>
      </w:tr>
      <w:tr w:rsidR="00A36D7A" w:rsidRPr="00A36D7A" w:rsidTr="00A36D7A">
        <w:trPr>
          <w:trHeight w:val="227"/>
        </w:trPr>
        <w:tc>
          <w:tcPr>
            <w:tcW w:w="2269" w:type="dxa"/>
            <w:tcBorders>
              <w:top w:val="nil"/>
              <w:left w:val="single" w:sz="4" w:space="0" w:color="4F81BD"/>
              <w:bottom w:val="single" w:sz="4" w:space="0" w:color="4F81BD"/>
              <w:right w:val="single" w:sz="4" w:space="0" w:color="4F81BD"/>
            </w:tcBorders>
            <w:shd w:val="clear" w:color="auto" w:fill="BDD6EE" w:themeFill="accent1" w:themeFillTint="66"/>
            <w:vAlign w:val="center"/>
            <w:hideMark/>
          </w:tcPr>
          <w:p w:rsidR="00A36D7A" w:rsidRPr="00A36D7A" w:rsidRDefault="00A36D7A" w:rsidP="00A36D7A">
            <w:pPr>
              <w:rPr>
                <w:rFonts w:asciiTheme="minorHAnsi" w:hAnsiTheme="minorHAnsi" w:cstheme="minorHAnsi"/>
                <w:b/>
                <w:color w:val="000000"/>
                <w:sz w:val="16"/>
                <w:szCs w:val="16"/>
                <w:lang w:val="en-US"/>
              </w:rPr>
            </w:pPr>
            <w:r w:rsidRPr="00A36D7A">
              <w:rPr>
                <w:rFonts w:asciiTheme="minorHAnsi" w:hAnsiTheme="minorHAnsi" w:cstheme="minorHAnsi"/>
                <w:b/>
                <w:color w:val="000000"/>
                <w:sz w:val="16"/>
                <w:szCs w:val="16"/>
                <w:lang w:val="en-US"/>
              </w:rPr>
              <w:t>Portfolio investments</w:t>
            </w:r>
          </w:p>
        </w:tc>
        <w:tc>
          <w:tcPr>
            <w:tcW w:w="946" w:type="dxa"/>
            <w:tcBorders>
              <w:top w:val="single" w:sz="4" w:space="0" w:color="4F81BD"/>
              <w:left w:val="nil"/>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1,13</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1,2</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2,6</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2,53</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2,6</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2,5</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2,4</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2,3</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2,4</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25"/>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Equity instruments and investment fund shares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1,13</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1,2</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2,6</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2,53</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2,6</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2,5</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2,4</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2,3</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2,4</w:t>
            </w:r>
          </w:p>
        </w:tc>
      </w:tr>
      <w:tr w:rsidR="00A36D7A" w:rsidRPr="00A36D7A" w:rsidTr="00A36D7A">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Central Bank</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Deposit enterprises, excluding the Central Bank</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1,13</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1,2</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1,2</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1,14</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1,2</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r>
      <w:tr w:rsidR="00A36D7A" w:rsidRPr="00A36D7A" w:rsidTr="00A36D7A">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General government</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A36D7A">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Other sectors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1,2</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1,2</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1,2</w:t>
            </w:r>
          </w:p>
        </w:tc>
      </w:tr>
      <w:tr w:rsidR="00A36D7A" w:rsidRPr="00A36D7A" w:rsidTr="00A36D7A">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309"/>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Other financial institutions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A36D7A">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 xml:space="preserve">Debt securities </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A36D7A">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Central Bank</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Deposit enterprises, excluding the Central Bank</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A36D7A">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General government</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A36D7A">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Other sectors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309"/>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Other financial institutions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BDD6EE" w:themeFill="accent1" w:themeFillTint="66"/>
            <w:vAlign w:val="center"/>
            <w:hideMark/>
          </w:tcPr>
          <w:p w:rsidR="00A36D7A" w:rsidRPr="00A36D7A" w:rsidRDefault="00A36D7A" w:rsidP="00A36D7A">
            <w:pPr>
              <w:rPr>
                <w:rFonts w:asciiTheme="minorHAnsi" w:hAnsiTheme="minorHAnsi" w:cstheme="minorHAnsi"/>
                <w:b/>
                <w:color w:val="000000"/>
                <w:sz w:val="16"/>
                <w:szCs w:val="16"/>
                <w:lang w:val="en-US"/>
              </w:rPr>
            </w:pPr>
            <w:r w:rsidRPr="00A36D7A">
              <w:rPr>
                <w:rFonts w:asciiTheme="minorHAnsi" w:hAnsiTheme="minorHAnsi" w:cstheme="minorHAnsi"/>
                <w:b/>
                <w:color w:val="000000"/>
                <w:sz w:val="16"/>
                <w:szCs w:val="16"/>
                <w:lang w:val="en-US"/>
              </w:rPr>
              <w:lastRenderedPageBreak/>
              <w:t xml:space="preserve">Financial derivatives (other than reserves) and employee stock options </w:t>
            </w:r>
          </w:p>
        </w:tc>
        <w:tc>
          <w:tcPr>
            <w:tcW w:w="946" w:type="dxa"/>
            <w:tcBorders>
              <w:top w:val="single" w:sz="4" w:space="0" w:color="4F81BD"/>
              <w:left w:val="nil"/>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BDD6EE" w:themeFill="accent1" w:themeFillTint="66"/>
            <w:vAlign w:val="center"/>
            <w:hideMark/>
          </w:tcPr>
          <w:p w:rsidR="00A36D7A" w:rsidRPr="00A36D7A" w:rsidRDefault="00A36D7A" w:rsidP="00A36D7A">
            <w:pPr>
              <w:rPr>
                <w:rFonts w:asciiTheme="minorHAnsi" w:hAnsiTheme="minorHAnsi" w:cstheme="minorHAnsi"/>
                <w:b/>
                <w:color w:val="000000"/>
                <w:sz w:val="16"/>
                <w:szCs w:val="16"/>
                <w:lang w:val="en-US"/>
              </w:rPr>
            </w:pPr>
            <w:r w:rsidRPr="00A36D7A">
              <w:rPr>
                <w:rFonts w:asciiTheme="minorHAnsi" w:hAnsiTheme="minorHAnsi" w:cstheme="minorHAnsi"/>
                <w:b/>
                <w:color w:val="000000"/>
                <w:sz w:val="16"/>
                <w:szCs w:val="16"/>
                <w:lang w:val="en-US"/>
              </w:rPr>
              <w:t xml:space="preserve">Other investments </w:t>
            </w:r>
          </w:p>
        </w:tc>
        <w:tc>
          <w:tcPr>
            <w:tcW w:w="946" w:type="dxa"/>
            <w:tcBorders>
              <w:top w:val="single" w:sz="4" w:space="0" w:color="4F81BD"/>
              <w:left w:val="nil"/>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7 456,2</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8 812,8</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9 606,5</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9 003,6</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12 500,8</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14 475,68</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17 484,8</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20 342,5</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21 874,41</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25 514,6</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26 106,1</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26 539,5</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28 854,4</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30 815,6</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 xml:space="preserve">Other equity instruments </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0,3</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0,3</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0,3</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0,3</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0,3</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Debt instruments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7 456,2</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8 812,8</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9 606,5</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9 003,6</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12 500,8</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14 475,68</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17 484,8</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20 342,5</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21 874,41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25 514,3</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26 105,7</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26 539,2</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28 854,1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30 815,3</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Central Bank</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Deposit enterprises, excluding the Central Bank</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1 718,2</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2 091,3</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2 435,4</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2 478,3</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2 186,5</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1 882,34</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2 535,1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2 934,0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2 161,47</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2 102,9</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2 170,7</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1 976,6</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1 738,4</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2 738,3</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General government</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38,6</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33,3</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28,1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22,6</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11,9</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3,41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2,9</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4,2</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2,9</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3,1</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Other sectors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5 699,3</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6 688,1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7 143,0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6 502,7</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10 302,3</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12 589,93</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14 946,7</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17 404,3</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19 708,94</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23 408,4</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23 933,0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24 560,6</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27 114,5</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28 073,9</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309"/>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Other financial institutions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10,01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10,03</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0,6</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BDD6EE" w:themeFill="accent1" w:themeFillTint="66"/>
            <w:vAlign w:val="center"/>
            <w:hideMark/>
          </w:tcPr>
          <w:p w:rsidR="00A36D7A" w:rsidRPr="00A36D7A" w:rsidRDefault="00A36D7A" w:rsidP="00A36D7A">
            <w:pPr>
              <w:rPr>
                <w:rFonts w:asciiTheme="minorHAnsi" w:hAnsiTheme="minorHAnsi" w:cstheme="minorHAnsi"/>
                <w:b/>
                <w:color w:val="000000"/>
                <w:sz w:val="16"/>
                <w:szCs w:val="16"/>
                <w:lang w:val="en-US"/>
              </w:rPr>
            </w:pPr>
            <w:r w:rsidRPr="00A36D7A">
              <w:rPr>
                <w:rFonts w:asciiTheme="minorHAnsi" w:hAnsiTheme="minorHAnsi" w:cstheme="minorHAnsi"/>
                <w:b/>
                <w:color w:val="000000"/>
                <w:sz w:val="16"/>
                <w:szCs w:val="16"/>
                <w:lang w:val="en-US"/>
              </w:rPr>
              <w:t xml:space="preserve">Reserve assets </w:t>
            </w:r>
          </w:p>
        </w:tc>
        <w:tc>
          <w:tcPr>
            <w:tcW w:w="946" w:type="dxa"/>
            <w:tcBorders>
              <w:top w:val="single" w:sz="4" w:space="0" w:color="4F81BD"/>
              <w:left w:val="nil"/>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14 215,1</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18 016,3</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22 126,6</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22 481,4</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24 139,6</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24 306,79</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26 428,8</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28 076,9</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27 081,40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29 172,1</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30 260,3</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32 331,7</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33 460,2</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34 904,0</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 xml:space="preserve">Monetary gold </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3 206,2</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4 516,7</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8 719,8</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8 398,9</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10 592,9</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10 640,67</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12 256,6</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14 034,1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14 640,75</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16 329,2</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17 449,6</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19 482,3</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18 599,8</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20 216,7</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Special drawing rights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405,4</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404,2</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404,6</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409,8</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385,5</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368,71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357,7</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378,9</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370,09</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368,0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363,2</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364,9</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372,8</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383,3</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 xml:space="preserve">Reserve position in IMF </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Other reserve assets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10 603,5</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13 095,5</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13 002,2</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13 672,7</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13 161,3</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13 297,41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13 814,5</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13 663,9</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12 070,56</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12 474,9</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12 447,5</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12 484,5</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14 487,6</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14 303,9</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BDD6EE" w:themeFill="accent1" w:themeFillTint="66"/>
            <w:vAlign w:val="center"/>
            <w:hideMark/>
          </w:tcPr>
          <w:p w:rsidR="00A36D7A" w:rsidRPr="00A36D7A" w:rsidRDefault="00A36D7A" w:rsidP="00A36D7A">
            <w:pPr>
              <w:rPr>
                <w:rFonts w:asciiTheme="minorHAnsi" w:hAnsiTheme="minorHAnsi" w:cstheme="minorHAnsi"/>
                <w:b/>
                <w:bCs/>
                <w:color w:val="000000"/>
                <w:sz w:val="16"/>
                <w:szCs w:val="16"/>
                <w:lang w:val="en-US"/>
              </w:rPr>
            </w:pPr>
            <w:r w:rsidRPr="00A36D7A">
              <w:rPr>
                <w:rFonts w:asciiTheme="minorHAnsi" w:hAnsiTheme="minorHAnsi" w:cstheme="minorHAnsi"/>
                <w:b/>
                <w:bCs/>
                <w:color w:val="000000"/>
                <w:sz w:val="16"/>
                <w:szCs w:val="16"/>
                <w:lang w:val="en-US"/>
              </w:rPr>
              <w:t>Liabilities</w:t>
            </w:r>
          </w:p>
        </w:tc>
        <w:tc>
          <w:tcPr>
            <w:tcW w:w="946" w:type="dxa"/>
            <w:tcBorders>
              <w:top w:val="single" w:sz="4" w:space="0" w:color="4F81BD"/>
              <w:left w:val="nil"/>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9 980,4</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11 369,4</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12 430,7</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14 608,4</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17 161,2</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19 965,9</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22 715,0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25 986,8</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27 069,6</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35 084,3</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35 976,7</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38 050,5</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40 267,2</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45 550,5</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BDD6EE" w:themeFill="accent1" w:themeFillTint="66"/>
            <w:vAlign w:val="center"/>
            <w:hideMark/>
          </w:tcPr>
          <w:p w:rsidR="00A36D7A" w:rsidRPr="00A36D7A" w:rsidRDefault="00A36D7A" w:rsidP="00A36D7A">
            <w:pPr>
              <w:rPr>
                <w:rFonts w:asciiTheme="minorHAnsi" w:hAnsiTheme="minorHAnsi" w:cstheme="minorHAnsi"/>
                <w:b/>
                <w:color w:val="000000"/>
                <w:sz w:val="16"/>
                <w:szCs w:val="16"/>
                <w:lang w:val="en-US"/>
              </w:rPr>
            </w:pPr>
            <w:r w:rsidRPr="00A36D7A">
              <w:rPr>
                <w:rFonts w:asciiTheme="minorHAnsi" w:hAnsiTheme="minorHAnsi" w:cstheme="minorHAnsi"/>
                <w:b/>
                <w:color w:val="000000"/>
                <w:sz w:val="16"/>
                <w:szCs w:val="16"/>
                <w:lang w:val="en-US"/>
              </w:rPr>
              <w:t xml:space="preserve">Direct investments </w:t>
            </w:r>
          </w:p>
        </w:tc>
        <w:tc>
          <w:tcPr>
            <w:tcW w:w="946" w:type="dxa"/>
            <w:tcBorders>
              <w:top w:val="single" w:sz="4" w:space="0" w:color="4F81BD"/>
              <w:left w:val="nil"/>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2 563,9</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4 124,4</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4 740,4</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5 408,0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6 159,7</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7 135,8</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8 661,3</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10 045,0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8 993,4</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9 581,8</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8 931,9</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9 369,8</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9 792,3</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10 264,3</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Equity instruments and investment fund shares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1 787,9</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3 268,3</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3 872,3</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4 468,8</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5 220,7</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6 227,1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7 219,6</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8 742,5</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8 271,8</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8 697,6</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7 983,7</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8 383,6</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8 776,4</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9 249,2</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Investments of direct investor in direct investment enterprises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1 787,9</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3 268,3</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3 872,3</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4 468,8</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5 220,7</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6 227,1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7 219,6</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8 742,5</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8 271,8</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8 697,6</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7 983,7</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8 383,6</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8 776,4</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9 249,2</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Investments of direct investment enterprises in direct investor  (reverse investment)</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Investments between fellow enterprises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Debt instruments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776,0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856,1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868,0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939,1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939,0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908,7</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1 441,7</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1 302,5</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721,6</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884,3</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948,2</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986,2</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1 015,9</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1 015,1</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Investments of direct investor in direct investment enterprises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776,0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856,1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868,0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939,1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939,0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908,7</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1 441,7</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1 230,0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651,6</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825,2</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873,2</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906,4</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927,9</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918,4</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Investments of direct investment enterprises in direct investor  (reverse investment)</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Investments between fellow enterprises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72,5</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59,1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75,0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79,8</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88,0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96,7</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BDD6EE" w:themeFill="accent1" w:themeFillTint="66"/>
            <w:vAlign w:val="center"/>
            <w:hideMark/>
          </w:tcPr>
          <w:p w:rsidR="00A36D7A" w:rsidRPr="00A36D7A" w:rsidRDefault="00A36D7A" w:rsidP="00A36D7A">
            <w:pPr>
              <w:rPr>
                <w:rFonts w:asciiTheme="minorHAnsi" w:hAnsiTheme="minorHAnsi" w:cstheme="minorHAnsi"/>
                <w:b/>
                <w:color w:val="000000"/>
                <w:sz w:val="16"/>
                <w:szCs w:val="16"/>
                <w:lang w:val="en-US"/>
              </w:rPr>
            </w:pPr>
            <w:r w:rsidRPr="00A36D7A">
              <w:rPr>
                <w:rFonts w:asciiTheme="minorHAnsi" w:hAnsiTheme="minorHAnsi" w:cstheme="minorHAnsi"/>
                <w:b/>
                <w:color w:val="000000"/>
                <w:sz w:val="16"/>
                <w:szCs w:val="16"/>
                <w:lang w:val="en-US"/>
              </w:rPr>
              <w:t>Portfolio investments</w:t>
            </w:r>
          </w:p>
        </w:tc>
        <w:tc>
          <w:tcPr>
            <w:tcW w:w="946" w:type="dxa"/>
            <w:tcBorders>
              <w:top w:val="single" w:sz="4" w:space="0" w:color="4F81BD"/>
              <w:left w:val="nil"/>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3,1</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3,4</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4,2</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5,8</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5,6</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6,9</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44,6</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1 466,4</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1 332,3</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1 450,5</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1 468,7</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2 934,1</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Equity instruments and investment fund shares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3,4</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4,2</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5,8</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5,6</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6,9</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44,6</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52,1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51,7</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52,6</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53,4</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67,2</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Central Bank</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lastRenderedPageBreak/>
              <w:t>Deposit enterprises, excluding the Central Bank</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1,5</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1,5</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0,9</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1,2</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1,7</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2,9</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16,1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15,7</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20,3</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20,3</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20,8</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22,0</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General government</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Other sectors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1,5</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1,6</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2,3</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3,3</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4,4</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4,4</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5,2</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6,1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28,4</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36,4</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31,4</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32,2</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32,5</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45,2</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309"/>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Other financial institutions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0,9</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0,8</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0,8</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0,8</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0,8</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0,8</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0,8</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0,8</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0,7</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0,8</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0,8</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 xml:space="preserve">Debt securities </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1 414,4</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1 280,6</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1 398,0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1 415,4</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2 866,9</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Central Bank</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Deposit enterprises, excluding the Central Bank</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307,4</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280,5</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303,9</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320,7</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937,5</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General government</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1 107,0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1 000,0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1 094,1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1 094,7</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1 929,4</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Other sectors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309"/>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Other financial institutions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BDD6EE" w:themeFill="accent1" w:themeFillTint="66"/>
            <w:vAlign w:val="center"/>
            <w:hideMark/>
          </w:tcPr>
          <w:p w:rsidR="00A36D7A" w:rsidRPr="00A36D7A" w:rsidRDefault="00A36D7A" w:rsidP="00A36D7A">
            <w:pPr>
              <w:rPr>
                <w:rFonts w:asciiTheme="minorHAnsi" w:hAnsiTheme="minorHAnsi" w:cstheme="minorHAnsi"/>
                <w:b/>
                <w:color w:val="000000"/>
                <w:sz w:val="16"/>
                <w:szCs w:val="16"/>
                <w:lang w:val="en-US"/>
              </w:rPr>
            </w:pPr>
            <w:r w:rsidRPr="00A36D7A">
              <w:rPr>
                <w:rFonts w:asciiTheme="minorHAnsi" w:hAnsiTheme="minorHAnsi" w:cstheme="minorHAnsi"/>
                <w:b/>
                <w:color w:val="000000"/>
                <w:sz w:val="16"/>
                <w:szCs w:val="16"/>
                <w:lang w:val="en-US"/>
              </w:rPr>
              <w:t xml:space="preserve">Financial derivatives (other than reserves) and employee stock options </w:t>
            </w:r>
          </w:p>
        </w:tc>
        <w:tc>
          <w:tcPr>
            <w:tcW w:w="946" w:type="dxa"/>
            <w:tcBorders>
              <w:top w:val="single" w:sz="4" w:space="0" w:color="4F81BD"/>
              <w:left w:val="nil"/>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3,6</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3,7</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3,5</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7,5</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11,8</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16,7</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BDD6EE" w:themeFill="accent1" w:themeFillTint="66"/>
            <w:vAlign w:val="center"/>
            <w:hideMark/>
          </w:tcPr>
          <w:p w:rsidR="00A36D7A" w:rsidRPr="00A36D7A" w:rsidRDefault="00A36D7A" w:rsidP="00A36D7A">
            <w:pPr>
              <w:rPr>
                <w:rFonts w:asciiTheme="minorHAnsi" w:hAnsiTheme="minorHAnsi" w:cstheme="minorHAnsi"/>
                <w:b/>
                <w:color w:val="000000"/>
                <w:sz w:val="16"/>
                <w:szCs w:val="16"/>
                <w:lang w:val="en-US"/>
              </w:rPr>
            </w:pPr>
            <w:r w:rsidRPr="00A36D7A">
              <w:rPr>
                <w:rFonts w:asciiTheme="minorHAnsi" w:hAnsiTheme="minorHAnsi" w:cstheme="minorHAnsi"/>
                <w:b/>
                <w:color w:val="000000"/>
                <w:sz w:val="16"/>
                <w:szCs w:val="16"/>
                <w:lang w:val="en-US"/>
              </w:rPr>
              <w:t xml:space="preserve">Other investments </w:t>
            </w:r>
          </w:p>
        </w:tc>
        <w:tc>
          <w:tcPr>
            <w:tcW w:w="946" w:type="dxa"/>
            <w:tcBorders>
              <w:top w:val="single" w:sz="4" w:space="0" w:color="4F81BD"/>
              <w:left w:val="nil"/>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7 413,5</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7 241,9</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7 686,9</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9 196,2</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10 995,7</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12 824,6</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14 046,8</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15 932,7</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18 028,0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24 032,4</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25 709,0</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27 222,7</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28 994,3</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32 335,4</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 xml:space="preserve">Other equity instruments </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Special drawing rights (Net incurrence of liabilities)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405,0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403,6</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403,9</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404,8</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380,8</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364,2</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353,4</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374,7</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366,1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363,9</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358,9</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361,6</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369,9</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378,6</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Other debt instruments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7 008,6</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6 838,3</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7 283,0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8 791,5</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10 614,9</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12 460,4</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13 693,4</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15 558,0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17 661,9</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23 668,5</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25 350,1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26 861,2</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28 624,3</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31 956,9</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Central Bank</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Deposit enterprises, excluding the Central Bank</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260,8</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248,1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339,9</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330,7</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401,2</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447,4</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484,3</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701,5</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1 085,6</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2 780,7</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3 567,4</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4 354,1</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4 830,6</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5 716,7</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General government</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2 579,7</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2 691,8</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2 825,9</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3 070,9</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3 373,9</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4 286,5</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4 923,3</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5 992,3</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7 788,1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10 635,6</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10 788,2</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11 610,3</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12 625,1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14 199,8</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167"/>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Other sectors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4 168,0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3 898,5</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4 117,2</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5 389,9</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6 839,8</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7 726,6</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8 285,8</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8 864,1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8 788,1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10 252,3</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10 994,5</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10 896,8</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11 168,6</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12 040,4</w:t>
            </w:r>
          </w:p>
        </w:tc>
      </w:tr>
      <w:tr w:rsidR="00A36D7A" w:rsidRPr="00A36D7A" w:rsidTr="00B152E4">
        <w:trPr>
          <w:trHeight w:val="227"/>
        </w:trPr>
        <w:tc>
          <w:tcPr>
            <w:tcW w:w="2269" w:type="dxa"/>
            <w:tcBorders>
              <w:top w:val="nil"/>
              <w:left w:val="single" w:sz="4" w:space="0" w:color="4F81BD"/>
              <w:bottom w:val="single" w:sz="4" w:space="0" w:color="4F81BD"/>
              <w:right w:val="single" w:sz="4" w:space="0" w:color="4F81BD"/>
            </w:tcBorders>
            <w:shd w:val="clear" w:color="auto" w:fill="auto"/>
            <w:vAlign w:val="center"/>
            <w:hideMark/>
          </w:tcPr>
          <w:p w:rsidR="00A36D7A" w:rsidRPr="00A36D7A" w:rsidRDefault="00A36D7A" w:rsidP="00A36D7A">
            <w:pPr>
              <w:ind w:left="309"/>
              <w:rPr>
                <w:rFonts w:asciiTheme="minorHAnsi" w:hAnsiTheme="minorHAnsi" w:cstheme="minorHAnsi"/>
                <w:color w:val="000000"/>
                <w:sz w:val="16"/>
                <w:szCs w:val="16"/>
                <w:lang w:val="en-US"/>
              </w:rPr>
            </w:pPr>
            <w:r w:rsidRPr="00A36D7A">
              <w:rPr>
                <w:rFonts w:asciiTheme="minorHAnsi" w:hAnsiTheme="minorHAnsi" w:cstheme="minorHAnsi"/>
                <w:color w:val="000000"/>
                <w:sz w:val="16"/>
                <w:szCs w:val="16"/>
                <w:lang w:val="en-US"/>
              </w:rPr>
              <w:t>Other financial institutions</w:t>
            </w:r>
          </w:p>
        </w:tc>
        <w:tc>
          <w:tcPr>
            <w:tcW w:w="946" w:type="dxa"/>
            <w:tcBorders>
              <w:top w:val="single" w:sz="4" w:space="0" w:color="4F81BD"/>
              <w:left w:val="nil"/>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0,0</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14,4</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18,4</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25,1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26,1</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27,6</w:t>
            </w:r>
          </w:p>
        </w:tc>
        <w:tc>
          <w:tcPr>
            <w:tcW w:w="946" w:type="dxa"/>
            <w:tcBorders>
              <w:top w:val="single" w:sz="4" w:space="0" w:color="4F81BD"/>
              <w:left w:val="single" w:sz="4" w:space="0" w:color="4F81BD"/>
              <w:bottom w:val="single" w:sz="4" w:space="0" w:color="4F81BD"/>
              <w:right w:val="single" w:sz="4" w:space="0" w:color="4F81BD"/>
            </w:tcBorders>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29,2</w:t>
            </w:r>
          </w:p>
        </w:tc>
        <w:tc>
          <w:tcPr>
            <w:tcW w:w="946" w:type="dxa"/>
            <w:tcBorders>
              <w:top w:val="single" w:sz="4" w:space="0" w:color="4F81BD"/>
              <w:left w:val="single" w:sz="4" w:space="0" w:color="4F81BD"/>
              <w:bottom w:val="single" w:sz="4" w:space="0" w:color="4F81BD"/>
              <w:right w:val="single" w:sz="4" w:space="0" w:color="4F81BD"/>
            </w:tcBorders>
            <w:shd w:val="clear" w:color="auto" w:fill="auto"/>
            <w:vAlign w:val="center"/>
          </w:tcPr>
          <w:p w:rsidR="00A36D7A" w:rsidRPr="00A36D7A" w:rsidRDefault="00A36D7A" w:rsidP="00A36D7A">
            <w:pPr>
              <w:jc w:val="right"/>
              <w:rPr>
                <w:rFonts w:asciiTheme="minorHAnsi" w:hAnsiTheme="minorHAnsi" w:cstheme="minorHAnsi"/>
                <w:color w:val="000000"/>
                <w:sz w:val="16"/>
                <w:szCs w:val="16"/>
              </w:rPr>
            </w:pPr>
            <w:r w:rsidRPr="00A36D7A">
              <w:rPr>
                <w:rFonts w:asciiTheme="minorHAnsi" w:hAnsiTheme="minorHAnsi" w:cstheme="minorHAnsi"/>
                <w:color w:val="000000"/>
                <w:sz w:val="16"/>
                <w:szCs w:val="16"/>
              </w:rPr>
              <w:t>28,3</w:t>
            </w:r>
          </w:p>
        </w:tc>
      </w:tr>
      <w:tr w:rsidR="00A36D7A" w:rsidRPr="00A36D7A" w:rsidTr="00A36D7A">
        <w:trPr>
          <w:trHeight w:val="20"/>
        </w:trPr>
        <w:tc>
          <w:tcPr>
            <w:tcW w:w="2269" w:type="dxa"/>
            <w:tcBorders>
              <w:top w:val="nil"/>
              <w:left w:val="single" w:sz="4" w:space="0" w:color="4F81BD"/>
              <w:bottom w:val="single" w:sz="4" w:space="0" w:color="4F81BD"/>
              <w:right w:val="single" w:sz="4" w:space="0" w:color="4F81BD"/>
            </w:tcBorders>
            <w:shd w:val="clear" w:color="auto" w:fill="BDD6EE" w:themeFill="accent1" w:themeFillTint="66"/>
            <w:vAlign w:val="center"/>
            <w:hideMark/>
          </w:tcPr>
          <w:p w:rsidR="00A36D7A" w:rsidRPr="00A36D7A" w:rsidRDefault="00A36D7A" w:rsidP="00A36D7A">
            <w:pPr>
              <w:rPr>
                <w:rFonts w:asciiTheme="minorHAnsi" w:hAnsiTheme="minorHAnsi" w:cstheme="minorHAnsi"/>
                <w:b/>
                <w:bCs/>
                <w:color w:val="000000"/>
                <w:sz w:val="16"/>
                <w:szCs w:val="16"/>
                <w:lang w:val="en-US"/>
              </w:rPr>
            </w:pPr>
            <w:r w:rsidRPr="00A36D7A">
              <w:rPr>
                <w:rFonts w:asciiTheme="minorHAnsi" w:hAnsiTheme="minorHAnsi" w:cstheme="minorHAnsi"/>
                <w:b/>
                <w:bCs/>
                <w:color w:val="000000"/>
                <w:sz w:val="16"/>
                <w:szCs w:val="16"/>
                <w:lang w:val="en-US"/>
              </w:rPr>
              <w:t>Net international investment position</w:t>
            </w:r>
          </w:p>
        </w:tc>
        <w:tc>
          <w:tcPr>
            <w:tcW w:w="946" w:type="dxa"/>
            <w:tcBorders>
              <w:top w:val="single" w:sz="4" w:space="0" w:color="4F81BD"/>
              <w:left w:val="nil"/>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11 843,6</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15 616,1</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19 461,8</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17 040,4</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19 647,4</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18 989,3</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21 377,5</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22 622,1</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22 079,9</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19 799,5</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20 586,5</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21 017,6</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22 244,7</w:t>
            </w:r>
          </w:p>
        </w:tc>
        <w:tc>
          <w:tcPr>
            <w:tcW w:w="946" w:type="dxa"/>
            <w:tcBorders>
              <w:top w:val="single" w:sz="4" w:space="0" w:color="4F81BD"/>
              <w:left w:val="single" w:sz="4" w:space="0" w:color="4F81BD"/>
              <w:bottom w:val="single" w:sz="4" w:space="0" w:color="4F81BD"/>
              <w:right w:val="single" w:sz="4" w:space="0" w:color="4F81BD"/>
            </w:tcBorders>
            <w:shd w:val="clear" w:color="auto" w:fill="BDD6EE" w:themeFill="accent1" w:themeFillTint="66"/>
            <w:vAlign w:val="center"/>
          </w:tcPr>
          <w:p w:rsidR="00A36D7A" w:rsidRPr="00A36D7A" w:rsidRDefault="00A36D7A" w:rsidP="00A36D7A">
            <w:pPr>
              <w:jc w:val="right"/>
              <w:rPr>
                <w:rFonts w:asciiTheme="minorHAnsi" w:hAnsiTheme="minorHAnsi" w:cstheme="minorHAnsi"/>
                <w:b/>
                <w:color w:val="000000"/>
                <w:sz w:val="16"/>
                <w:szCs w:val="16"/>
              </w:rPr>
            </w:pPr>
            <w:r w:rsidRPr="00A36D7A">
              <w:rPr>
                <w:rFonts w:asciiTheme="minorHAnsi" w:hAnsiTheme="minorHAnsi" w:cstheme="minorHAnsi"/>
                <w:color w:val="000000"/>
                <w:sz w:val="16"/>
                <w:szCs w:val="16"/>
              </w:rPr>
              <w:t>20 367,1</w:t>
            </w:r>
          </w:p>
        </w:tc>
      </w:tr>
    </w:tbl>
    <w:p w:rsidR="0037682C" w:rsidRDefault="0037682C" w:rsidP="006A21C0">
      <w:pPr>
        <w:jc w:val="right"/>
        <w:rPr>
          <w:rFonts w:cs="Arial"/>
          <w:lang w:val="en-US"/>
        </w:rPr>
      </w:pPr>
    </w:p>
    <w:p w:rsidR="00BC15C8" w:rsidRPr="00F45A80" w:rsidRDefault="00BC15C8" w:rsidP="006A21C0">
      <w:pPr>
        <w:jc w:val="right"/>
        <w:rPr>
          <w:rFonts w:cs="Arial"/>
          <w:lang w:val="en-US"/>
        </w:rPr>
      </w:pPr>
    </w:p>
    <w:p w:rsidR="00043E99" w:rsidRDefault="00043E99" w:rsidP="00043E99">
      <w:pPr>
        <w:spacing w:line="192" w:lineRule="auto"/>
        <w:ind w:right="-172"/>
        <w:jc w:val="right"/>
        <w:rPr>
          <w:rFonts w:asciiTheme="minorHAnsi" w:hAnsiTheme="minorHAnsi" w:cstheme="minorHAnsi"/>
          <w:i/>
          <w:sz w:val="22"/>
          <w:szCs w:val="22"/>
        </w:rPr>
      </w:pPr>
    </w:p>
    <w:p w:rsidR="00B152E4" w:rsidRDefault="00B152E4" w:rsidP="00043E99">
      <w:pPr>
        <w:spacing w:line="192" w:lineRule="auto"/>
        <w:ind w:right="-172"/>
        <w:jc w:val="right"/>
        <w:rPr>
          <w:rFonts w:asciiTheme="minorHAnsi" w:hAnsiTheme="minorHAnsi" w:cstheme="minorHAnsi"/>
          <w:i/>
          <w:sz w:val="22"/>
          <w:szCs w:val="22"/>
        </w:rPr>
      </w:pPr>
    </w:p>
    <w:p w:rsidR="00B152E4" w:rsidRDefault="00B152E4" w:rsidP="00043E99">
      <w:pPr>
        <w:spacing w:line="192" w:lineRule="auto"/>
        <w:ind w:right="-172"/>
        <w:jc w:val="right"/>
        <w:rPr>
          <w:rFonts w:asciiTheme="minorHAnsi" w:hAnsiTheme="minorHAnsi" w:cstheme="minorHAnsi"/>
          <w:i/>
          <w:sz w:val="22"/>
          <w:szCs w:val="22"/>
        </w:rPr>
      </w:pPr>
    </w:p>
    <w:p w:rsidR="00B152E4" w:rsidRDefault="00B152E4" w:rsidP="00043E99">
      <w:pPr>
        <w:spacing w:line="192" w:lineRule="auto"/>
        <w:ind w:right="-172"/>
        <w:jc w:val="right"/>
        <w:rPr>
          <w:rFonts w:asciiTheme="minorHAnsi" w:hAnsiTheme="minorHAnsi" w:cstheme="minorHAnsi"/>
          <w:i/>
          <w:sz w:val="22"/>
          <w:szCs w:val="22"/>
        </w:rPr>
      </w:pPr>
    </w:p>
    <w:p w:rsidR="00B152E4" w:rsidRDefault="00B152E4" w:rsidP="00043E99">
      <w:pPr>
        <w:spacing w:line="192" w:lineRule="auto"/>
        <w:ind w:right="-172"/>
        <w:jc w:val="right"/>
        <w:rPr>
          <w:rFonts w:asciiTheme="minorHAnsi" w:hAnsiTheme="minorHAnsi" w:cstheme="minorHAnsi"/>
          <w:i/>
          <w:sz w:val="22"/>
          <w:szCs w:val="22"/>
        </w:rPr>
      </w:pPr>
    </w:p>
    <w:p w:rsidR="00B152E4" w:rsidRDefault="00B152E4" w:rsidP="00043E99">
      <w:pPr>
        <w:spacing w:line="192" w:lineRule="auto"/>
        <w:ind w:right="-172"/>
        <w:jc w:val="right"/>
        <w:rPr>
          <w:rFonts w:asciiTheme="minorHAnsi" w:hAnsiTheme="minorHAnsi" w:cstheme="minorHAnsi"/>
          <w:i/>
          <w:sz w:val="22"/>
          <w:szCs w:val="22"/>
        </w:rPr>
      </w:pPr>
    </w:p>
    <w:p w:rsidR="00B152E4" w:rsidRDefault="00B152E4" w:rsidP="00043E99">
      <w:pPr>
        <w:spacing w:line="192" w:lineRule="auto"/>
        <w:ind w:right="-172"/>
        <w:jc w:val="right"/>
        <w:rPr>
          <w:rFonts w:asciiTheme="minorHAnsi" w:hAnsiTheme="minorHAnsi" w:cstheme="minorHAnsi"/>
          <w:i/>
          <w:sz w:val="22"/>
          <w:szCs w:val="22"/>
        </w:rPr>
      </w:pPr>
    </w:p>
    <w:p w:rsidR="00B152E4" w:rsidRDefault="00B152E4" w:rsidP="00043E99">
      <w:pPr>
        <w:spacing w:line="192" w:lineRule="auto"/>
        <w:ind w:right="-172"/>
        <w:jc w:val="right"/>
        <w:rPr>
          <w:rFonts w:asciiTheme="minorHAnsi" w:hAnsiTheme="minorHAnsi" w:cstheme="minorHAnsi"/>
          <w:i/>
          <w:sz w:val="22"/>
          <w:szCs w:val="22"/>
        </w:rPr>
      </w:pPr>
    </w:p>
    <w:p w:rsidR="00B152E4" w:rsidRDefault="00B152E4" w:rsidP="00043E99">
      <w:pPr>
        <w:spacing w:line="192" w:lineRule="auto"/>
        <w:ind w:right="-172"/>
        <w:jc w:val="right"/>
        <w:rPr>
          <w:rFonts w:asciiTheme="minorHAnsi" w:hAnsiTheme="minorHAnsi" w:cstheme="minorHAnsi"/>
          <w:i/>
          <w:sz w:val="22"/>
          <w:szCs w:val="22"/>
        </w:rPr>
      </w:pPr>
    </w:p>
    <w:p w:rsidR="00B152E4" w:rsidRDefault="00B152E4" w:rsidP="00043E99">
      <w:pPr>
        <w:spacing w:line="192" w:lineRule="auto"/>
        <w:ind w:right="-172"/>
        <w:jc w:val="right"/>
        <w:rPr>
          <w:rFonts w:asciiTheme="minorHAnsi" w:hAnsiTheme="minorHAnsi" w:cstheme="minorHAnsi"/>
          <w:i/>
          <w:sz w:val="22"/>
          <w:szCs w:val="22"/>
        </w:rPr>
      </w:pPr>
    </w:p>
    <w:p w:rsidR="00043E99" w:rsidRDefault="00043E99" w:rsidP="00043E99">
      <w:pPr>
        <w:spacing w:line="192" w:lineRule="auto"/>
        <w:ind w:right="-172"/>
        <w:jc w:val="right"/>
        <w:rPr>
          <w:rFonts w:asciiTheme="minorHAnsi" w:hAnsiTheme="minorHAnsi" w:cstheme="minorHAnsi"/>
          <w:i/>
          <w:sz w:val="22"/>
          <w:szCs w:val="22"/>
        </w:rPr>
      </w:pPr>
    </w:p>
    <w:p w:rsidR="00043E99" w:rsidRDefault="00043E99" w:rsidP="00043E99">
      <w:pPr>
        <w:spacing w:line="192" w:lineRule="auto"/>
        <w:ind w:right="-172"/>
        <w:jc w:val="right"/>
        <w:rPr>
          <w:rFonts w:asciiTheme="minorHAnsi" w:hAnsiTheme="minorHAnsi" w:cstheme="minorHAnsi"/>
          <w:i/>
          <w:sz w:val="22"/>
          <w:szCs w:val="22"/>
        </w:rPr>
      </w:pPr>
    </w:p>
    <w:p w:rsidR="00043E99" w:rsidRPr="0005497F" w:rsidRDefault="00B152E4" w:rsidP="00043E99">
      <w:pPr>
        <w:spacing w:line="192" w:lineRule="auto"/>
        <w:ind w:right="-172"/>
        <w:jc w:val="right"/>
        <w:rPr>
          <w:rFonts w:asciiTheme="minorHAnsi" w:hAnsiTheme="minorHAnsi" w:cstheme="minorHAnsi"/>
          <w:i/>
          <w:sz w:val="22"/>
          <w:szCs w:val="22"/>
          <w:lang w:val="en-US"/>
        </w:rPr>
      </w:pPr>
      <w:r w:rsidRPr="00F45A80">
        <w:rPr>
          <w:rFonts w:cs="Calibri"/>
          <w:i/>
          <w:lang w:val="en-US"/>
        </w:rPr>
        <w:lastRenderedPageBreak/>
        <w:t>Addenda</w:t>
      </w:r>
      <w:r w:rsidRPr="00F45A80">
        <w:rPr>
          <w:i/>
          <w:lang w:val="en-US"/>
        </w:rPr>
        <w:t xml:space="preserve"> </w:t>
      </w:r>
      <w:r>
        <w:rPr>
          <w:i/>
          <w:lang w:val="en-US"/>
        </w:rPr>
        <w:t>3</w:t>
      </w:r>
    </w:p>
    <w:p w:rsidR="00043E99" w:rsidRPr="0005497F" w:rsidRDefault="0005497F" w:rsidP="00043E99">
      <w:pPr>
        <w:pStyle w:val="1"/>
        <w:spacing w:line="192" w:lineRule="auto"/>
        <w:ind w:left="0"/>
        <w:jc w:val="center"/>
        <w:rPr>
          <w:rFonts w:asciiTheme="minorHAnsi" w:hAnsiTheme="minorHAnsi" w:cstheme="minorHAnsi"/>
          <w:sz w:val="24"/>
          <w:szCs w:val="24"/>
          <w:lang w:val="en-US"/>
        </w:rPr>
      </w:pPr>
      <w:bookmarkStart w:id="22" w:name="_Toc67050802"/>
      <w:bookmarkStart w:id="23" w:name="_Toc66796567"/>
      <w:r w:rsidRPr="001C59DD">
        <w:rPr>
          <w:rFonts w:asciiTheme="minorHAnsi" w:hAnsiTheme="minorHAnsi" w:cstheme="minorHAnsi"/>
          <w:sz w:val="24"/>
          <w:szCs w:val="24"/>
          <w:lang w:val="en-US"/>
        </w:rPr>
        <w:t>GROSS EXTERNAL DEBT</w:t>
      </w:r>
      <w:r w:rsidR="00043E99" w:rsidRPr="001C59DD">
        <w:rPr>
          <w:rFonts w:asciiTheme="minorHAnsi" w:hAnsiTheme="minorHAnsi" w:cstheme="minorHAnsi"/>
          <w:sz w:val="24"/>
          <w:szCs w:val="24"/>
        </w:rPr>
        <w:t xml:space="preserve"> </w:t>
      </w:r>
      <w:r w:rsidRPr="001C59DD">
        <w:rPr>
          <w:rFonts w:asciiTheme="minorHAnsi" w:hAnsiTheme="minorHAnsi" w:cstheme="minorHAnsi"/>
          <w:sz w:val="24"/>
          <w:szCs w:val="24"/>
          <w:lang w:val="en-US"/>
        </w:rPr>
        <w:t>FOR</w:t>
      </w:r>
      <w:r w:rsidR="00043E99" w:rsidRPr="001C59DD">
        <w:rPr>
          <w:rFonts w:asciiTheme="minorHAnsi" w:hAnsiTheme="minorHAnsi" w:cstheme="minorHAnsi"/>
          <w:sz w:val="24"/>
          <w:szCs w:val="24"/>
        </w:rPr>
        <w:t xml:space="preserve"> </w:t>
      </w:r>
      <w:r w:rsidR="00043E99" w:rsidRPr="001C59DD">
        <w:rPr>
          <w:rFonts w:asciiTheme="minorHAnsi" w:hAnsiTheme="minorHAnsi" w:cstheme="minorHAnsi"/>
          <w:sz w:val="24"/>
          <w:szCs w:val="24"/>
          <w:lang w:val="en-US"/>
        </w:rPr>
        <w:t>2010</w:t>
      </w:r>
      <w:r w:rsidR="00B33C6E" w:rsidRPr="00B33C6E">
        <w:rPr>
          <w:rFonts w:asciiTheme="minorHAnsi" w:hAnsiTheme="minorHAnsi" w:cstheme="minorHAnsi"/>
          <w:sz w:val="24"/>
          <w:szCs w:val="24"/>
          <w:lang w:val="en-US"/>
        </w:rPr>
        <w:t xml:space="preserve"> </w:t>
      </w:r>
      <w:r w:rsidR="00B33C6E">
        <w:rPr>
          <w:rFonts w:asciiTheme="minorHAnsi" w:hAnsiTheme="minorHAnsi" w:cstheme="minorHAnsi"/>
          <w:sz w:val="24"/>
          <w:szCs w:val="24"/>
          <w:lang w:val="en-US"/>
        </w:rPr>
        <w:t xml:space="preserve">AND </w:t>
      </w:r>
      <w:r w:rsidR="00043E99" w:rsidRPr="001C59DD">
        <w:rPr>
          <w:rFonts w:asciiTheme="minorHAnsi" w:hAnsiTheme="minorHAnsi" w:cstheme="minorHAnsi"/>
          <w:sz w:val="24"/>
          <w:szCs w:val="24"/>
        </w:rPr>
        <w:t>20</w:t>
      </w:r>
      <w:r w:rsidR="00043E99" w:rsidRPr="001C59DD">
        <w:rPr>
          <w:rFonts w:asciiTheme="minorHAnsi" w:hAnsiTheme="minorHAnsi" w:cstheme="minorHAnsi"/>
          <w:sz w:val="24"/>
          <w:szCs w:val="24"/>
          <w:lang w:val="en-US"/>
        </w:rPr>
        <w:t>20</w:t>
      </w:r>
      <w:bookmarkEnd w:id="22"/>
      <w:r w:rsidR="00043E99" w:rsidRPr="001C59DD">
        <w:rPr>
          <w:rFonts w:asciiTheme="minorHAnsi" w:hAnsiTheme="minorHAnsi" w:cstheme="minorHAnsi"/>
          <w:sz w:val="24"/>
          <w:szCs w:val="24"/>
        </w:rPr>
        <w:t xml:space="preserve"> </w:t>
      </w:r>
      <w:bookmarkEnd w:id="23"/>
    </w:p>
    <w:p w:rsidR="00043E99" w:rsidRPr="00C92486" w:rsidRDefault="00043E99" w:rsidP="00043E99">
      <w:pPr>
        <w:ind w:right="-173"/>
        <w:jc w:val="right"/>
        <w:rPr>
          <w:rFonts w:asciiTheme="minorHAnsi" w:hAnsiTheme="minorHAnsi" w:cstheme="minorHAnsi"/>
          <w:sz w:val="18"/>
          <w:szCs w:val="18"/>
          <w:lang w:val="x-none" w:eastAsia="x-none"/>
        </w:rPr>
      </w:pPr>
      <w:r w:rsidRPr="0005497F">
        <w:rPr>
          <w:rFonts w:asciiTheme="minorHAnsi" w:hAnsiTheme="minorHAnsi" w:cstheme="minorHAnsi"/>
          <w:i/>
          <w:color w:val="000000"/>
          <w:sz w:val="18"/>
          <w:szCs w:val="18"/>
          <w:lang w:val="en-US"/>
        </w:rPr>
        <w:t>(</w:t>
      </w:r>
      <w:r w:rsidR="00B152E4">
        <w:rPr>
          <w:rFonts w:asciiTheme="minorHAnsi" w:hAnsiTheme="minorHAnsi" w:cstheme="minorHAnsi"/>
          <w:i/>
          <w:color w:val="000000"/>
          <w:sz w:val="18"/>
          <w:szCs w:val="18"/>
          <w:lang w:val="en-US"/>
        </w:rPr>
        <w:t>mln</w:t>
      </w:r>
      <w:r w:rsidRPr="0005497F">
        <w:rPr>
          <w:rFonts w:asciiTheme="minorHAnsi" w:hAnsiTheme="minorHAnsi" w:cstheme="minorHAnsi"/>
          <w:i/>
          <w:color w:val="000000"/>
          <w:sz w:val="18"/>
          <w:szCs w:val="18"/>
          <w:lang w:val="en-US"/>
        </w:rPr>
        <w:t xml:space="preserve">. </w:t>
      </w:r>
      <w:r w:rsidR="00B152E4">
        <w:rPr>
          <w:rFonts w:asciiTheme="minorHAnsi" w:hAnsiTheme="minorHAnsi" w:cstheme="minorHAnsi"/>
          <w:i/>
          <w:color w:val="000000"/>
          <w:sz w:val="18"/>
          <w:szCs w:val="18"/>
          <w:lang w:val="en-US"/>
        </w:rPr>
        <w:t>USD</w:t>
      </w:r>
      <w:r w:rsidRPr="0005497F">
        <w:rPr>
          <w:rFonts w:asciiTheme="minorHAnsi" w:hAnsiTheme="minorHAnsi" w:cstheme="minorHAnsi"/>
          <w:i/>
          <w:color w:val="000000"/>
          <w:sz w:val="18"/>
          <w:szCs w:val="18"/>
          <w:lang w:val="en-US"/>
        </w:rPr>
        <w:t>.)</w:t>
      </w:r>
    </w:p>
    <w:tbl>
      <w:tblPr>
        <w:tblW w:w="15593" w:type="dxa"/>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552"/>
        <w:gridCol w:w="903"/>
        <w:gridCol w:w="903"/>
        <w:gridCol w:w="903"/>
        <w:gridCol w:w="903"/>
        <w:gridCol w:w="903"/>
        <w:gridCol w:w="903"/>
        <w:gridCol w:w="903"/>
        <w:gridCol w:w="903"/>
        <w:gridCol w:w="903"/>
        <w:gridCol w:w="945"/>
        <w:gridCol w:w="992"/>
        <w:gridCol w:w="993"/>
        <w:gridCol w:w="992"/>
        <w:gridCol w:w="992"/>
      </w:tblGrid>
      <w:tr w:rsidR="00043E99" w:rsidRPr="00C92486" w:rsidTr="003B4C2F">
        <w:trPr>
          <w:trHeight w:val="286"/>
          <w:tblHeader/>
        </w:trPr>
        <w:tc>
          <w:tcPr>
            <w:tcW w:w="2552" w:type="dxa"/>
            <w:shd w:val="clear" w:color="auto" w:fill="auto"/>
            <w:vAlign w:val="center"/>
            <w:hideMark/>
          </w:tcPr>
          <w:p w:rsidR="00043E99" w:rsidRPr="005B3923" w:rsidRDefault="00B152E4" w:rsidP="00043E99">
            <w:pPr>
              <w:jc w:val="center"/>
              <w:rPr>
                <w:rFonts w:asciiTheme="minorHAnsi" w:hAnsiTheme="minorHAnsi" w:cstheme="minorHAnsi"/>
                <w:bCs/>
                <w:color w:val="000000"/>
                <w:sz w:val="15"/>
                <w:szCs w:val="15"/>
              </w:rPr>
            </w:pPr>
            <w:r w:rsidRPr="005B3923">
              <w:rPr>
                <w:rFonts w:asciiTheme="minorHAnsi" w:hAnsiTheme="minorHAnsi" w:cstheme="minorHAnsi"/>
                <w:bCs/>
                <w:color w:val="000000"/>
                <w:sz w:val="16"/>
                <w:szCs w:val="16"/>
                <w:lang w:val="en-US"/>
              </w:rPr>
              <w:t>Indicators</w:t>
            </w:r>
          </w:p>
        </w:tc>
        <w:tc>
          <w:tcPr>
            <w:tcW w:w="903" w:type="dxa"/>
            <w:vAlign w:val="center"/>
          </w:tcPr>
          <w:p w:rsidR="00043E99" w:rsidRPr="00C92486" w:rsidRDefault="00043E99" w:rsidP="00043E99">
            <w:pPr>
              <w:jc w:val="center"/>
              <w:rPr>
                <w:rFonts w:asciiTheme="minorHAnsi" w:hAnsiTheme="minorHAnsi" w:cstheme="minorHAnsi"/>
                <w:bCs/>
                <w:color w:val="000000"/>
                <w:sz w:val="15"/>
                <w:szCs w:val="15"/>
              </w:rPr>
            </w:pPr>
            <w:r w:rsidRPr="00C92486">
              <w:rPr>
                <w:rFonts w:asciiTheme="minorHAnsi" w:hAnsiTheme="minorHAnsi" w:cstheme="minorHAnsi"/>
                <w:bCs/>
                <w:color w:val="000000"/>
                <w:sz w:val="15"/>
                <w:szCs w:val="15"/>
              </w:rPr>
              <w:t>31.12.2010</w:t>
            </w:r>
          </w:p>
        </w:tc>
        <w:tc>
          <w:tcPr>
            <w:tcW w:w="903" w:type="dxa"/>
            <w:vAlign w:val="center"/>
          </w:tcPr>
          <w:p w:rsidR="00043E99" w:rsidRPr="00C92486" w:rsidRDefault="00043E99" w:rsidP="00043E99">
            <w:pPr>
              <w:jc w:val="center"/>
              <w:rPr>
                <w:rFonts w:asciiTheme="minorHAnsi" w:hAnsiTheme="minorHAnsi" w:cstheme="minorHAnsi"/>
                <w:bCs/>
                <w:color w:val="000000"/>
                <w:sz w:val="15"/>
                <w:szCs w:val="15"/>
              </w:rPr>
            </w:pPr>
            <w:r w:rsidRPr="00C92486">
              <w:rPr>
                <w:rFonts w:asciiTheme="minorHAnsi" w:hAnsiTheme="minorHAnsi" w:cstheme="minorHAnsi"/>
                <w:bCs/>
                <w:color w:val="000000"/>
                <w:sz w:val="15"/>
                <w:szCs w:val="15"/>
              </w:rPr>
              <w:t>31.12.2011</w:t>
            </w:r>
          </w:p>
        </w:tc>
        <w:tc>
          <w:tcPr>
            <w:tcW w:w="903" w:type="dxa"/>
            <w:vAlign w:val="center"/>
          </w:tcPr>
          <w:p w:rsidR="00043E99" w:rsidRPr="00C92486" w:rsidRDefault="00043E99" w:rsidP="00043E99">
            <w:pPr>
              <w:jc w:val="center"/>
              <w:rPr>
                <w:rFonts w:asciiTheme="minorHAnsi" w:hAnsiTheme="minorHAnsi" w:cstheme="minorHAnsi"/>
                <w:bCs/>
                <w:color w:val="000000"/>
                <w:sz w:val="15"/>
                <w:szCs w:val="15"/>
              </w:rPr>
            </w:pPr>
            <w:r w:rsidRPr="00C92486">
              <w:rPr>
                <w:rFonts w:asciiTheme="minorHAnsi" w:hAnsiTheme="minorHAnsi" w:cstheme="minorHAnsi"/>
                <w:bCs/>
                <w:color w:val="000000"/>
                <w:sz w:val="15"/>
                <w:szCs w:val="15"/>
              </w:rPr>
              <w:t>31.12.2012</w:t>
            </w:r>
          </w:p>
        </w:tc>
        <w:tc>
          <w:tcPr>
            <w:tcW w:w="903" w:type="dxa"/>
            <w:vAlign w:val="center"/>
          </w:tcPr>
          <w:p w:rsidR="00043E99" w:rsidRPr="00C92486" w:rsidRDefault="00043E99" w:rsidP="00043E99">
            <w:pPr>
              <w:jc w:val="center"/>
              <w:rPr>
                <w:rFonts w:asciiTheme="minorHAnsi" w:hAnsiTheme="minorHAnsi" w:cstheme="minorHAnsi"/>
                <w:bCs/>
                <w:color w:val="000000"/>
                <w:sz w:val="15"/>
                <w:szCs w:val="15"/>
              </w:rPr>
            </w:pPr>
            <w:r w:rsidRPr="00C92486">
              <w:rPr>
                <w:rFonts w:asciiTheme="minorHAnsi" w:hAnsiTheme="minorHAnsi" w:cstheme="minorHAnsi"/>
                <w:bCs/>
                <w:color w:val="000000"/>
                <w:sz w:val="15"/>
                <w:szCs w:val="15"/>
              </w:rPr>
              <w:t>31.12.2013</w:t>
            </w:r>
          </w:p>
        </w:tc>
        <w:tc>
          <w:tcPr>
            <w:tcW w:w="903" w:type="dxa"/>
            <w:vAlign w:val="center"/>
          </w:tcPr>
          <w:p w:rsidR="00043E99" w:rsidRPr="00C92486" w:rsidRDefault="00043E99" w:rsidP="00043E99">
            <w:pPr>
              <w:jc w:val="center"/>
              <w:rPr>
                <w:rFonts w:asciiTheme="minorHAnsi" w:hAnsiTheme="minorHAnsi" w:cstheme="minorHAnsi"/>
                <w:bCs/>
                <w:color w:val="000000"/>
                <w:sz w:val="15"/>
                <w:szCs w:val="15"/>
              </w:rPr>
            </w:pPr>
            <w:r w:rsidRPr="00C92486">
              <w:rPr>
                <w:rFonts w:asciiTheme="minorHAnsi" w:hAnsiTheme="minorHAnsi" w:cstheme="minorHAnsi"/>
                <w:bCs/>
                <w:color w:val="000000"/>
                <w:sz w:val="15"/>
                <w:szCs w:val="15"/>
              </w:rPr>
              <w:t>31.12.2014</w:t>
            </w:r>
          </w:p>
        </w:tc>
        <w:tc>
          <w:tcPr>
            <w:tcW w:w="903" w:type="dxa"/>
            <w:vAlign w:val="center"/>
          </w:tcPr>
          <w:p w:rsidR="00043E99" w:rsidRPr="00C92486" w:rsidRDefault="00043E99" w:rsidP="00043E99">
            <w:pPr>
              <w:jc w:val="center"/>
              <w:rPr>
                <w:rFonts w:asciiTheme="minorHAnsi" w:hAnsiTheme="minorHAnsi" w:cstheme="minorHAnsi"/>
                <w:bCs/>
                <w:color w:val="000000"/>
                <w:sz w:val="15"/>
                <w:szCs w:val="15"/>
              </w:rPr>
            </w:pPr>
            <w:r w:rsidRPr="00C92486">
              <w:rPr>
                <w:rFonts w:asciiTheme="minorHAnsi" w:hAnsiTheme="minorHAnsi" w:cstheme="minorHAnsi"/>
                <w:bCs/>
                <w:color w:val="000000"/>
                <w:sz w:val="15"/>
                <w:szCs w:val="15"/>
              </w:rPr>
              <w:t>31.12.2015</w:t>
            </w:r>
          </w:p>
        </w:tc>
        <w:tc>
          <w:tcPr>
            <w:tcW w:w="903" w:type="dxa"/>
            <w:vAlign w:val="center"/>
          </w:tcPr>
          <w:p w:rsidR="00043E99" w:rsidRPr="00C92486" w:rsidRDefault="00043E99" w:rsidP="00043E99">
            <w:pPr>
              <w:jc w:val="center"/>
              <w:rPr>
                <w:rFonts w:asciiTheme="minorHAnsi" w:hAnsiTheme="minorHAnsi" w:cstheme="minorHAnsi"/>
                <w:bCs/>
                <w:color w:val="000000"/>
                <w:sz w:val="15"/>
                <w:szCs w:val="15"/>
              </w:rPr>
            </w:pPr>
            <w:r w:rsidRPr="00C92486">
              <w:rPr>
                <w:rFonts w:asciiTheme="minorHAnsi" w:hAnsiTheme="minorHAnsi" w:cstheme="minorHAnsi"/>
                <w:bCs/>
                <w:color w:val="000000"/>
                <w:sz w:val="15"/>
                <w:szCs w:val="15"/>
              </w:rPr>
              <w:t>31.12.2016</w:t>
            </w:r>
          </w:p>
        </w:tc>
        <w:tc>
          <w:tcPr>
            <w:tcW w:w="903" w:type="dxa"/>
            <w:vAlign w:val="center"/>
          </w:tcPr>
          <w:p w:rsidR="00043E99" w:rsidRPr="00C92486" w:rsidRDefault="00043E99" w:rsidP="00043E99">
            <w:pPr>
              <w:jc w:val="center"/>
              <w:rPr>
                <w:rFonts w:asciiTheme="minorHAnsi" w:hAnsiTheme="minorHAnsi" w:cstheme="minorHAnsi"/>
                <w:bCs/>
                <w:color w:val="000000"/>
                <w:sz w:val="15"/>
                <w:szCs w:val="15"/>
              </w:rPr>
            </w:pPr>
            <w:r w:rsidRPr="00C92486">
              <w:rPr>
                <w:rFonts w:asciiTheme="minorHAnsi" w:hAnsiTheme="minorHAnsi" w:cstheme="minorHAnsi"/>
                <w:bCs/>
                <w:color w:val="000000"/>
                <w:sz w:val="15"/>
                <w:szCs w:val="15"/>
              </w:rPr>
              <w:t>31.12.2017</w:t>
            </w:r>
          </w:p>
        </w:tc>
        <w:tc>
          <w:tcPr>
            <w:tcW w:w="903" w:type="dxa"/>
            <w:shd w:val="clear" w:color="auto" w:fill="auto"/>
            <w:vAlign w:val="center"/>
            <w:hideMark/>
          </w:tcPr>
          <w:p w:rsidR="00043E99" w:rsidRPr="00C92486" w:rsidRDefault="00043E99" w:rsidP="00043E99">
            <w:pPr>
              <w:jc w:val="center"/>
              <w:rPr>
                <w:rFonts w:asciiTheme="minorHAnsi" w:hAnsiTheme="minorHAnsi" w:cstheme="minorHAnsi"/>
                <w:bCs/>
                <w:color w:val="000000"/>
                <w:sz w:val="15"/>
                <w:szCs w:val="15"/>
              </w:rPr>
            </w:pPr>
            <w:r w:rsidRPr="00C92486">
              <w:rPr>
                <w:rFonts w:asciiTheme="minorHAnsi" w:hAnsiTheme="minorHAnsi" w:cstheme="minorHAnsi"/>
                <w:bCs/>
                <w:color w:val="000000"/>
                <w:sz w:val="15"/>
                <w:szCs w:val="15"/>
              </w:rPr>
              <w:t>31.12.2018</w:t>
            </w:r>
          </w:p>
        </w:tc>
        <w:tc>
          <w:tcPr>
            <w:tcW w:w="945" w:type="dxa"/>
            <w:shd w:val="clear" w:color="auto" w:fill="auto"/>
            <w:vAlign w:val="center"/>
            <w:hideMark/>
          </w:tcPr>
          <w:p w:rsidR="00043E99" w:rsidRPr="00C92486" w:rsidRDefault="00043E99" w:rsidP="00043E99">
            <w:pPr>
              <w:jc w:val="center"/>
              <w:rPr>
                <w:rFonts w:asciiTheme="minorHAnsi" w:hAnsiTheme="minorHAnsi" w:cstheme="minorHAnsi"/>
                <w:bCs/>
                <w:color w:val="000000"/>
                <w:sz w:val="15"/>
                <w:szCs w:val="15"/>
              </w:rPr>
            </w:pPr>
            <w:r w:rsidRPr="00C92486">
              <w:rPr>
                <w:rFonts w:asciiTheme="minorHAnsi" w:hAnsiTheme="minorHAnsi" w:cstheme="minorHAnsi"/>
                <w:bCs/>
                <w:color w:val="000000"/>
                <w:sz w:val="15"/>
                <w:szCs w:val="15"/>
              </w:rPr>
              <w:t>31.12.2019</w:t>
            </w:r>
          </w:p>
        </w:tc>
        <w:tc>
          <w:tcPr>
            <w:tcW w:w="992" w:type="dxa"/>
            <w:shd w:val="clear" w:color="auto" w:fill="auto"/>
            <w:vAlign w:val="center"/>
            <w:hideMark/>
          </w:tcPr>
          <w:p w:rsidR="00043E99" w:rsidRPr="00C92486" w:rsidRDefault="00043E99" w:rsidP="00043E99">
            <w:pPr>
              <w:jc w:val="center"/>
              <w:rPr>
                <w:rFonts w:asciiTheme="minorHAnsi" w:hAnsiTheme="minorHAnsi" w:cstheme="minorHAnsi"/>
                <w:bCs/>
                <w:color w:val="000000"/>
                <w:sz w:val="15"/>
                <w:szCs w:val="15"/>
              </w:rPr>
            </w:pPr>
            <w:r w:rsidRPr="00C92486">
              <w:rPr>
                <w:rFonts w:asciiTheme="minorHAnsi" w:hAnsiTheme="minorHAnsi" w:cstheme="minorHAnsi"/>
                <w:bCs/>
                <w:color w:val="000000"/>
                <w:sz w:val="15"/>
                <w:szCs w:val="15"/>
              </w:rPr>
              <w:t>31.03.2020</w:t>
            </w:r>
          </w:p>
        </w:tc>
        <w:tc>
          <w:tcPr>
            <w:tcW w:w="993" w:type="dxa"/>
            <w:shd w:val="clear" w:color="auto" w:fill="auto"/>
            <w:vAlign w:val="center"/>
            <w:hideMark/>
          </w:tcPr>
          <w:p w:rsidR="00043E99" w:rsidRPr="00C92486" w:rsidRDefault="00043E99" w:rsidP="00043E99">
            <w:pPr>
              <w:jc w:val="center"/>
              <w:rPr>
                <w:rFonts w:asciiTheme="minorHAnsi" w:hAnsiTheme="minorHAnsi" w:cstheme="minorHAnsi"/>
                <w:bCs/>
                <w:color w:val="000000"/>
                <w:sz w:val="15"/>
                <w:szCs w:val="15"/>
              </w:rPr>
            </w:pPr>
            <w:r w:rsidRPr="00C92486">
              <w:rPr>
                <w:rFonts w:asciiTheme="minorHAnsi" w:hAnsiTheme="minorHAnsi" w:cstheme="minorHAnsi"/>
                <w:bCs/>
                <w:color w:val="000000"/>
                <w:sz w:val="15"/>
                <w:szCs w:val="15"/>
              </w:rPr>
              <w:t>30.06.2020</w:t>
            </w:r>
          </w:p>
        </w:tc>
        <w:tc>
          <w:tcPr>
            <w:tcW w:w="992" w:type="dxa"/>
            <w:shd w:val="clear" w:color="auto" w:fill="auto"/>
            <w:vAlign w:val="center"/>
            <w:hideMark/>
          </w:tcPr>
          <w:p w:rsidR="00043E99" w:rsidRPr="00C92486" w:rsidRDefault="00043E99" w:rsidP="00043E99">
            <w:pPr>
              <w:jc w:val="center"/>
              <w:rPr>
                <w:rFonts w:asciiTheme="minorHAnsi" w:hAnsiTheme="minorHAnsi" w:cstheme="minorHAnsi"/>
                <w:bCs/>
                <w:color w:val="000000"/>
                <w:sz w:val="15"/>
                <w:szCs w:val="15"/>
              </w:rPr>
            </w:pPr>
            <w:r w:rsidRPr="00C92486">
              <w:rPr>
                <w:rFonts w:asciiTheme="minorHAnsi" w:hAnsiTheme="minorHAnsi" w:cstheme="minorHAnsi"/>
                <w:bCs/>
                <w:color w:val="000000"/>
                <w:sz w:val="15"/>
                <w:szCs w:val="15"/>
              </w:rPr>
              <w:t>30.09.2020</w:t>
            </w:r>
          </w:p>
        </w:tc>
        <w:tc>
          <w:tcPr>
            <w:tcW w:w="992" w:type="dxa"/>
            <w:vAlign w:val="center"/>
          </w:tcPr>
          <w:p w:rsidR="00043E99" w:rsidRPr="00C92486" w:rsidRDefault="00043E99" w:rsidP="00043E99">
            <w:pPr>
              <w:jc w:val="center"/>
              <w:rPr>
                <w:rFonts w:asciiTheme="minorHAnsi" w:hAnsiTheme="minorHAnsi" w:cstheme="minorHAnsi"/>
                <w:bCs/>
                <w:color w:val="000000"/>
                <w:sz w:val="15"/>
                <w:szCs w:val="15"/>
              </w:rPr>
            </w:pPr>
            <w:r w:rsidRPr="00C92486">
              <w:rPr>
                <w:rFonts w:asciiTheme="minorHAnsi" w:hAnsiTheme="minorHAnsi" w:cstheme="minorHAnsi"/>
                <w:bCs/>
                <w:color w:val="000000"/>
                <w:sz w:val="15"/>
                <w:szCs w:val="15"/>
              </w:rPr>
              <w:t>31.12.2020</w:t>
            </w:r>
          </w:p>
        </w:tc>
      </w:tr>
      <w:tr w:rsidR="00B152E4" w:rsidRPr="00C92486" w:rsidTr="003B4C2F">
        <w:trPr>
          <w:trHeight w:val="266"/>
        </w:trPr>
        <w:tc>
          <w:tcPr>
            <w:tcW w:w="2552" w:type="dxa"/>
            <w:shd w:val="clear" w:color="auto" w:fill="BDD6EE" w:themeFill="accent1" w:themeFillTint="66"/>
            <w:vAlign w:val="center"/>
            <w:hideMark/>
          </w:tcPr>
          <w:p w:rsidR="00B152E4" w:rsidRPr="005B3923" w:rsidRDefault="0005497F" w:rsidP="00B152E4">
            <w:pPr>
              <w:rPr>
                <w:rFonts w:asciiTheme="minorHAnsi" w:hAnsiTheme="minorHAnsi" w:cstheme="minorHAnsi"/>
                <w:b/>
                <w:bCs/>
                <w:color w:val="000000"/>
                <w:sz w:val="15"/>
                <w:szCs w:val="15"/>
                <w:lang w:val="en-US"/>
              </w:rPr>
            </w:pPr>
            <w:r w:rsidRPr="005B3923">
              <w:rPr>
                <w:rFonts w:asciiTheme="minorHAnsi" w:hAnsiTheme="minorHAnsi" w:cstheme="minorHAnsi"/>
                <w:b/>
                <w:bCs/>
                <w:color w:val="000000"/>
                <w:sz w:val="15"/>
                <w:szCs w:val="15"/>
                <w:lang w:val="en-US"/>
              </w:rPr>
              <w:t>External debt</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8 189,5</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8 098,0</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8 554,9</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10 135,4</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11 934,7</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13 733,3</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15 488,5</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17 235,2</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18 749,6</w:t>
            </w:r>
          </w:p>
        </w:tc>
        <w:tc>
          <w:tcPr>
            <w:tcW w:w="945"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26 331,0</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27 937,8</w:t>
            </w:r>
          </w:p>
        </w:tc>
        <w:tc>
          <w:tcPr>
            <w:tcW w:w="99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29 606,9</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31 425,5</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36 217,4</w:t>
            </w:r>
          </w:p>
        </w:tc>
      </w:tr>
      <w:tr w:rsidR="00B152E4" w:rsidRPr="00C92486" w:rsidTr="003B4C2F">
        <w:trPr>
          <w:trHeight w:val="266"/>
        </w:trPr>
        <w:tc>
          <w:tcPr>
            <w:tcW w:w="2552" w:type="dxa"/>
            <w:shd w:val="clear" w:color="auto" w:fill="auto"/>
            <w:vAlign w:val="center"/>
          </w:tcPr>
          <w:p w:rsidR="00B152E4" w:rsidRPr="008F42D9" w:rsidRDefault="0005497F" w:rsidP="00B152E4">
            <w:pPr>
              <w:rPr>
                <w:rFonts w:asciiTheme="minorHAnsi" w:hAnsiTheme="minorHAnsi" w:cstheme="minorHAnsi"/>
                <w:bCs/>
                <w:i/>
                <w:color w:val="000000"/>
                <w:sz w:val="15"/>
                <w:szCs w:val="15"/>
                <w:lang w:val="en-US"/>
              </w:rPr>
            </w:pPr>
            <w:r w:rsidRPr="008F42D9">
              <w:rPr>
                <w:rFonts w:asciiTheme="minorHAnsi" w:hAnsiTheme="minorHAnsi" w:cstheme="minorHAnsi"/>
                <w:bCs/>
                <w:i/>
                <w:color w:val="000000"/>
                <w:sz w:val="15"/>
                <w:szCs w:val="15"/>
                <w:lang w:val="en-US"/>
              </w:rPr>
              <w:t>Short term</w:t>
            </w:r>
          </w:p>
        </w:tc>
        <w:tc>
          <w:tcPr>
            <w:tcW w:w="90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361,3</w:t>
            </w:r>
          </w:p>
        </w:tc>
        <w:tc>
          <w:tcPr>
            <w:tcW w:w="90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81,0</w:t>
            </w:r>
          </w:p>
        </w:tc>
        <w:tc>
          <w:tcPr>
            <w:tcW w:w="90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82,7</w:t>
            </w:r>
          </w:p>
        </w:tc>
        <w:tc>
          <w:tcPr>
            <w:tcW w:w="90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119,8</w:t>
            </w:r>
          </w:p>
        </w:tc>
        <w:tc>
          <w:tcPr>
            <w:tcW w:w="90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179,7</w:t>
            </w:r>
          </w:p>
        </w:tc>
        <w:tc>
          <w:tcPr>
            <w:tcW w:w="90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202,4</w:t>
            </w:r>
          </w:p>
        </w:tc>
        <w:tc>
          <w:tcPr>
            <w:tcW w:w="90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426,3</w:t>
            </w:r>
          </w:p>
        </w:tc>
        <w:tc>
          <w:tcPr>
            <w:tcW w:w="90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788,6</w:t>
            </w:r>
          </w:p>
        </w:tc>
        <w:tc>
          <w:tcPr>
            <w:tcW w:w="90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1 000,1</w:t>
            </w:r>
          </w:p>
        </w:tc>
        <w:tc>
          <w:tcPr>
            <w:tcW w:w="945"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849,9</w:t>
            </w:r>
          </w:p>
        </w:tc>
        <w:tc>
          <w:tcPr>
            <w:tcW w:w="992"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1 668,7</w:t>
            </w:r>
          </w:p>
        </w:tc>
        <w:tc>
          <w:tcPr>
            <w:tcW w:w="99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1 692,2</w:t>
            </w:r>
          </w:p>
        </w:tc>
        <w:tc>
          <w:tcPr>
            <w:tcW w:w="992"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1 893,9</w:t>
            </w:r>
          </w:p>
        </w:tc>
        <w:tc>
          <w:tcPr>
            <w:tcW w:w="992" w:type="dxa"/>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2 756,9</w:t>
            </w:r>
          </w:p>
        </w:tc>
      </w:tr>
      <w:tr w:rsidR="00B152E4" w:rsidRPr="00C92486" w:rsidTr="003B4C2F">
        <w:trPr>
          <w:trHeight w:val="266"/>
        </w:trPr>
        <w:tc>
          <w:tcPr>
            <w:tcW w:w="2552" w:type="dxa"/>
            <w:shd w:val="clear" w:color="auto" w:fill="auto"/>
            <w:vAlign w:val="center"/>
            <w:hideMark/>
          </w:tcPr>
          <w:p w:rsidR="00B152E4" w:rsidRPr="008F42D9" w:rsidRDefault="0005497F" w:rsidP="00B152E4">
            <w:pPr>
              <w:rPr>
                <w:rFonts w:asciiTheme="minorHAnsi" w:hAnsiTheme="minorHAnsi" w:cstheme="minorHAnsi"/>
                <w:bCs/>
                <w:i/>
                <w:color w:val="000000"/>
                <w:sz w:val="15"/>
                <w:szCs w:val="15"/>
                <w:lang w:val="en-US"/>
              </w:rPr>
            </w:pPr>
            <w:r w:rsidRPr="008F42D9">
              <w:rPr>
                <w:rFonts w:asciiTheme="minorHAnsi" w:hAnsiTheme="minorHAnsi" w:cstheme="minorHAnsi"/>
                <w:bCs/>
                <w:i/>
                <w:color w:val="000000"/>
                <w:sz w:val="15"/>
                <w:szCs w:val="15"/>
                <w:lang w:val="en-US"/>
              </w:rPr>
              <w:t>Long term</w:t>
            </w:r>
          </w:p>
        </w:tc>
        <w:tc>
          <w:tcPr>
            <w:tcW w:w="90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7 828,2</w:t>
            </w:r>
          </w:p>
        </w:tc>
        <w:tc>
          <w:tcPr>
            <w:tcW w:w="90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8 017,0</w:t>
            </w:r>
          </w:p>
        </w:tc>
        <w:tc>
          <w:tcPr>
            <w:tcW w:w="90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8 472,2</w:t>
            </w:r>
          </w:p>
        </w:tc>
        <w:tc>
          <w:tcPr>
            <w:tcW w:w="90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10 015,6</w:t>
            </w:r>
          </w:p>
        </w:tc>
        <w:tc>
          <w:tcPr>
            <w:tcW w:w="90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11 755,0</w:t>
            </w:r>
          </w:p>
        </w:tc>
        <w:tc>
          <w:tcPr>
            <w:tcW w:w="90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13 530,9</w:t>
            </w:r>
          </w:p>
        </w:tc>
        <w:tc>
          <w:tcPr>
            <w:tcW w:w="90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15 062,2</w:t>
            </w:r>
          </w:p>
        </w:tc>
        <w:tc>
          <w:tcPr>
            <w:tcW w:w="90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16 446,6</w:t>
            </w:r>
          </w:p>
        </w:tc>
        <w:tc>
          <w:tcPr>
            <w:tcW w:w="90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17 749,5</w:t>
            </w:r>
          </w:p>
        </w:tc>
        <w:tc>
          <w:tcPr>
            <w:tcW w:w="945"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25 481,1</w:t>
            </w:r>
          </w:p>
        </w:tc>
        <w:tc>
          <w:tcPr>
            <w:tcW w:w="992"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26 269,1</w:t>
            </w:r>
          </w:p>
        </w:tc>
        <w:tc>
          <w:tcPr>
            <w:tcW w:w="99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27 914,6</w:t>
            </w:r>
          </w:p>
        </w:tc>
        <w:tc>
          <w:tcPr>
            <w:tcW w:w="992"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29 531,7</w:t>
            </w:r>
          </w:p>
        </w:tc>
        <w:tc>
          <w:tcPr>
            <w:tcW w:w="992" w:type="dxa"/>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33 460,5</w:t>
            </w:r>
          </w:p>
        </w:tc>
      </w:tr>
      <w:tr w:rsidR="00B152E4" w:rsidRPr="00C92486" w:rsidTr="003B4C2F">
        <w:trPr>
          <w:trHeight w:val="266"/>
        </w:trPr>
        <w:tc>
          <w:tcPr>
            <w:tcW w:w="2552" w:type="dxa"/>
            <w:shd w:val="clear" w:color="auto" w:fill="BDD6EE" w:themeFill="accent1" w:themeFillTint="66"/>
            <w:vAlign w:val="center"/>
            <w:hideMark/>
          </w:tcPr>
          <w:p w:rsidR="00B152E4" w:rsidRPr="005B3923" w:rsidRDefault="0005497F" w:rsidP="00B152E4">
            <w:pPr>
              <w:rPr>
                <w:rFonts w:asciiTheme="minorHAnsi" w:hAnsiTheme="minorHAnsi" w:cstheme="minorHAnsi"/>
                <w:b/>
                <w:bCs/>
                <w:color w:val="000000"/>
                <w:sz w:val="15"/>
                <w:szCs w:val="15"/>
              </w:rPr>
            </w:pPr>
            <w:r w:rsidRPr="005B3923">
              <w:rPr>
                <w:rFonts w:asciiTheme="minorHAnsi" w:hAnsiTheme="minorHAnsi" w:cstheme="minorHAnsi"/>
                <w:b/>
                <w:bCs/>
                <w:color w:val="000000"/>
                <w:sz w:val="15"/>
                <w:szCs w:val="15"/>
              </w:rPr>
              <w:t>General Government</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2 579,7</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2 691,8</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2 825,9</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3 070,9</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3 373,9</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4 286,5</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4 923,3</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5 992,3</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7 788,1</w:t>
            </w:r>
          </w:p>
        </w:tc>
        <w:tc>
          <w:tcPr>
            <w:tcW w:w="945"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11 742,5</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11 788,2</w:t>
            </w:r>
          </w:p>
        </w:tc>
        <w:tc>
          <w:tcPr>
            <w:tcW w:w="99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12 704,4</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13 719,8</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16 129,2</w:t>
            </w:r>
          </w:p>
        </w:tc>
      </w:tr>
      <w:tr w:rsidR="00B152E4" w:rsidRPr="00C92486" w:rsidTr="003B4C2F">
        <w:trPr>
          <w:trHeight w:val="266"/>
        </w:trPr>
        <w:tc>
          <w:tcPr>
            <w:tcW w:w="2552" w:type="dxa"/>
            <w:shd w:val="clear" w:color="auto" w:fill="DEEAF6" w:themeFill="accent1" w:themeFillTint="33"/>
            <w:vAlign w:val="center"/>
            <w:hideMark/>
          </w:tcPr>
          <w:p w:rsidR="00B152E4" w:rsidRPr="008F42D9" w:rsidRDefault="0005497F" w:rsidP="00B152E4">
            <w:pPr>
              <w:rPr>
                <w:rFonts w:asciiTheme="minorHAnsi" w:hAnsiTheme="minorHAnsi" w:cstheme="minorHAnsi"/>
                <w:bCs/>
                <w:color w:val="000000"/>
                <w:sz w:val="15"/>
                <w:szCs w:val="15"/>
              </w:rPr>
            </w:pPr>
            <w:r w:rsidRPr="008F42D9">
              <w:rPr>
                <w:rFonts w:asciiTheme="minorHAnsi" w:hAnsiTheme="minorHAnsi" w:cstheme="minorHAnsi"/>
                <w:bCs/>
                <w:color w:val="000000"/>
                <w:sz w:val="15"/>
                <w:szCs w:val="15"/>
                <w:lang w:val="en-US"/>
              </w:rPr>
              <w:t>Short term</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B152E4" w:rsidRPr="00C92486" w:rsidTr="003B4C2F">
        <w:trPr>
          <w:trHeight w:val="266"/>
        </w:trPr>
        <w:tc>
          <w:tcPr>
            <w:tcW w:w="2552" w:type="dxa"/>
            <w:shd w:val="clear" w:color="auto" w:fill="auto"/>
            <w:vAlign w:val="center"/>
            <w:hideMark/>
          </w:tcPr>
          <w:p w:rsidR="00B152E4" w:rsidRPr="008F42D9" w:rsidRDefault="0005497F"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Currency and deposits</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B152E4" w:rsidRPr="00C92486" w:rsidTr="003B4C2F">
        <w:trPr>
          <w:trHeight w:val="266"/>
        </w:trPr>
        <w:tc>
          <w:tcPr>
            <w:tcW w:w="2552" w:type="dxa"/>
            <w:shd w:val="clear" w:color="auto" w:fill="auto"/>
            <w:vAlign w:val="center"/>
            <w:hideMark/>
          </w:tcPr>
          <w:p w:rsidR="00B152E4" w:rsidRPr="008F42D9" w:rsidRDefault="0005497F"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 xml:space="preserve">Debt securities </w:t>
            </w:r>
            <w:r w:rsidR="00B152E4" w:rsidRPr="008F42D9">
              <w:rPr>
                <w:rFonts w:asciiTheme="minorHAnsi" w:hAnsiTheme="minorHAnsi" w:cstheme="minorHAnsi"/>
                <w:bCs/>
                <w:color w:val="000000"/>
                <w:sz w:val="15"/>
                <w:szCs w:val="15"/>
                <w:lang w:val="en-US"/>
              </w:rPr>
              <w:t>1</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B152E4" w:rsidRPr="00C92486" w:rsidTr="003B4C2F">
        <w:trPr>
          <w:trHeight w:val="266"/>
        </w:trPr>
        <w:tc>
          <w:tcPr>
            <w:tcW w:w="2552" w:type="dxa"/>
            <w:shd w:val="clear" w:color="auto" w:fill="auto"/>
            <w:vAlign w:val="center"/>
          </w:tcPr>
          <w:p w:rsidR="00B152E4" w:rsidRPr="008F42D9" w:rsidRDefault="0005497F"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Loans</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05497F" w:rsidRPr="00C92486" w:rsidTr="003B4C2F">
        <w:trPr>
          <w:trHeight w:val="266"/>
        </w:trPr>
        <w:tc>
          <w:tcPr>
            <w:tcW w:w="2552" w:type="dxa"/>
            <w:shd w:val="clear" w:color="auto" w:fill="auto"/>
          </w:tcPr>
          <w:p w:rsidR="0005497F" w:rsidRPr="008F42D9" w:rsidRDefault="0005497F" w:rsidP="0005497F">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Trade credit and advances Other debt liabilities</w:t>
            </w:r>
          </w:p>
        </w:tc>
        <w:tc>
          <w:tcPr>
            <w:tcW w:w="903" w:type="dxa"/>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05497F" w:rsidRPr="00C92486" w:rsidTr="003B4C2F">
        <w:trPr>
          <w:trHeight w:val="266"/>
        </w:trPr>
        <w:tc>
          <w:tcPr>
            <w:tcW w:w="2552" w:type="dxa"/>
            <w:shd w:val="clear" w:color="auto" w:fill="auto"/>
          </w:tcPr>
          <w:p w:rsidR="0005497F" w:rsidRPr="008F42D9" w:rsidRDefault="005B3923" w:rsidP="0005497F">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Other debt liabilities</w:t>
            </w:r>
          </w:p>
        </w:tc>
        <w:tc>
          <w:tcPr>
            <w:tcW w:w="903" w:type="dxa"/>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05497F" w:rsidRPr="00C92486" w:rsidRDefault="0005497F" w:rsidP="0005497F">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B152E4" w:rsidRPr="00C92486" w:rsidTr="003B4C2F">
        <w:trPr>
          <w:trHeight w:val="266"/>
        </w:trPr>
        <w:tc>
          <w:tcPr>
            <w:tcW w:w="2552" w:type="dxa"/>
            <w:shd w:val="clear" w:color="auto" w:fill="DEEAF6" w:themeFill="accent1" w:themeFillTint="33"/>
            <w:vAlign w:val="center"/>
            <w:hideMark/>
          </w:tcPr>
          <w:p w:rsidR="00B152E4" w:rsidRPr="008F42D9" w:rsidRDefault="005B3923" w:rsidP="00B152E4">
            <w:pPr>
              <w:rPr>
                <w:rFonts w:asciiTheme="minorHAnsi" w:hAnsiTheme="minorHAnsi" w:cstheme="minorHAnsi"/>
                <w:bCs/>
                <w:color w:val="000000"/>
                <w:sz w:val="15"/>
                <w:szCs w:val="15"/>
              </w:rPr>
            </w:pPr>
            <w:r w:rsidRPr="008F42D9">
              <w:rPr>
                <w:rFonts w:asciiTheme="minorHAnsi" w:hAnsiTheme="minorHAnsi" w:cstheme="minorHAnsi"/>
                <w:bCs/>
                <w:color w:val="000000"/>
                <w:sz w:val="15"/>
                <w:szCs w:val="15"/>
                <w:lang w:val="en-US"/>
              </w:rPr>
              <w:t>Long-term</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2 579,7</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2 691,8</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2 825,9</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3 070,9</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3 373,9</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4 286,5</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4 923,3</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5 992,3</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7 788,1</w:t>
            </w:r>
          </w:p>
        </w:tc>
        <w:tc>
          <w:tcPr>
            <w:tcW w:w="945"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11 742,5</w:t>
            </w:r>
          </w:p>
        </w:tc>
        <w:tc>
          <w:tcPr>
            <w:tcW w:w="992"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11 788,2</w:t>
            </w:r>
          </w:p>
        </w:tc>
        <w:tc>
          <w:tcPr>
            <w:tcW w:w="99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12 704,4</w:t>
            </w:r>
          </w:p>
        </w:tc>
        <w:tc>
          <w:tcPr>
            <w:tcW w:w="992"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13 719,8</w:t>
            </w:r>
          </w:p>
        </w:tc>
        <w:tc>
          <w:tcPr>
            <w:tcW w:w="992"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16 129,2</w:t>
            </w:r>
          </w:p>
        </w:tc>
      </w:tr>
      <w:tr w:rsidR="005B3923" w:rsidRPr="00C92486" w:rsidTr="003B4C2F">
        <w:trPr>
          <w:trHeight w:val="266"/>
        </w:trPr>
        <w:tc>
          <w:tcPr>
            <w:tcW w:w="2552" w:type="dxa"/>
            <w:shd w:val="clear" w:color="auto" w:fill="auto"/>
            <w:vAlign w:val="center"/>
            <w:hideMark/>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Currency and deposits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5B3923" w:rsidRPr="00C92486" w:rsidTr="003B4C2F">
        <w:trPr>
          <w:trHeight w:val="266"/>
        </w:trPr>
        <w:tc>
          <w:tcPr>
            <w:tcW w:w="2552" w:type="dxa"/>
            <w:shd w:val="clear" w:color="auto" w:fill="auto"/>
            <w:vAlign w:val="center"/>
            <w:hideMark/>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Debt securities 1</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1 107,0</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1 000,0</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1 094,1</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1 094,7</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1 929,4</w:t>
            </w:r>
          </w:p>
        </w:tc>
      </w:tr>
      <w:tr w:rsidR="005B3923" w:rsidRPr="00C92486" w:rsidTr="003B4C2F">
        <w:trPr>
          <w:trHeight w:val="266"/>
        </w:trPr>
        <w:tc>
          <w:tcPr>
            <w:tcW w:w="2552" w:type="dxa"/>
            <w:shd w:val="clear" w:color="auto" w:fill="auto"/>
            <w:vAlign w:val="center"/>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Loans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2 579,7</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2 691,8</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2 825,9</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3 070,9</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3 373,9</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4 286,5</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4 923,3</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5 992,3</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7 788,1</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10 635,6</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10 788,2</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11 610,3</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12 625,1</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14 199,8</w:t>
            </w:r>
          </w:p>
        </w:tc>
      </w:tr>
      <w:tr w:rsidR="005B3923" w:rsidRPr="00C92486" w:rsidTr="003B4C2F">
        <w:trPr>
          <w:trHeight w:val="266"/>
        </w:trPr>
        <w:tc>
          <w:tcPr>
            <w:tcW w:w="2552" w:type="dxa"/>
            <w:shd w:val="clear" w:color="auto" w:fill="auto"/>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Trade credit and advances Other debt liabilities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5B3923" w:rsidRPr="00C92486" w:rsidTr="003B4C2F">
        <w:trPr>
          <w:trHeight w:val="266"/>
        </w:trPr>
        <w:tc>
          <w:tcPr>
            <w:tcW w:w="2552" w:type="dxa"/>
            <w:shd w:val="clear" w:color="auto" w:fill="auto"/>
            <w:hideMark/>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Other debt liabilities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B152E4" w:rsidRPr="00C92486" w:rsidTr="003B4C2F">
        <w:trPr>
          <w:trHeight w:val="266"/>
        </w:trPr>
        <w:tc>
          <w:tcPr>
            <w:tcW w:w="2552" w:type="dxa"/>
            <w:shd w:val="clear" w:color="auto" w:fill="BDD6EE" w:themeFill="accent1" w:themeFillTint="66"/>
            <w:vAlign w:val="center"/>
            <w:hideMark/>
          </w:tcPr>
          <w:p w:rsidR="00B152E4" w:rsidRPr="005B3923" w:rsidRDefault="008F42D9" w:rsidP="00B152E4">
            <w:pPr>
              <w:rPr>
                <w:rFonts w:asciiTheme="minorHAnsi" w:hAnsiTheme="minorHAnsi" w:cstheme="minorHAnsi"/>
                <w:b/>
                <w:bCs/>
                <w:color w:val="000000"/>
                <w:sz w:val="15"/>
                <w:szCs w:val="15"/>
              </w:rPr>
            </w:pPr>
            <w:r w:rsidRPr="008F42D9">
              <w:rPr>
                <w:rFonts w:asciiTheme="minorHAnsi" w:hAnsiTheme="minorHAnsi" w:cstheme="minorHAnsi"/>
                <w:b/>
                <w:bCs/>
                <w:color w:val="000000"/>
                <w:sz w:val="15"/>
                <w:szCs w:val="15"/>
              </w:rPr>
              <w:t>Central Bank</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bCs/>
                <w:color w:val="000000"/>
                <w:sz w:val="15"/>
                <w:szCs w:val="15"/>
              </w:rPr>
            </w:pPr>
            <w:r w:rsidRPr="00C92486">
              <w:rPr>
                <w:rFonts w:asciiTheme="minorHAnsi" w:hAnsiTheme="minorHAnsi" w:cstheme="minorHAnsi"/>
                <w:b/>
                <w:bCs/>
                <w:color w:val="000000"/>
                <w:sz w:val="16"/>
                <w:szCs w:val="16"/>
              </w:rPr>
              <w:t>405,0</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bCs/>
                <w:color w:val="000000"/>
                <w:sz w:val="15"/>
                <w:szCs w:val="15"/>
              </w:rPr>
            </w:pPr>
            <w:r w:rsidRPr="00C92486">
              <w:rPr>
                <w:rFonts w:asciiTheme="minorHAnsi" w:hAnsiTheme="minorHAnsi" w:cstheme="minorHAnsi"/>
                <w:b/>
                <w:bCs/>
                <w:color w:val="000000"/>
                <w:sz w:val="16"/>
                <w:szCs w:val="16"/>
              </w:rPr>
              <w:t>403,6</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bCs/>
                <w:color w:val="000000"/>
                <w:sz w:val="15"/>
                <w:szCs w:val="15"/>
              </w:rPr>
            </w:pPr>
            <w:r w:rsidRPr="00C92486">
              <w:rPr>
                <w:rFonts w:asciiTheme="minorHAnsi" w:hAnsiTheme="minorHAnsi" w:cstheme="minorHAnsi"/>
                <w:b/>
                <w:bCs/>
                <w:color w:val="000000"/>
                <w:sz w:val="16"/>
                <w:szCs w:val="16"/>
              </w:rPr>
              <w:t>403,9</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bCs/>
                <w:color w:val="000000"/>
                <w:sz w:val="15"/>
                <w:szCs w:val="15"/>
              </w:rPr>
            </w:pPr>
            <w:r w:rsidRPr="00C92486">
              <w:rPr>
                <w:rFonts w:asciiTheme="minorHAnsi" w:hAnsiTheme="minorHAnsi" w:cstheme="minorHAnsi"/>
                <w:b/>
                <w:bCs/>
                <w:color w:val="000000"/>
                <w:sz w:val="16"/>
                <w:szCs w:val="16"/>
              </w:rPr>
              <w:t>404,8</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bCs/>
                <w:color w:val="000000"/>
                <w:sz w:val="15"/>
                <w:szCs w:val="15"/>
              </w:rPr>
            </w:pPr>
            <w:r w:rsidRPr="00C92486">
              <w:rPr>
                <w:rFonts w:asciiTheme="minorHAnsi" w:hAnsiTheme="minorHAnsi" w:cstheme="minorHAnsi"/>
                <w:b/>
                <w:bCs/>
                <w:color w:val="000000"/>
                <w:sz w:val="16"/>
                <w:szCs w:val="16"/>
              </w:rPr>
              <w:t>380,8</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bCs/>
                <w:color w:val="000000"/>
                <w:sz w:val="15"/>
                <w:szCs w:val="15"/>
              </w:rPr>
            </w:pPr>
            <w:r w:rsidRPr="00C92486">
              <w:rPr>
                <w:rFonts w:asciiTheme="minorHAnsi" w:hAnsiTheme="minorHAnsi" w:cstheme="minorHAnsi"/>
                <w:b/>
                <w:bCs/>
                <w:color w:val="000000"/>
                <w:sz w:val="16"/>
                <w:szCs w:val="16"/>
              </w:rPr>
              <w:t>364,2</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bCs/>
                <w:color w:val="000000"/>
                <w:sz w:val="15"/>
                <w:szCs w:val="15"/>
              </w:rPr>
            </w:pPr>
            <w:r w:rsidRPr="00C92486">
              <w:rPr>
                <w:rFonts w:asciiTheme="minorHAnsi" w:hAnsiTheme="minorHAnsi" w:cstheme="minorHAnsi"/>
                <w:b/>
                <w:bCs/>
                <w:color w:val="000000"/>
                <w:sz w:val="16"/>
                <w:szCs w:val="16"/>
              </w:rPr>
              <w:t>353,4</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bCs/>
                <w:color w:val="000000"/>
                <w:sz w:val="15"/>
                <w:szCs w:val="15"/>
              </w:rPr>
            </w:pPr>
            <w:r w:rsidRPr="00C92486">
              <w:rPr>
                <w:rFonts w:asciiTheme="minorHAnsi" w:hAnsiTheme="minorHAnsi" w:cstheme="minorHAnsi"/>
                <w:b/>
                <w:bCs/>
                <w:color w:val="000000"/>
                <w:sz w:val="16"/>
                <w:szCs w:val="16"/>
              </w:rPr>
              <w:t>374,7</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bCs/>
                <w:color w:val="000000"/>
                <w:sz w:val="15"/>
                <w:szCs w:val="15"/>
              </w:rPr>
            </w:pPr>
            <w:r w:rsidRPr="00C92486">
              <w:rPr>
                <w:rFonts w:asciiTheme="minorHAnsi" w:hAnsiTheme="minorHAnsi" w:cstheme="minorHAnsi"/>
                <w:b/>
                <w:bCs/>
                <w:color w:val="000000"/>
                <w:sz w:val="16"/>
                <w:szCs w:val="16"/>
              </w:rPr>
              <w:t>366,1</w:t>
            </w:r>
          </w:p>
        </w:tc>
        <w:tc>
          <w:tcPr>
            <w:tcW w:w="945"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bCs/>
                <w:color w:val="000000"/>
                <w:sz w:val="15"/>
                <w:szCs w:val="15"/>
              </w:rPr>
            </w:pPr>
            <w:r w:rsidRPr="00C92486">
              <w:rPr>
                <w:rFonts w:asciiTheme="minorHAnsi" w:hAnsiTheme="minorHAnsi" w:cstheme="minorHAnsi"/>
                <w:b/>
                <w:bCs/>
                <w:color w:val="000000"/>
                <w:sz w:val="16"/>
                <w:szCs w:val="16"/>
              </w:rPr>
              <w:t>363,9</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bCs/>
                <w:color w:val="000000"/>
                <w:sz w:val="15"/>
                <w:szCs w:val="15"/>
              </w:rPr>
            </w:pPr>
            <w:r w:rsidRPr="00C92486">
              <w:rPr>
                <w:rFonts w:asciiTheme="minorHAnsi" w:hAnsiTheme="minorHAnsi" w:cstheme="minorHAnsi"/>
                <w:b/>
                <w:bCs/>
                <w:color w:val="000000"/>
                <w:sz w:val="16"/>
                <w:szCs w:val="16"/>
              </w:rPr>
              <w:t>358,9</w:t>
            </w:r>
          </w:p>
        </w:tc>
        <w:tc>
          <w:tcPr>
            <w:tcW w:w="99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bCs/>
                <w:color w:val="000000"/>
                <w:sz w:val="15"/>
                <w:szCs w:val="15"/>
              </w:rPr>
            </w:pPr>
            <w:r w:rsidRPr="00C92486">
              <w:rPr>
                <w:rFonts w:asciiTheme="minorHAnsi" w:hAnsiTheme="minorHAnsi" w:cstheme="minorHAnsi"/>
                <w:b/>
                <w:bCs/>
                <w:color w:val="000000"/>
                <w:sz w:val="16"/>
                <w:szCs w:val="16"/>
              </w:rPr>
              <w:t>361,6</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bCs/>
                <w:color w:val="000000"/>
                <w:sz w:val="15"/>
                <w:szCs w:val="15"/>
              </w:rPr>
            </w:pPr>
            <w:r w:rsidRPr="00C92486">
              <w:rPr>
                <w:rFonts w:asciiTheme="minorHAnsi" w:hAnsiTheme="minorHAnsi" w:cstheme="minorHAnsi"/>
                <w:b/>
                <w:bCs/>
                <w:color w:val="000000"/>
                <w:sz w:val="16"/>
                <w:szCs w:val="16"/>
              </w:rPr>
              <w:t>369,9</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bCs/>
                <w:color w:val="000000"/>
                <w:sz w:val="15"/>
                <w:szCs w:val="15"/>
              </w:rPr>
            </w:pPr>
            <w:r w:rsidRPr="00C92486">
              <w:rPr>
                <w:rFonts w:asciiTheme="minorHAnsi" w:hAnsiTheme="minorHAnsi" w:cstheme="minorHAnsi"/>
                <w:b/>
                <w:bCs/>
                <w:color w:val="000000"/>
                <w:sz w:val="16"/>
                <w:szCs w:val="16"/>
              </w:rPr>
              <w:t>378,6</w:t>
            </w:r>
          </w:p>
        </w:tc>
      </w:tr>
      <w:tr w:rsidR="00B152E4" w:rsidRPr="00C92486" w:rsidTr="003B4C2F">
        <w:trPr>
          <w:trHeight w:val="266"/>
        </w:trPr>
        <w:tc>
          <w:tcPr>
            <w:tcW w:w="2552" w:type="dxa"/>
            <w:shd w:val="clear" w:color="auto" w:fill="DEEAF6" w:themeFill="accent1" w:themeFillTint="33"/>
            <w:vAlign w:val="center"/>
            <w:hideMark/>
          </w:tcPr>
          <w:p w:rsidR="00B152E4" w:rsidRPr="008F42D9" w:rsidRDefault="0005497F" w:rsidP="00B152E4">
            <w:pPr>
              <w:rPr>
                <w:rFonts w:asciiTheme="minorHAnsi" w:hAnsiTheme="minorHAnsi" w:cstheme="minorHAnsi"/>
                <w:bCs/>
                <w:color w:val="000000"/>
                <w:sz w:val="15"/>
                <w:szCs w:val="15"/>
              </w:rPr>
            </w:pPr>
            <w:r w:rsidRPr="008F42D9">
              <w:rPr>
                <w:rFonts w:asciiTheme="minorHAnsi" w:hAnsiTheme="minorHAnsi" w:cstheme="minorHAnsi"/>
                <w:bCs/>
                <w:color w:val="000000"/>
                <w:sz w:val="15"/>
                <w:szCs w:val="15"/>
                <w:lang w:val="en-US"/>
              </w:rPr>
              <w:t>Short term</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8F42D9" w:rsidRPr="00C92486" w:rsidTr="003B4C2F">
        <w:trPr>
          <w:trHeight w:val="266"/>
        </w:trPr>
        <w:tc>
          <w:tcPr>
            <w:tcW w:w="2552" w:type="dxa"/>
            <w:shd w:val="clear" w:color="auto" w:fill="auto"/>
            <w:vAlign w:val="center"/>
            <w:hideMark/>
          </w:tcPr>
          <w:p w:rsidR="008F42D9" w:rsidRPr="005B3923" w:rsidRDefault="008F42D9" w:rsidP="008F42D9">
            <w:pPr>
              <w:rPr>
                <w:rFonts w:asciiTheme="minorHAnsi" w:hAnsiTheme="minorHAnsi" w:cstheme="minorHAnsi"/>
                <w:bCs/>
                <w:color w:val="000000"/>
                <w:sz w:val="15"/>
                <w:szCs w:val="15"/>
                <w:lang w:val="en-US"/>
              </w:rPr>
            </w:pPr>
            <w:r w:rsidRPr="005B3923">
              <w:rPr>
                <w:rFonts w:asciiTheme="minorHAnsi" w:hAnsiTheme="minorHAnsi" w:cstheme="minorHAnsi"/>
                <w:bCs/>
                <w:color w:val="000000"/>
                <w:sz w:val="15"/>
                <w:szCs w:val="15"/>
                <w:lang w:val="en-US"/>
              </w:rPr>
              <w:t>Currency and deposits</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8F42D9" w:rsidRPr="00C92486" w:rsidTr="003B4C2F">
        <w:trPr>
          <w:trHeight w:val="266"/>
        </w:trPr>
        <w:tc>
          <w:tcPr>
            <w:tcW w:w="2552" w:type="dxa"/>
            <w:shd w:val="clear" w:color="auto" w:fill="auto"/>
            <w:vAlign w:val="center"/>
            <w:hideMark/>
          </w:tcPr>
          <w:p w:rsidR="008F42D9" w:rsidRPr="005B3923" w:rsidRDefault="008F42D9" w:rsidP="008F42D9">
            <w:pPr>
              <w:rPr>
                <w:rFonts w:asciiTheme="minorHAnsi" w:hAnsiTheme="minorHAnsi" w:cstheme="minorHAnsi"/>
                <w:bCs/>
                <w:color w:val="000000"/>
                <w:sz w:val="15"/>
                <w:szCs w:val="15"/>
                <w:lang w:val="en-US"/>
              </w:rPr>
            </w:pPr>
            <w:r w:rsidRPr="005B3923">
              <w:rPr>
                <w:rFonts w:asciiTheme="minorHAnsi" w:hAnsiTheme="minorHAnsi" w:cstheme="minorHAnsi"/>
                <w:bCs/>
                <w:color w:val="000000"/>
                <w:sz w:val="15"/>
                <w:szCs w:val="15"/>
                <w:lang w:val="en-US"/>
              </w:rPr>
              <w:t>Debt securities 1</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8F42D9" w:rsidRPr="00C92486" w:rsidTr="003B4C2F">
        <w:trPr>
          <w:trHeight w:val="266"/>
        </w:trPr>
        <w:tc>
          <w:tcPr>
            <w:tcW w:w="2552" w:type="dxa"/>
            <w:shd w:val="clear" w:color="auto" w:fill="auto"/>
            <w:vAlign w:val="center"/>
            <w:hideMark/>
          </w:tcPr>
          <w:p w:rsidR="008F42D9" w:rsidRPr="005B3923" w:rsidRDefault="008F42D9" w:rsidP="008F42D9">
            <w:pPr>
              <w:rPr>
                <w:rFonts w:asciiTheme="minorHAnsi" w:hAnsiTheme="minorHAnsi" w:cstheme="minorHAnsi"/>
                <w:bCs/>
                <w:color w:val="000000"/>
                <w:sz w:val="15"/>
                <w:szCs w:val="15"/>
                <w:lang w:val="en-US"/>
              </w:rPr>
            </w:pPr>
            <w:r w:rsidRPr="005B3923">
              <w:rPr>
                <w:rFonts w:asciiTheme="minorHAnsi" w:hAnsiTheme="minorHAnsi" w:cstheme="minorHAnsi"/>
                <w:bCs/>
                <w:color w:val="000000"/>
                <w:sz w:val="15"/>
                <w:szCs w:val="15"/>
                <w:lang w:val="en-US"/>
              </w:rPr>
              <w:t>Loans</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8F42D9" w:rsidRPr="00C92486" w:rsidTr="003B4C2F">
        <w:trPr>
          <w:trHeight w:val="266"/>
        </w:trPr>
        <w:tc>
          <w:tcPr>
            <w:tcW w:w="2552" w:type="dxa"/>
            <w:shd w:val="clear" w:color="auto" w:fill="auto"/>
            <w:hideMark/>
          </w:tcPr>
          <w:p w:rsidR="008F42D9" w:rsidRPr="005B3923" w:rsidRDefault="008F42D9" w:rsidP="008F42D9">
            <w:pPr>
              <w:rPr>
                <w:rFonts w:asciiTheme="minorHAnsi" w:hAnsiTheme="minorHAnsi" w:cstheme="minorHAnsi"/>
                <w:bCs/>
                <w:color w:val="000000"/>
                <w:sz w:val="15"/>
                <w:szCs w:val="15"/>
                <w:lang w:val="en-US"/>
              </w:rPr>
            </w:pPr>
            <w:r w:rsidRPr="005B3923">
              <w:rPr>
                <w:rFonts w:asciiTheme="minorHAnsi" w:hAnsiTheme="minorHAnsi" w:cstheme="minorHAnsi"/>
                <w:bCs/>
                <w:color w:val="000000"/>
                <w:sz w:val="15"/>
                <w:szCs w:val="15"/>
                <w:lang w:val="en-US"/>
              </w:rPr>
              <w:t>Trade credit and advances Other debt liabilities</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8F42D9" w:rsidRPr="00C92486" w:rsidTr="003B4C2F">
        <w:trPr>
          <w:trHeight w:val="266"/>
        </w:trPr>
        <w:tc>
          <w:tcPr>
            <w:tcW w:w="2552" w:type="dxa"/>
            <w:shd w:val="clear" w:color="auto" w:fill="auto"/>
            <w:hideMark/>
          </w:tcPr>
          <w:p w:rsidR="008F42D9" w:rsidRPr="005B3923" w:rsidRDefault="008F42D9" w:rsidP="008F42D9">
            <w:pPr>
              <w:rPr>
                <w:rFonts w:asciiTheme="minorHAnsi" w:hAnsiTheme="minorHAnsi" w:cstheme="minorHAnsi"/>
                <w:bCs/>
                <w:color w:val="000000"/>
                <w:sz w:val="15"/>
                <w:szCs w:val="15"/>
                <w:lang w:val="en-US"/>
              </w:rPr>
            </w:pPr>
            <w:r w:rsidRPr="005B3923">
              <w:rPr>
                <w:rFonts w:asciiTheme="minorHAnsi" w:hAnsiTheme="minorHAnsi" w:cstheme="minorHAnsi"/>
                <w:bCs/>
                <w:color w:val="000000"/>
                <w:sz w:val="15"/>
                <w:szCs w:val="15"/>
                <w:lang w:val="en-US"/>
              </w:rPr>
              <w:t>Other debt liabilities</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B152E4" w:rsidRPr="00C92486" w:rsidTr="003B4C2F">
        <w:trPr>
          <w:trHeight w:val="266"/>
        </w:trPr>
        <w:tc>
          <w:tcPr>
            <w:tcW w:w="2552" w:type="dxa"/>
            <w:shd w:val="clear" w:color="auto" w:fill="DEEAF6" w:themeFill="accent1" w:themeFillTint="33"/>
            <w:vAlign w:val="center"/>
            <w:hideMark/>
          </w:tcPr>
          <w:p w:rsidR="00B152E4" w:rsidRPr="008F42D9" w:rsidRDefault="008F42D9" w:rsidP="00B152E4">
            <w:pPr>
              <w:rPr>
                <w:rFonts w:asciiTheme="minorHAnsi" w:hAnsiTheme="minorHAnsi" w:cstheme="minorHAnsi"/>
                <w:bCs/>
                <w:color w:val="000000"/>
                <w:sz w:val="15"/>
                <w:szCs w:val="15"/>
              </w:rPr>
            </w:pPr>
            <w:r w:rsidRPr="008F42D9">
              <w:rPr>
                <w:rFonts w:asciiTheme="minorHAnsi" w:hAnsiTheme="minorHAnsi" w:cstheme="minorHAnsi"/>
                <w:bCs/>
                <w:color w:val="000000"/>
                <w:sz w:val="15"/>
                <w:szCs w:val="15"/>
                <w:lang w:val="en-US"/>
              </w:rPr>
              <w:t>Long-term</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405,0</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403,6</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403,9</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404,8</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380,8</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364,2</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353,4</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374,7</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366,1</w:t>
            </w:r>
          </w:p>
        </w:tc>
        <w:tc>
          <w:tcPr>
            <w:tcW w:w="945"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363,9</w:t>
            </w:r>
          </w:p>
        </w:tc>
        <w:tc>
          <w:tcPr>
            <w:tcW w:w="992"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358,9</w:t>
            </w:r>
          </w:p>
        </w:tc>
        <w:tc>
          <w:tcPr>
            <w:tcW w:w="99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361,6</w:t>
            </w:r>
          </w:p>
        </w:tc>
        <w:tc>
          <w:tcPr>
            <w:tcW w:w="992"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369,9</w:t>
            </w:r>
          </w:p>
        </w:tc>
        <w:tc>
          <w:tcPr>
            <w:tcW w:w="992"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378,6</w:t>
            </w:r>
          </w:p>
        </w:tc>
      </w:tr>
      <w:tr w:rsidR="008F42D9" w:rsidRPr="00C92486" w:rsidTr="003B4C2F">
        <w:trPr>
          <w:trHeight w:val="266"/>
        </w:trPr>
        <w:tc>
          <w:tcPr>
            <w:tcW w:w="2552" w:type="dxa"/>
            <w:shd w:val="clear" w:color="auto" w:fill="auto"/>
            <w:vAlign w:val="center"/>
            <w:hideMark/>
          </w:tcPr>
          <w:p w:rsidR="008F42D9" w:rsidRPr="005B3923" w:rsidRDefault="008F42D9" w:rsidP="008F42D9">
            <w:pPr>
              <w:rPr>
                <w:rFonts w:asciiTheme="minorHAnsi" w:hAnsiTheme="minorHAnsi" w:cstheme="minorHAnsi"/>
                <w:bCs/>
                <w:color w:val="000000"/>
                <w:sz w:val="15"/>
                <w:szCs w:val="15"/>
                <w:lang w:val="en-US"/>
              </w:rPr>
            </w:pPr>
            <w:r w:rsidRPr="005B3923">
              <w:rPr>
                <w:rFonts w:asciiTheme="minorHAnsi" w:hAnsiTheme="minorHAnsi" w:cstheme="minorHAnsi"/>
                <w:bCs/>
                <w:color w:val="000000"/>
                <w:sz w:val="15"/>
                <w:szCs w:val="15"/>
                <w:lang w:val="en-US"/>
              </w:rPr>
              <w:t>Currency and deposits</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405,0</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403,6</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403,9</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404,8</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380,8</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364,2</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353,4</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374,7</w:t>
            </w:r>
          </w:p>
        </w:tc>
        <w:tc>
          <w:tcPr>
            <w:tcW w:w="903"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366,1</w:t>
            </w:r>
          </w:p>
        </w:tc>
        <w:tc>
          <w:tcPr>
            <w:tcW w:w="945"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363,9</w:t>
            </w:r>
          </w:p>
        </w:tc>
        <w:tc>
          <w:tcPr>
            <w:tcW w:w="992"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358,9</w:t>
            </w:r>
          </w:p>
        </w:tc>
        <w:tc>
          <w:tcPr>
            <w:tcW w:w="993"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361,6</w:t>
            </w:r>
          </w:p>
        </w:tc>
        <w:tc>
          <w:tcPr>
            <w:tcW w:w="992"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369,9</w:t>
            </w:r>
          </w:p>
        </w:tc>
        <w:tc>
          <w:tcPr>
            <w:tcW w:w="992"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378,6</w:t>
            </w:r>
          </w:p>
        </w:tc>
      </w:tr>
      <w:tr w:rsidR="008F42D9" w:rsidRPr="00C92486" w:rsidTr="003B4C2F">
        <w:trPr>
          <w:trHeight w:val="266"/>
        </w:trPr>
        <w:tc>
          <w:tcPr>
            <w:tcW w:w="2552" w:type="dxa"/>
            <w:shd w:val="clear" w:color="auto" w:fill="auto"/>
            <w:vAlign w:val="center"/>
            <w:hideMark/>
          </w:tcPr>
          <w:p w:rsidR="008F42D9" w:rsidRPr="005B3923" w:rsidRDefault="008F42D9" w:rsidP="008F42D9">
            <w:pPr>
              <w:rPr>
                <w:rFonts w:asciiTheme="minorHAnsi" w:hAnsiTheme="minorHAnsi" w:cstheme="minorHAnsi"/>
                <w:bCs/>
                <w:color w:val="000000"/>
                <w:sz w:val="15"/>
                <w:szCs w:val="15"/>
                <w:lang w:val="en-US"/>
              </w:rPr>
            </w:pPr>
            <w:r w:rsidRPr="005B3923">
              <w:rPr>
                <w:rFonts w:asciiTheme="minorHAnsi" w:hAnsiTheme="minorHAnsi" w:cstheme="minorHAnsi"/>
                <w:bCs/>
                <w:color w:val="000000"/>
                <w:sz w:val="15"/>
                <w:szCs w:val="15"/>
                <w:lang w:val="en-US"/>
              </w:rPr>
              <w:t>Debt securities 1</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8F42D9" w:rsidRPr="00C92486" w:rsidTr="003B4C2F">
        <w:trPr>
          <w:trHeight w:val="266"/>
        </w:trPr>
        <w:tc>
          <w:tcPr>
            <w:tcW w:w="2552" w:type="dxa"/>
            <w:shd w:val="clear" w:color="auto" w:fill="auto"/>
            <w:vAlign w:val="center"/>
            <w:hideMark/>
          </w:tcPr>
          <w:p w:rsidR="008F42D9" w:rsidRPr="005B3923" w:rsidRDefault="008F42D9" w:rsidP="008F42D9">
            <w:pPr>
              <w:rPr>
                <w:rFonts w:asciiTheme="minorHAnsi" w:hAnsiTheme="minorHAnsi" w:cstheme="minorHAnsi"/>
                <w:bCs/>
                <w:color w:val="000000"/>
                <w:sz w:val="15"/>
                <w:szCs w:val="15"/>
                <w:lang w:val="en-US"/>
              </w:rPr>
            </w:pPr>
            <w:r w:rsidRPr="005B3923">
              <w:rPr>
                <w:rFonts w:asciiTheme="minorHAnsi" w:hAnsiTheme="minorHAnsi" w:cstheme="minorHAnsi"/>
                <w:bCs/>
                <w:color w:val="000000"/>
                <w:sz w:val="15"/>
                <w:szCs w:val="15"/>
                <w:lang w:val="en-US"/>
              </w:rPr>
              <w:t>Loans</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8F42D9" w:rsidRPr="00C92486" w:rsidTr="003B4C2F">
        <w:trPr>
          <w:trHeight w:val="266"/>
        </w:trPr>
        <w:tc>
          <w:tcPr>
            <w:tcW w:w="2552" w:type="dxa"/>
            <w:shd w:val="clear" w:color="auto" w:fill="auto"/>
            <w:hideMark/>
          </w:tcPr>
          <w:p w:rsidR="008F42D9" w:rsidRPr="005B3923" w:rsidRDefault="008F42D9" w:rsidP="008F42D9">
            <w:pPr>
              <w:rPr>
                <w:rFonts w:asciiTheme="minorHAnsi" w:hAnsiTheme="minorHAnsi" w:cstheme="minorHAnsi"/>
                <w:bCs/>
                <w:color w:val="000000"/>
                <w:sz w:val="15"/>
                <w:szCs w:val="15"/>
                <w:lang w:val="en-US"/>
              </w:rPr>
            </w:pPr>
            <w:r w:rsidRPr="005B3923">
              <w:rPr>
                <w:rFonts w:asciiTheme="minorHAnsi" w:hAnsiTheme="minorHAnsi" w:cstheme="minorHAnsi"/>
                <w:bCs/>
                <w:color w:val="000000"/>
                <w:sz w:val="15"/>
                <w:szCs w:val="15"/>
                <w:lang w:val="en-US"/>
              </w:rPr>
              <w:t>Trade credit and advances Other debt liabilities</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8F42D9" w:rsidRPr="00C92486" w:rsidRDefault="008F42D9" w:rsidP="008F42D9">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B152E4" w:rsidRPr="00C92486" w:rsidTr="003B4C2F">
        <w:trPr>
          <w:trHeight w:val="266"/>
        </w:trPr>
        <w:tc>
          <w:tcPr>
            <w:tcW w:w="2552" w:type="dxa"/>
            <w:shd w:val="clear" w:color="auto" w:fill="auto"/>
            <w:vAlign w:val="center"/>
            <w:hideMark/>
          </w:tcPr>
          <w:p w:rsidR="00B152E4" w:rsidRPr="005B3923" w:rsidRDefault="00B152E4" w:rsidP="00B152E4">
            <w:pPr>
              <w:ind w:left="174"/>
              <w:rPr>
                <w:rFonts w:asciiTheme="minorHAnsi" w:hAnsiTheme="minorHAnsi" w:cstheme="minorHAnsi"/>
                <w:bCs/>
                <w:color w:val="000000"/>
                <w:sz w:val="15"/>
                <w:szCs w:val="15"/>
              </w:rPr>
            </w:pPr>
            <w:r w:rsidRPr="005B3923">
              <w:rPr>
                <w:rFonts w:asciiTheme="minorHAnsi" w:hAnsiTheme="minorHAnsi" w:cstheme="minorHAnsi"/>
                <w:bCs/>
                <w:color w:val="000000"/>
                <w:sz w:val="15"/>
                <w:szCs w:val="15"/>
              </w:rPr>
              <w:t>Прочие обязательства</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B152E4" w:rsidRPr="00C92486" w:rsidTr="003B4C2F">
        <w:trPr>
          <w:trHeight w:val="300"/>
        </w:trPr>
        <w:tc>
          <w:tcPr>
            <w:tcW w:w="2552" w:type="dxa"/>
            <w:shd w:val="clear" w:color="auto" w:fill="BDD6EE" w:themeFill="accent1" w:themeFillTint="66"/>
            <w:vAlign w:val="center"/>
            <w:hideMark/>
          </w:tcPr>
          <w:p w:rsidR="00B152E4" w:rsidRPr="005B3923" w:rsidRDefault="005B3923" w:rsidP="00B152E4">
            <w:pPr>
              <w:rPr>
                <w:rFonts w:asciiTheme="minorHAnsi" w:hAnsiTheme="minorHAnsi" w:cstheme="minorHAnsi"/>
                <w:b/>
                <w:bCs/>
                <w:color w:val="000000"/>
                <w:sz w:val="15"/>
                <w:szCs w:val="15"/>
                <w:lang w:val="en-US"/>
              </w:rPr>
            </w:pPr>
            <w:r w:rsidRPr="005B3923">
              <w:rPr>
                <w:rFonts w:asciiTheme="minorHAnsi" w:hAnsiTheme="minorHAnsi" w:cstheme="minorHAnsi"/>
                <w:b/>
                <w:bCs/>
                <w:color w:val="000000"/>
                <w:sz w:val="15"/>
                <w:szCs w:val="15"/>
                <w:lang w:val="en-US"/>
              </w:rPr>
              <w:lastRenderedPageBreak/>
              <w:t>Deposit-Taking Corporations, except the Central Bank</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260,8</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248,1</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339,9</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330,7</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401,2</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447,4</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484,3</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701,5</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1 085,6</w:t>
            </w:r>
          </w:p>
        </w:tc>
        <w:tc>
          <w:tcPr>
            <w:tcW w:w="945"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3 088,0</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3 847,9</w:t>
            </w:r>
          </w:p>
        </w:tc>
        <w:tc>
          <w:tcPr>
            <w:tcW w:w="99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4 658,0</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5 151,3</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6 654,1</w:t>
            </w:r>
          </w:p>
        </w:tc>
      </w:tr>
      <w:tr w:rsidR="005B3923" w:rsidRPr="00C92486" w:rsidTr="003B4C2F">
        <w:trPr>
          <w:trHeight w:val="300"/>
        </w:trPr>
        <w:tc>
          <w:tcPr>
            <w:tcW w:w="2552" w:type="dxa"/>
            <w:shd w:val="clear" w:color="auto" w:fill="DEEAF6" w:themeFill="accent1" w:themeFillTint="33"/>
            <w:vAlign w:val="center"/>
            <w:hideMark/>
          </w:tcPr>
          <w:p w:rsidR="005B3923" w:rsidRPr="008F42D9" w:rsidRDefault="005B3923" w:rsidP="005B3923">
            <w:pPr>
              <w:rPr>
                <w:rFonts w:asciiTheme="minorHAnsi" w:hAnsiTheme="minorHAnsi" w:cstheme="minorHAnsi"/>
                <w:bCs/>
                <w:color w:val="000000"/>
                <w:sz w:val="15"/>
                <w:szCs w:val="15"/>
              </w:rPr>
            </w:pPr>
            <w:r w:rsidRPr="008F42D9">
              <w:rPr>
                <w:rFonts w:asciiTheme="minorHAnsi" w:hAnsiTheme="minorHAnsi" w:cstheme="minorHAnsi"/>
                <w:bCs/>
                <w:color w:val="000000"/>
                <w:sz w:val="15"/>
                <w:szCs w:val="15"/>
                <w:lang w:val="en-US"/>
              </w:rPr>
              <w:t>Short term</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51,1</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47,5</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51,0</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60,8</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45,9</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34,8</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27,1</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100,3</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89,3</w:t>
            </w:r>
          </w:p>
        </w:tc>
        <w:tc>
          <w:tcPr>
            <w:tcW w:w="945"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383,0</w:t>
            </w:r>
          </w:p>
        </w:tc>
        <w:tc>
          <w:tcPr>
            <w:tcW w:w="992"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760,5</w:t>
            </w:r>
          </w:p>
        </w:tc>
        <w:tc>
          <w:tcPr>
            <w:tcW w:w="99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974,2</w:t>
            </w:r>
          </w:p>
        </w:tc>
        <w:tc>
          <w:tcPr>
            <w:tcW w:w="992"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1 001,1</w:t>
            </w:r>
          </w:p>
        </w:tc>
        <w:tc>
          <w:tcPr>
            <w:tcW w:w="992"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1 550,0</w:t>
            </w:r>
          </w:p>
        </w:tc>
      </w:tr>
      <w:tr w:rsidR="005B3923" w:rsidRPr="00C92486" w:rsidTr="003B4C2F">
        <w:trPr>
          <w:trHeight w:val="300"/>
        </w:trPr>
        <w:tc>
          <w:tcPr>
            <w:tcW w:w="2552" w:type="dxa"/>
            <w:shd w:val="clear" w:color="auto" w:fill="auto"/>
            <w:vAlign w:val="center"/>
            <w:hideMark/>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Currency and deposits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51,1</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47,5</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51,0</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60,8</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45,9</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34,8</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27,1</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100,3</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89,3</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130,9</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130,9</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160,0</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202,5</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279,1</w:t>
            </w:r>
          </w:p>
        </w:tc>
      </w:tr>
      <w:tr w:rsidR="005B3923" w:rsidRPr="00C92486" w:rsidTr="003B4C2F">
        <w:trPr>
          <w:trHeight w:val="300"/>
        </w:trPr>
        <w:tc>
          <w:tcPr>
            <w:tcW w:w="2552" w:type="dxa"/>
            <w:shd w:val="clear" w:color="auto" w:fill="auto"/>
            <w:vAlign w:val="center"/>
            <w:hideMark/>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Debt securities 1</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5B3923" w:rsidRPr="00C92486" w:rsidTr="003B4C2F">
        <w:trPr>
          <w:trHeight w:val="300"/>
        </w:trPr>
        <w:tc>
          <w:tcPr>
            <w:tcW w:w="2552" w:type="dxa"/>
            <w:shd w:val="clear" w:color="auto" w:fill="auto"/>
            <w:vAlign w:val="center"/>
            <w:hideMark/>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Loans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252,1</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629,6</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814,3</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798,6</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1 271,0</w:t>
            </w:r>
          </w:p>
        </w:tc>
      </w:tr>
      <w:tr w:rsidR="005B3923" w:rsidRPr="00C92486" w:rsidTr="003B4C2F">
        <w:trPr>
          <w:trHeight w:val="300"/>
        </w:trPr>
        <w:tc>
          <w:tcPr>
            <w:tcW w:w="2552" w:type="dxa"/>
            <w:shd w:val="clear" w:color="auto" w:fill="auto"/>
            <w:hideMark/>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Trade credit and advances Other debt liabilities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5B3923" w:rsidRPr="00C92486" w:rsidTr="003B4C2F">
        <w:trPr>
          <w:trHeight w:val="300"/>
        </w:trPr>
        <w:tc>
          <w:tcPr>
            <w:tcW w:w="2552" w:type="dxa"/>
            <w:shd w:val="clear" w:color="auto" w:fill="auto"/>
            <w:hideMark/>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Other debt liabilities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5B3923" w:rsidRPr="00C92486" w:rsidTr="003B4C2F">
        <w:trPr>
          <w:trHeight w:val="300"/>
        </w:trPr>
        <w:tc>
          <w:tcPr>
            <w:tcW w:w="2552" w:type="dxa"/>
            <w:shd w:val="clear" w:color="auto" w:fill="DEEAF6" w:themeFill="accent1" w:themeFillTint="33"/>
            <w:vAlign w:val="center"/>
            <w:hideMark/>
          </w:tcPr>
          <w:p w:rsidR="005B3923" w:rsidRPr="008F42D9" w:rsidRDefault="005B3923" w:rsidP="005B3923">
            <w:pPr>
              <w:rPr>
                <w:rFonts w:asciiTheme="minorHAnsi" w:hAnsiTheme="minorHAnsi" w:cstheme="minorHAnsi"/>
                <w:bCs/>
                <w:color w:val="000000"/>
                <w:sz w:val="15"/>
                <w:szCs w:val="15"/>
              </w:rPr>
            </w:pPr>
            <w:r w:rsidRPr="008F42D9">
              <w:rPr>
                <w:rFonts w:asciiTheme="minorHAnsi" w:hAnsiTheme="minorHAnsi" w:cstheme="minorHAnsi"/>
                <w:bCs/>
                <w:color w:val="000000"/>
                <w:sz w:val="15"/>
                <w:szCs w:val="15"/>
                <w:lang w:val="en-US"/>
              </w:rPr>
              <w:t>Long-term</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209,7</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200,6</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288,9</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269,9</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355,4</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412,6</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457,3</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601,2</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996,4</w:t>
            </w:r>
          </w:p>
        </w:tc>
        <w:tc>
          <w:tcPr>
            <w:tcW w:w="945"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2 705,0</w:t>
            </w:r>
          </w:p>
        </w:tc>
        <w:tc>
          <w:tcPr>
            <w:tcW w:w="992"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3 087,5</w:t>
            </w:r>
          </w:p>
        </w:tc>
        <w:tc>
          <w:tcPr>
            <w:tcW w:w="99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3 683,7</w:t>
            </w:r>
          </w:p>
        </w:tc>
        <w:tc>
          <w:tcPr>
            <w:tcW w:w="992"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4 150,2</w:t>
            </w:r>
          </w:p>
        </w:tc>
        <w:tc>
          <w:tcPr>
            <w:tcW w:w="992"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5 104,1</w:t>
            </w:r>
          </w:p>
        </w:tc>
      </w:tr>
      <w:tr w:rsidR="005B3923" w:rsidRPr="00C92486" w:rsidTr="003B4C2F">
        <w:trPr>
          <w:trHeight w:val="300"/>
        </w:trPr>
        <w:tc>
          <w:tcPr>
            <w:tcW w:w="2552" w:type="dxa"/>
            <w:shd w:val="clear" w:color="auto" w:fill="auto"/>
            <w:vAlign w:val="center"/>
            <w:hideMark/>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Currency and deposits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7,8</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7,7</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7,9</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8,7</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6,7</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5,0</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4,6</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17,2</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19,5</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37,0</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55,4</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47,4</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71,4</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94,1</w:t>
            </w:r>
          </w:p>
        </w:tc>
      </w:tr>
      <w:tr w:rsidR="005B3923" w:rsidRPr="00C92486" w:rsidTr="003B4C2F">
        <w:trPr>
          <w:trHeight w:val="300"/>
        </w:trPr>
        <w:tc>
          <w:tcPr>
            <w:tcW w:w="2552" w:type="dxa"/>
            <w:shd w:val="clear" w:color="auto" w:fill="auto"/>
            <w:vAlign w:val="center"/>
            <w:hideMark/>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Debt securities 1</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307,4</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280,5</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303,9</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320,7</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937,5</w:t>
            </w:r>
          </w:p>
        </w:tc>
      </w:tr>
      <w:tr w:rsidR="005B3923" w:rsidRPr="00C92486" w:rsidTr="003B4C2F">
        <w:trPr>
          <w:trHeight w:val="300"/>
        </w:trPr>
        <w:tc>
          <w:tcPr>
            <w:tcW w:w="2552" w:type="dxa"/>
            <w:shd w:val="clear" w:color="auto" w:fill="auto"/>
            <w:vAlign w:val="center"/>
            <w:hideMark/>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Loans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201,9</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193,0</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281,0</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261,2</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348,6</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407,6</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452,6</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584,0</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976,8</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2 360,7</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2 751,5</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3 332,4</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3 758,1</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4 072,5</w:t>
            </w:r>
          </w:p>
        </w:tc>
      </w:tr>
      <w:tr w:rsidR="005B3923" w:rsidRPr="00C92486" w:rsidTr="003B4C2F">
        <w:trPr>
          <w:trHeight w:val="300"/>
        </w:trPr>
        <w:tc>
          <w:tcPr>
            <w:tcW w:w="2552" w:type="dxa"/>
            <w:shd w:val="clear" w:color="auto" w:fill="auto"/>
            <w:hideMark/>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Trade credit and advances Other debt liabilities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5B3923" w:rsidRPr="00C92486" w:rsidTr="003B4C2F">
        <w:trPr>
          <w:trHeight w:val="300"/>
        </w:trPr>
        <w:tc>
          <w:tcPr>
            <w:tcW w:w="2552" w:type="dxa"/>
            <w:shd w:val="clear" w:color="auto" w:fill="auto"/>
            <w:hideMark/>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Other debt liabilities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B152E4" w:rsidRPr="00C92486" w:rsidTr="003B4C2F">
        <w:trPr>
          <w:trHeight w:val="300"/>
        </w:trPr>
        <w:tc>
          <w:tcPr>
            <w:tcW w:w="2552" w:type="dxa"/>
            <w:shd w:val="clear" w:color="auto" w:fill="BDD6EE" w:themeFill="accent1" w:themeFillTint="66"/>
            <w:vAlign w:val="center"/>
          </w:tcPr>
          <w:p w:rsidR="00B152E4" w:rsidRPr="005B3923" w:rsidRDefault="005B3923" w:rsidP="00B152E4">
            <w:pPr>
              <w:rPr>
                <w:rFonts w:asciiTheme="minorHAnsi" w:hAnsiTheme="minorHAnsi" w:cstheme="minorHAnsi"/>
                <w:b/>
                <w:bCs/>
                <w:color w:val="000000"/>
                <w:sz w:val="15"/>
                <w:szCs w:val="15"/>
              </w:rPr>
            </w:pPr>
            <w:r w:rsidRPr="005B3923">
              <w:rPr>
                <w:rFonts w:asciiTheme="minorHAnsi" w:hAnsiTheme="minorHAnsi" w:cstheme="minorHAnsi"/>
                <w:b/>
                <w:bCs/>
                <w:color w:val="000000"/>
                <w:sz w:val="15"/>
                <w:szCs w:val="15"/>
              </w:rPr>
              <w:t>Other Sectors</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4 168,0</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3 898,5</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4 117,2</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5 389,9</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6 839,8</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7 726,6</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8 285,8</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8 864,1</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8 788,1</w:t>
            </w:r>
          </w:p>
        </w:tc>
        <w:tc>
          <w:tcPr>
            <w:tcW w:w="945"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10 252,3</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10 994,5</w:t>
            </w:r>
          </w:p>
        </w:tc>
        <w:tc>
          <w:tcPr>
            <w:tcW w:w="99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10 896,8</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11 168,6</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12 040,4</w:t>
            </w:r>
          </w:p>
        </w:tc>
      </w:tr>
      <w:tr w:rsidR="005B3923" w:rsidRPr="00C92486" w:rsidTr="003B4C2F">
        <w:trPr>
          <w:trHeight w:val="300"/>
        </w:trPr>
        <w:tc>
          <w:tcPr>
            <w:tcW w:w="2552" w:type="dxa"/>
            <w:shd w:val="clear" w:color="auto" w:fill="DEEAF6" w:themeFill="accent1" w:themeFillTint="33"/>
            <w:vAlign w:val="center"/>
          </w:tcPr>
          <w:p w:rsidR="005B3923" w:rsidRPr="008F42D9" w:rsidRDefault="005B3923" w:rsidP="005B3923">
            <w:pPr>
              <w:rPr>
                <w:rFonts w:asciiTheme="minorHAnsi" w:hAnsiTheme="minorHAnsi" w:cstheme="minorHAnsi"/>
                <w:bCs/>
                <w:color w:val="000000"/>
                <w:sz w:val="15"/>
                <w:szCs w:val="15"/>
              </w:rPr>
            </w:pPr>
            <w:r w:rsidRPr="008F42D9">
              <w:rPr>
                <w:rFonts w:asciiTheme="minorHAnsi" w:hAnsiTheme="minorHAnsi" w:cstheme="minorHAnsi"/>
                <w:bCs/>
                <w:color w:val="000000"/>
                <w:sz w:val="15"/>
                <w:szCs w:val="15"/>
                <w:lang w:val="en-US"/>
              </w:rPr>
              <w:t>Short term</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302,3</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25,9</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23,8</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50,2</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107,1</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125,9</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358,5</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634,7</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806,0</w:t>
            </w:r>
          </w:p>
        </w:tc>
        <w:tc>
          <w:tcPr>
            <w:tcW w:w="945"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282,2</w:t>
            </w:r>
          </w:p>
        </w:tc>
        <w:tc>
          <w:tcPr>
            <w:tcW w:w="992"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700,4</w:t>
            </w:r>
          </w:p>
        </w:tc>
        <w:tc>
          <w:tcPr>
            <w:tcW w:w="99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518,6</w:t>
            </w:r>
          </w:p>
        </w:tc>
        <w:tc>
          <w:tcPr>
            <w:tcW w:w="992"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663,8</w:t>
            </w:r>
          </w:p>
        </w:tc>
        <w:tc>
          <w:tcPr>
            <w:tcW w:w="992"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945,5</w:t>
            </w:r>
          </w:p>
        </w:tc>
      </w:tr>
      <w:tr w:rsidR="005B3923" w:rsidRPr="00C92486" w:rsidTr="003B4C2F">
        <w:trPr>
          <w:trHeight w:val="300"/>
        </w:trPr>
        <w:tc>
          <w:tcPr>
            <w:tcW w:w="2552" w:type="dxa"/>
            <w:shd w:val="clear" w:color="auto" w:fill="auto"/>
            <w:vAlign w:val="center"/>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Currency and deposits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5B3923" w:rsidRPr="00C92486" w:rsidTr="003B4C2F">
        <w:trPr>
          <w:trHeight w:val="300"/>
        </w:trPr>
        <w:tc>
          <w:tcPr>
            <w:tcW w:w="2552" w:type="dxa"/>
            <w:shd w:val="clear" w:color="auto" w:fill="auto"/>
            <w:vAlign w:val="center"/>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Debt securities 1</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5B3923" w:rsidRPr="00C92486" w:rsidTr="003B4C2F">
        <w:trPr>
          <w:trHeight w:val="300"/>
        </w:trPr>
        <w:tc>
          <w:tcPr>
            <w:tcW w:w="2552" w:type="dxa"/>
            <w:shd w:val="clear" w:color="auto" w:fill="auto"/>
            <w:vAlign w:val="center"/>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Loans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22,0</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133,2</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216,1</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56,3</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91,6</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109,4</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119,2</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128,8</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186,1</w:t>
            </w:r>
          </w:p>
        </w:tc>
      </w:tr>
      <w:tr w:rsidR="005B3923" w:rsidRPr="00C92486" w:rsidTr="003B4C2F">
        <w:trPr>
          <w:trHeight w:val="300"/>
        </w:trPr>
        <w:tc>
          <w:tcPr>
            <w:tcW w:w="2552" w:type="dxa"/>
            <w:shd w:val="clear" w:color="auto" w:fill="auto"/>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Trade credit and advances Other debt liabilities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302,3</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25,9</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23,8</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50,2</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107,1</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103,9</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225,3</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418,6</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749,7</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190,6</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591,0</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399,5</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535,0</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759,3</w:t>
            </w:r>
          </w:p>
        </w:tc>
      </w:tr>
      <w:tr w:rsidR="005B3923" w:rsidRPr="00C92486" w:rsidTr="003B4C2F">
        <w:trPr>
          <w:trHeight w:val="300"/>
        </w:trPr>
        <w:tc>
          <w:tcPr>
            <w:tcW w:w="2552" w:type="dxa"/>
            <w:shd w:val="clear" w:color="auto" w:fill="auto"/>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Other debt liabilities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5B3923" w:rsidRPr="00C92486" w:rsidTr="003B4C2F">
        <w:trPr>
          <w:trHeight w:val="300"/>
        </w:trPr>
        <w:tc>
          <w:tcPr>
            <w:tcW w:w="2552" w:type="dxa"/>
            <w:shd w:val="clear" w:color="auto" w:fill="DEEAF6" w:themeFill="accent1" w:themeFillTint="33"/>
            <w:vAlign w:val="center"/>
          </w:tcPr>
          <w:p w:rsidR="005B3923" w:rsidRPr="008F42D9" w:rsidRDefault="005B3923" w:rsidP="005B3923">
            <w:pPr>
              <w:rPr>
                <w:rFonts w:asciiTheme="minorHAnsi" w:hAnsiTheme="minorHAnsi" w:cstheme="minorHAnsi"/>
                <w:bCs/>
                <w:color w:val="000000"/>
                <w:sz w:val="15"/>
                <w:szCs w:val="15"/>
              </w:rPr>
            </w:pPr>
            <w:r w:rsidRPr="008F42D9">
              <w:rPr>
                <w:rFonts w:asciiTheme="minorHAnsi" w:hAnsiTheme="minorHAnsi" w:cstheme="minorHAnsi"/>
                <w:bCs/>
                <w:color w:val="000000"/>
                <w:sz w:val="15"/>
                <w:szCs w:val="15"/>
                <w:lang w:val="en-US"/>
              </w:rPr>
              <w:t>Long-term</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3 865,7</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3 872,6</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4 093,3</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5 339,7</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6 732,7</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7 600,7</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7 927,3</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8 229,4</w:t>
            </w:r>
          </w:p>
        </w:tc>
        <w:tc>
          <w:tcPr>
            <w:tcW w:w="90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7 982,1</w:t>
            </w:r>
          </w:p>
        </w:tc>
        <w:tc>
          <w:tcPr>
            <w:tcW w:w="945"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9 970,1</w:t>
            </w:r>
          </w:p>
        </w:tc>
        <w:tc>
          <w:tcPr>
            <w:tcW w:w="992"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10 294,1</w:t>
            </w:r>
          </w:p>
        </w:tc>
        <w:tc>
          <w:tcPr>
            <w:tcW w:w="993"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10 378,2</w:t>
            </w:r>
          </w:p>
        </w:tc>
        <w:tc>
          <w:tcPr>
            <w:tcW w:w="992"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10 504,8</w:t>
            </w:r>
          </w:p>
        </w:tc>
        <w:tc>
          <w:tcPr>
            <w:tcW w:w="992" w:type="dxa"/>
            <w:shd w:val="clear" w:color="auto" w:fill="DEEAF6" w:themeFill="accent1" w:themeFillTint="33"/>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11 095,0</w:t>
            </w:r>
          </w:p>
        </w:tc>
      </w:tr>
      <w:tr w:rsidR="005B3923" w:rsidRPr="00C92486" w:rsidTr="003B4C2F">
        <w:trPr>
          <w:trHeight w:val="300"/>
        </w:trPr>
        <w:tc>
          <w:tcPr>
            <w:tcW w:w="2552" w:type="dxa"/>
            <w:shd w:val="clear" w:color="auto" w:fill="auto"/>
            <w:vAlign w:val="center"/>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Currency and deposits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5B3923" w:rsidRPr="00C92486" w:rsidTr="003B4C2F">
        <w:trPr>
          <w:trHeight w:val="300"/>
        </w:trPr>
        <w:tc>
          <w:tcPr>
            <w:tcW w:w="2552" w:type="dxa"/>
            <w:shd w:val="clear" w:color="auto" w:fill="auto"/>
            <w:vAlign w:val="center"/>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Debt securities 1</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5B3923" w:rsidRPr="00C92486" w:rsidTr="003B4C2F">
        <w:trPr>
          <w:trHeight w:val="300"/>
        </w:trPr>
        <w:tc>
          <w:tcPr>
            <w:tcW w:w="2552" w:type="dxa"/>
            <w:shd w:val="clear" w:color="auto" w:fill="auto"/>
            <w:vAlign w:val="center"/>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Loans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3 650,0</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3 666,0</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3 900,9</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5 138,0</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6 526,5</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7 348,2</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7 786,3</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7 713,7</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7 615,1</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8 993,5</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9 262,6</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9 521,6</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9 628,3</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10 230,5</w:t>
            </w:r>
          </w:p>
        </w:tc>
      </w:tr>
      <w:tr w:rsidR="005B3923" w:rsidRPr="00C92486" w:rsidTr="003B4C2F">
        <w:trPr>
          <w:trHeight w:val="300"/>
        </w:trPr>
        <w:tc>
          <w:tcPr>
            <w:tcW w:w="2552" w:type="dxa"/>
            <w:shd w:val="clear" w:color="auto" w:fill="auto"/>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Trade credit and advances Other debt liabilities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5B3923" w:rsidRPr="00C92486" w:rsidTr="003B4C2F">
        <w:trPr>
          <w:trHeight w:val="300"/>
        </w:trPr>
        <w:tc>
          <w:tcPr>
            <w:tcW w:w="2552" w:type="dxa"/>
            <w:shd w:val="clear" w:color="auto" w:fill="auto"/>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Other debt liabilities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215,7</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206,7</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192,5</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201,7</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206,2</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252,5</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141,0</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515,7</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367,0</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976,6</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1 031,6</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856,6</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876,5</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864,5</w:t>
            </w:r>
          </w:p>
        </w:tc>
      </w:tr>
      <w:tr w:rsidR="00B152E4" w:rsidRPr="00C92486" w:rsidTr="003B4C2F">
        <w:trPr>
          <w:trHeight w:val="300"/>
        </w:trPr>
        <w:tc>
          <w:tcPr>
            <w:tcW w:w="2552" w:type="dxa"/>
            <w:shd w:val="clear" w:color="auto" w:fill="BDD6EE" w:themeFill="accent1" w:themeFillTint="66"/>
            <w:vAlign w:val="center"/>
          </w:tcPr>
          <w:p w:rsidR="00B152E4" w:rsidRPr="005B3923" w:rsidRDefault="005B3923" w:rsidP="00B152E4">
            <w:pPr>
              <w:rPr>
                <w:rFonts w:asciiTheme="minorHAnsi" w:hAnsiTheme="minorHAnsi" w:cstheme="minorHAnsi"/>
                <w:b/>
                <w:bCs/>
                <w:color w:val="000000"/>
                <w:sz w:val="15"/>
                <w:szCs w:val="15"/>
              </w:rPr>
            </w:pPr>
            <w:r w:rsidRPr="005B3923">
              <w:rPr>
                <w:rFonts w:asciiTheme="minorHAnsi" w:hAnsiTheme="minorHAnsi" w:cstheme="minorHAnsi"/>
                <w:b/>
                <w:bCs/>
                <w:color w:val="000000"/>
                <w:sz w:val="15"/>
                <w:szCs w:val="15"/>
              </w:rPr>
              <w:t>Other financial corporations</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14,4</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18,4</w:t>
            </w:r>
          </w:p>
        </w:tc>
        <w:tc>
          <w:tcPr>
            <w:tcW w:w="945"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25,1</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26,1</w:t>
            </w:r>
          </w:p>
        </w:tc>
        <w:tc>
          <w:tcPr>
            <w:tcW w:w="99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27,6</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29,2</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28,3</w:t>
            </w:r>
          </w:p>
        </w:tc>
      </w:tr>
      <w:tr w:rsidR="00B152E4" w:rsidRPr="00C92486" w:rsidTr="003B4C2F">
        <w:trPr>
          <w:trHeight w:val="300"/>
        </w:trPr>
        <w:tc>
          <w:tcPr>
            <w:tcW w:w="2552" w:type="dxa"/>
            <w:shd w:val="clear" w:color="auto" w:fill="auto"/>
            <w:vAlign w:val="center"/>
          </w:tcPr>
          <w:p w:rsidR="00B152E4" w:rsidRPr="008F42D9" w:rsidRDefault="005B3923" w:rsidP="00B152E4">
            <w:pPr>
              <w:rPr>
                <w:rFonts w:asciiTheme="minorHAnsi" w:hAnsiTheme="minorHAnsi" w:cstheme="minorHAnsi"/>
                <w:bCs/>
                <w:color w:val="000000"/>
                <w:sz w:val="15"/>
                <w:szCs w:val="15"/>
              </w:rPr>
            </w:pPr>
            <w:r w:rsidRPr="008F42D9">
              <w:rPr>
                <w:rFonts w:asciiTheme="minorHAnsi" w:hAnsiTheme="minorHAnsi" w:cstheme="minorHAnsi"/>
                <w:bCs/>
                <w:color w:val="000000"/>
                <w:sz w:val="15"/>
                <w:szCs w:val="15"/>
                <w:lang w:val="en-US"/>
              </w:rPr>
              <w:t>Short term</w:t>
            </w:r>
          </w:p>
        </w:tc>
        <w:tc>
          <w:tcPr>
            <w:tcW w:w="903" w:type="dxa"/>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w:t>
            </w:r>
          </w:p>
        </w:tc>
        <w:tc>
          <w:tcPr>
            <w:tcW w:w="90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w:t>
            </w:r>
          </w:p>
        </w:tc>
        <w:tc>
          <w:tcPr>
            <w:tcW w:w="945"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5,6</w:t>
            </w:r>
          </w:p>
        </w:tc>
        <w:tc>
          <w:tcPr>
            <w:tcW w:w="992"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6,8</w:t>
            </w:r>
          </w:p>
        </w:tc>
        <w:tc>
          <w:tcPr>
            <w:tcW w:w="99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7,0</w:t>
            </w:r>
          </w:p>
        </w:tc>
        <w:tc>
          <w:tcPr>
            <w:tcW w:w="992"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6,8</w:t>
            </w:r>
          </w:p>
        </w:tc>
        <w:tc>
          <w:tcPr>
            <w:tcW w:w="992" w:type="dxa"/>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6,9</w:t>
            </w:r>
          </w:p>
        </w:tc>
      </w:tr>
      <w:tr w:rsidR="00B152E4" w:rsidRPr="00C92486" w:rsidTr="003B4C2F">
        <w:trPr>
          <w:trHeight w:val="300"/>
        </w:trPr>
        <w:tc>
          <w:tcPr>
            <w:tcW w:w="2552" w:type="dxa"/>
            <w:shd w:val="clear" w:color="auto" w:fill="auto"/>
            <w:vAlign w:val="center"/>
          </w:tcPr>
          <w:p w:rsidR="00B152E4" w:rsidRPr="008F42D9" w:rsidRDefault="005B3923" w:rsidP="00B152E4">
            <w:pPr>
              <w:rPr>
                <w:rFonts w:asciiTheme="minorHAnsi" w:hAnsiTheme="minorHAnsi" w:cstheme="minorHAnsi"/>
                <w:bCs/>
                <w:color w:val="000000"/>
                <w:sz w:val="15"/>
                <w:szCs w:val="15"/>
              </w:rPr>
            </w:pPr>
            <w:r w:rsidRPr="008F42D9">
              <w:rPr>
                <w:rFonts w:asciiTheme="minorHAnsi" w:hAnsiTheme="minorHAnsi" w:cstheme="minorHAnsi"/>
                <w:bCs/>
                <w:color w:val="000000"/>
                <w:sz w:val="15"/>
                <w:szCs w:val="15"/>
                <w:lang w:val="en-US"/>
              </w:rPr>
              <w:t>Long-term</w:t>
            </w:r>
          </w:p>
        </w:tc>
        <w:tc>
          <w:tcPr>
            <w:tcW w:w="903" w:type="dxa"/>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w:t>
            </w:r>
          </w:p>
        </w:tc>
        <w:tc>
          <w:tcPr>
            <w:tcW w:w="903" w:type="dxa"/>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14,4</w:t>
            </w:r>
          </w:p>
        </w:tc>
        <w:tc>
          <w:tcPr>
            <w:tcW w:w="90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18,4</w:t>
            </w:r>
          </w:p>
        </w:tc>
        <w:tc>
          <w:tcPr>
            <w:tcW w:w="945"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19,6</w:t>
            </w:r>
          </w:p>
        </w:tc>
        <w:tc>
          <w:tcPr>
            <w:tcW w:w="992"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19,2</w:t>
            </w:r>
          </w:p>
        </w:tc>
        <w:tc>
          <w:tcPr>
            <w:tcW w:w="993"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20,6</w:t>
            </w:r>
          </w:p>
        </w:tc>
        <w:tc>
          <w:tcPr>
            <w:tcW w:w="992" w:type="dxa"/>
            <w:shd w:val="clear" w:color="auto" w:fill="auto"/>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22,3</w:t>
            </w:r>
          </w:p>
        </w:tc>
        <w:tc>
          <w:tcPr>
            <w:tcW w:w="992" w:type="dxa"/>
            <w:vAlign w:val="center"/>
          </w:tcPr>
          <w:p w:rsidR="00B152E4" w:rsidRPr="00C92486" w:rsidRDefault="00B152E4" w:rsidP="00B152E4">
            <w:pPr>
              <w:jc w:val="center"/>
              <w:rPr>
                <w:rFonts w:asciiTheme="minorHAnsi" w:hAnsiTheme="minorHAnsi" w:cstheme="minorHAnsi"/>
                <w:i/>
                <w:color w:val="000000"/>
                <w:sz w:val="15"/>
                <w:szCs w:val="15"/>
              </w:rPr>
            </w:pPr>
            <w:r w:rsidRPr="00C92486">
              <w:rPr>
                <w:rFonts w:asciiTheme="minorHAnsi" w:hAnsiTheme="minorHAnsi" w:cstheme="minorHAnsi"/>
                <w:i/>
                <w:iCs/>
                <w:color w:val="000000"/>
                <w:sz w:val="16"/>
                <w:szCs w:val="16"/>
              </w:rPr>
              <w:t>21,4</w:t>
            </w:r>
          </w:p>
        </w:tc>
      </w:tr>
      <w:tr w:rsidR="00B152E4" w:rsidRPr="00C92486" w:rsidTr="003B4C2F">
        <w:trPr>
          <w:trHeight w:val="454"/>
        </w:trPr>
        <w:tc>
          <w:tcPr>
            <w:tcW w:w="2552" w:type="dxa"/>
            <w:shd w:val="clear" w:color="auto" w:fill="BDD6EE" w:themeFill="accent1" w:themeFillTint="66"/>
            <w:vAlign w:val="center"/>
          </w:tcPr>
          <w:p w:rsidR="00B152E4" w:rsidRPr="005B3923" w:rsidRDefault="005B3923" w:rsidP="005B3923">
            <w:pPr>
              <w:rPr>
                <w:rFonts w:asciiTheme="minorHAnsi" w:hAnsiTheme="minorHAnsi" w:cstheme="minorHAnsi"/>
                <w:bCs/>
                <w:color w:val="000000"/>
                <w:sz w:val="15"/>
                <w:szCs w:val="15"/>
                <w:lang w:val="en-US"/>
              </w:rPr>
            </w:pPr>
            <w:r w:rsidRPr="005B3923">
              <w:rPr>
                <w:rFonts w:asciiTheme="minorHAnsi" w:hAnsiTheme="minorHAnsi" w:cstheme="minorHAnsi"/>
                <w:b/>
                <w:bCs/>
                <w:color w:val="000000"/>
                <w:sz w:val="15"/>
                <w:szCs w:val="15"/>
                <w:lang w:val="en-US"/>
              </w:rPr>
              <w:lastRenderedPageBreak/>
              <w:t>Nonfinancial corporations</w:t>
            </w:r>
            <w:r w:rsidR="00B152E4" w:rsidRPr="005B3923">
              <w:rPr>
                <w:rFonts w:asciiTheme="minorHAnsi" w:hAnsiTheme="minorHAnsi" w:cstheme="minorHAnsi"/>
                <w:b/>
                <w:bCs/>
                <w:color w:val="000000"/>
                <w:sz w:val="15"/>
                <w:szCs w:val="15"/>
                <w:lang w:val="en-US"/>
              </w:rPr>
              <w:t xml:space="preserve">, </w:t>
            </w:r>
            <w:r w:rsidRPr="005B3923">
              <w:rPr>
                <w:rFonts w:asciiTheme="minorHAnsi" w:hAnsiTheme="minorHAnsi" w:cstheme="minorHAnsi"/>
                <w:b/>
                <w:bCs/>
                <w:color w:val="000000"/>
                <w:sz w:val="15"/>
                <w:szCs w:val="15"/>
                <w:lang w:val="en-US"/>
              </w:rPr>
              <w:t>Households and NPISHs</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4 168,0</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3 898,5</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4 117,2</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5 389,9</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6 839,8</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7 726,6</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8 285,8</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8 849,7</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8 769,7</w:t>
            </w:r>
          </w:p>
        </w:tc>
        <w:tc>
          <w:tcPr>
            <w:tcW w:w="945"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10 227,1</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10 968,4</w:t>
            </w:r>
          </w:p>
        </w:tc>
        <w:tc>
          <w:tcPr>
            <w:tcW w:w="99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10 869,2</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11 139,4</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bCs/>
                <w:color w:val="000000"/>
                <w:sz w:val="16"/>
                <w:szCs w:val="16"/>
              </w:rPr>
              <w:t>12 012,1</w:t>
            </w:r>
          </w:p>
        </w:tc>
      </w:tr>
      <w:tr w:rsidR="005B3923" w:rsidRPr="00C92486" w:rsidTr="003B4C2F">
        <w:trPr>
          <w:trHeight w:val="283"/>
        </w:trPr>
        <w:tc>
          <w:tcPr>
            <w:tcW w:w="2552" w:type="dxa"/>
            <w:shd w:val="clear" w:color="auto" w:fill="auto"/>
            <w:vAlign w:val="center"/>
          </w:tcPr>
          <w:p w:rsidR="005B3923" w:rsidRPr="008F42D9" w:rsidRDefault="005B3923" w:rsidP="005B3923">
            <w:pPr>
              <w:rPr>
                <w:rFonts w:asciiTheme="minorHAnsi" w:hAnsiTheme="minorHAnsi" w:cstheme="minorHAnsi"/>
                <w:bCs/>
                <w:color w:val="000000"/>
                <w:sz w:val="15"/>
                <w:szCs w:val="15"/>
              </w:rPr>
            </w:pPr>
            <w:r w:rsidRPr="008F42D9">
              <w:rPr>
                <w:rFonts w:asciiTheme="minorHAnsi" w:hAnsiTheme="minorHAnsi" w:cstheme="minorHAnsi"/>
                <w:bCs/>
                <w:color w:val="000000"/>
                <w:sz w:val="15"/>
                <w:szCs w:val="15"/>
                <w:lang w:val="en-US"/>
              </w:rPr>
              <w:t>Short term</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302,3</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25,9</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23,8</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50,2</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107,1</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125,9</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358,5</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634,7</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806,0</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276,6</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693,5</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511,6</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656,9</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938,5</w:t>
            </w:r>
          </w:p>
        </w:tc>
      </w:tr>
      <w:tr w:rsidR="005B3923" w:rsidRPr="00C92486" w:rsidTr="003B4C2F">
        <w:trPr>
          <w:trHeight w:val="283"/>
        </w:trPr>
        <w:tc>
          <w:tcPr>
            <w:tcW w:w="2552" w:type="dxa"/>
            <w:shd w:val="clear" w:color="auto" w:fill="auto"/>
            <w:vAlign w:val="center"/>
          </w:tcPr>
          <w:p w:rsidR="005B3923" w:rsidRPr="008F42D9" w:rsidRDefault="005B3923" w:rsidP="005B3923">
            <w:pPr>
              <w:rPr>
                <w:rFonts w:asciiTheme="minorHAnsi" w:hAnsiTheme="minorHAnsi" w:cstheme="minorHAnsi"/>
                <w:bCs/>
                <w:color w:val="000000"/>
                <w:sz w:val="15"/>
                <w:szCs w:val="15"/>
              </w:rPr>
            </w:pPr>
            <w:r w:rsidRPr="008F42D9">
              <w:rPr>
                <w:rFonts w:asciiTheme="minorHAnsi" w:hAnsiTheme="minorHAnsi" w:cstheme="minorHAnsi"/>
                <w:bCs/>
                <w:color w:val="000000"/>
                <w:sz w:val="15"/>
                <w:szCs w:val="15"/>
                <w:lang w:val="en-US"/>
              </w:rPr>
              <w:t>Long-term</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3 865,7</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3 872,6</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4 093,3</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5 339,7</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6 732,7</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7 600,7</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7 927,3</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8 215,0</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7 963,7</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9 950,5</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10 274,9</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10 357,6</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10 482,5</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i/>
                <w:iCs/>
                <w:color w:val="000000"/>
                <w:sz w:val="16"/>
                <w:szCs w:val="16"/>
              </w:rPr>
              <w:t>11 073,5</w:t>
            </w:r>
          </w:p>
        </w:tc>
      </w:tr>
      <w:tr w:rsidR="00B152E4" w:rsidRPr="00C92486" w:rsidTr="003B4C2F">
        <w:trPr>
          <w:trHeight w:val="340"/>
        </w:trPr>
        <w:tc>
          <w:tcPr>
            <w:tcW w:w="2552" w:type="dxa"/>
            <w:shd w:val="clear" w:color="auto" w:fill="DEEAF6" w:themeFill="accent1" w:themeFillTint="33"/>
            <w:vAlign w:val="center"/>
          </w:tcPr>
          <w:p w:rsidR="005B3923" w:rsidRDefault="005B3923" w:rsidP="00B152E4">
            <w:pPr>
              <w:rPr>
                <w:rFonts w:asciiTheme="minorHAnsi" w:hAnsiTheme="minorHAnsi" w:cstheme="minorHAnsi"/>
                <w:bCs/>
                <w:color w:val="000000"/>
                <w:sz w:val="15"/>
                <w:szCs w:val="15"/>
              </w:rPr>
            </w:pPr>
            <w:r w:rsidRPr="005B3923">
              <w:rPr>
                <w:rFonts w:asciiTheme="minorHAnsi" w:hAnsiTheme="minorHAnsi" w:cstheme="minorHAnsi"/>
                <w:bCs/>
                <w:color w:val="000000"/>
                <w:sz w:val="15"/>
                <w:szCs w:val="15"/>
              </w:rPr>
              <w:t xml:space="preserve">Direct Investment: </w:t>
            </w:r>
          </w:p>
          <w:p w:rsidR="00B152E4" w:rsidRPr="005B3923" w:rsidRDefault="005B3923" w:rsidP="00B152E4">
            <w:pPr>
              <w:rPr>
                <w:rFonts w:asciiTheme="minorHAnsi" w:hAnsiTheme="minorHAnsi" w:cstheme="minorHAnsi"/>
                <w:bCs/>
                <w:color w:val="000000"/>
                <w:sz w:val="15"/>
                <w:szCs w:val="15"/>
              </w:rPr>
            </w:pPr>
            <w:r w:rsidRPr="005B3923">
              <w:rPr>
                <w:rFonts w:asciiTheme="minorHAnsi" w:hAnsiTheme="minorHAnsi" w:cstheme="minorHAnsi"/>
                <w:bCs/>
                <w:color w:val="000000"/>
                <w:sz w:val="15"/>
                <w:szCs w:val="15"/>
              </w:rPr>
              <w:t>Intercompany Lending</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bCs/>
                <w:color w:val="000000"/>
                <w:sz w:val="16"/>
                <w:szCs w:val="16"/>
              </w:rPr>
              <w:t>776,0</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bCs/>
                <w:color w:val="000000"/>
                <w:sz w:val="16"/>
                <w:szCs w:val="16"/>
              </w:rPr>
              <w:t>856,1</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bCs/>
                <w:color w:val="000000"/>
                <w:sz w:val="16"/>
                <w:szCs w:val="16"/>
              </w:rPr>
              <w:t>868,0</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bCs/>
                <w:color w:val="000000"/>
                <w:sz w:val="16"/>
                <w:szCs w:val="16"/>
              </w:rPr>
              <w:t>939,1</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bCs/>
                <w:color w:val="000000"/>
                <w:sz w:val="16"/>
                <w:szCs w:val="16"/>
              </w:rPr>
              <w:t>939,0</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bCs/>
                <w:color w:val="000000"/>
                <w:sz w:val="16"/>
                <w:szCs w:val="16"/>
              </w:rPr>
              <w:t>908,7</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bCs/>
                <w:color w:val="000000"/>
                <w:sz w:val="16"/>
                <w:szCs w:val="16"/>
              </w:rPr>
              <w:t>1 441,7</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bCs/>
                <w:color w:val="000000"/>
                <w:sz w:val="16"/>
                <w:szCs w:val="16"/>
              </w:rPr>
              <w:t>1 302,5</w:t>
            </w:r>
          </w:p>
        </w:tc>
        <w:tc>
          <w:tcPr>
            <w:tcW w:w="90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bCs/>
                <w:color w:val="000000"/>
                <w:sz w:val="16"/>
                <w:szCs w:val="16"/>
              </w:rPr>
              <w:t>721,6</w:t>
            </w:r>
          </w:p>
        </w:tc>
        <w:tc>
          <w:tcPr>
            <w:tcW w:w="945"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bCs/>
                <w:color w:val="000000"/>
                <w:sz w:val="16"/>
                <w:szCs w:val="16"/>
              </w:rPr>
              <w:t>884,3</w:t>
            </w:r>
          </w:p>
        </w:tc>
        <w:tc>
          <w:tcPr>
            <w:tcW w:w="992"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bCs/>
                <w:color w:val="000000"/>
                <w:sz w:val="16"/>
                <w:szCs w:val="16"/>
              </w:rPr>
              <w:t>948,2</w:t>
            </w:r>
          </w:p>
        </w:tc>
        <w:tc>
          <w:tcPr>
            <w:tcW w:w="993"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bCs/>
                <w:color w:val="000000"/>
                <w:sz w:val="16"/>
                <w:szCs w:val="16"/>
              </w:rPr>
              <w:t>986,2</w:t>
            </w:r>
          </w:p>
        </w:tc>
        <w:tc>
          <w:tcPr>
            <w:tcW w:w="992"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bCs/>
                <w:color w:val="000000"/>
                <w:sz w:val="16"/>
                <w:szCs w:val="16"/>
              </w:rPr>
              <w:t>1 015,9</w:t>
            </w:r>
          </w:p>
        </w:tc>
        <w:tc>
          <w:tcPr>
            <w:tcW w:w="992" w:type="dxa"/>
            <w:shd w:val="clear" w:color="auto" w:fill="DEEAF6" w:themeFill="accent1" w:themeFillTint="33"/>
            <w:vAlign w:val="center"/>
          </w:tcPr>
          <w:p w:rsidR="00B152E4" w:rsidRPr="00C92486" w:rsidRDefault="00B152E4" w:rsidP="00B152E4">
            <w:pPr>
              <w:jc w:val="center"/>
              <w:rPr>
                <w:rFonts w:asciiTheme="minorHAnsi" w:hAnsiTheme="minorHAnsi" w:cstheme="minorHAnsi"/>
                <w:color w:val="000000"/>
                <w:sz w:val="15"/>
                <w:szCs w:val="15"/>
              </w:rPr>
            </w:pPr>
            <w:r w:rsidRPr="00C92486">
              <w:rPr>
                <w:rFonts w:asciiTheme="minorHAnsi" w:hAnsiTheme="minorHAnsi" w:cstheme="minorHAnsi"/>
                <w:bCs/>
                <w:color w:val="000000"/>
                <w:sz w:val="16"/>
                <w:szCs w:val="16"/>
              </w:rPr>
              <w:t>1 015,1</w:t>
            </w:r>
          </w:p>
        </w:tc>
      </w:tr>
      <w:tr w:rsidR="005B3923" w:rsidRPr="00C92486" w:rsidTr="003B4C2F">
        <w:trPr>
          <w:trHeight w:val="340"/>
        </w:trPr>
        <w:tc>
          <w:tcPr>
            <w:tcW w:w="2552" w:type="dxa"/>
            <w:shd w:val="clear" w:color="auto" w:fill="auto"/>
            <w:vAlign w:val="center"/>
          </w:tcPr>
          <w:p w:rsidR="005B3923" w:rsidRPr="008F42D9" w:rsidRDefault="005B3923" w:rsidP="005B3923">
            <w:pPr>
              <w:ind w:left="37"/>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Debt liabilities of direct investment enterprises to direct investors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776,0</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856,1</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868,0</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939,1</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939,0</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908,7</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1 441,7</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1 230,0</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651,6</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825,2</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873,2</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906,4</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927,9</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918,4</w:t>
            </w:r>
          </w:p>
        </w:tc>
      </w:tr>
      <w:tr w:rsidR="005B3923" w:rsidRPr="00C92486" w:rsidTr="003B4C2F">
        <w:trPr>
          <w:trHeight w:val="340"/>
        </w:trPr>
        <w:tc>
          <w:tcPr>
            <w:tcW w:w="2552" w:type="dxa"/>
            <w:shd w:val="clear" w:color="auto" w:fill="auto"/>
            <w:vAlign w:val="center"/>
          </w:tcPr>
          <w:p w:rsidR="005B3923" w:rsidRPr="008F42D9" w:rsidRDefault="005B3923" w:rsidP="005B3923">
            <w:pPr>
              <w:ind w:left="37" w:firstLine="37"/>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 xml:space="preserve">Debt liabilities of direct investors to direct investment enterprises </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5B3923" w:rsidRPr="00C92486" w:rsidTr="003B4C2F">
        <w:trPr>
          <w:trHeight w:val="340"/>
        </w:trPr>
        <w:tc>
          <w:tcPr>
            <w:tcW w:w="2552" w:type="dxa"/>
            <w:shd w:val="clear" w:color="auto" w:fill="auto"/>
            <w:vAlign w:val="center"/>
          </w:tcPr>
          <w:p w:rsidR="005B3923" w:rsidRPr="008F42D9" w:rsidRDefault="005B3923" w:rsidP="005B3923">
            <w:pPr>
              <w:ind w:left="37" w:firstLine="37"/>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Debt liabilities to fellow enterprises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72,5</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70,0</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59,1</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75,0</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79,8</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88,0</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96,7</w:t>
            </w:r>
          </w:p>
        </w:tc>
      </w:tr>
      <w:tr w:rsidR="00B152E4" w:rsidRPr="00C92486" w:rsidTr="003B4C2F">
        <w:trPr>
          <w:trHeight w:val="283"/>
        </w:trPr>
        <w:tc>
          <w:tcPr>
            <w:tcW w:w="15593" w:type="dxa"/>
            <w:gridSpan w:val="15"/>
            <w:shd w:val="clear" w:color="auto" w:fill="auto"/>
            <w:vAlign w:val="center"/>
          </w:tcPr>
          <w:p w:rsidR="00B152E4" w:rsidRPr="005B3923" w:rsidRDefault="008F42D9" w:rsidP="001C59DD">
            <w:pPr>
              <w:rPr>
                <w:rFonts w:asciiTheme="minorHAnsi" w:hAnsiTheme="minorHAnsi" w:cstheme="minorHAnsi"/>
                <w:i/>
                <w:color w:val="000000"/>
                <w:sz w:val="15"/>
                <w:szCs w:val="15"/>
              </w:rPr>
            </w:pPr>
            <w:r>
              <w:rPr>
                <w:rFonts w:asciiTheme="minorHAnsi" w:hAnsiTheme="minorHAnsi" w:cstheme="minorHAnsi"/>
                <w:bCs/>
                <w:i/>
                <w:color w:val="000000"/>
                <w:sz w:val="15"/>
                <w:szCs w:val="15"/>
                <w:lang w:val="en-US"/>
              </w:rPr>
              <w:t>Information</w:t>
            </w:r>
            <w:r w:rsidR="00B152E4" w:rsidRPr="005B3923">
              <w:rPr>
                <w:rFonts w:asciiTheme="minorHAnsi" w:hAnsiTheme="minorHAnsi" w:cstheme="minorHAnsi"/>
                <w:bCs/>
                <w:i/>
                <w:color w:val="000000"/>
                <w:sz w:val="15"/>
                <w:szCs w:val="15"/>
              </w:rPr>
              <w:t xml:space="preserve">: </w:t>
            </w:r>
            <w:r w:rsidRPr="008F42D9">
              <w:rPr>
                <w:rFonts w:asciiTheme="minorHAnsi" w:hAnsiTheme="minorHAnsi" w:cstheme="minorHAnsi"/>
                <w:bCs/>
                <w:i/>
                <w:color w:val="000000"/>
                <w:sz w:val="15"/>
                <w:szCs w:val="15"/>
              </w:rPr>
              <w:t>Memorandum Items:</w:t>
            </w:r>
          </w:p>
        </w:tc>
      </w:tr>
      <w:tr w:rsidR="00B152E4" w:rsidRPr="00C92486" w:rsidTr="003B4C2F">
        <w:trPr>
          <w:trHeight w:val="340"/>
        </w:trPr>
        <w:tc>
          <w:tcPr>
            <w:tcW w:w="2552" w:type="dxa"/>
            <w:shd w:val="clear" w:color="auto" w:fill="BDD6EE" w:themeFill="accent1" w:themeFillTint="66"/>
            <w:vAlign w:val="center"/>
          </w:tcPr>
          <w:p w:rsidR="005B3923" w:rsidRPr="00141EEC" w:rsidRDefault="005B3923" w:rsidP="005B3923">
            <w:pPr>
              <w:rPr>
                <w:rFonts w:asciiTheme="minorHAnsi" w:hAnsiTheme="minorHAnsi" w:cstheme="minorHAnsi"/>
                <w:b/>
                <w:bCs/>
                <w:color w:val="000000"/>
                <w:sz w:val="15"/>
                <w:szCs w:val="15"/>
              </w:rPr>
            </w:pPr>
            <w:r w:rsidRPr="005B3923">
              <w:rPr>
                <w:rFonts w:asciiTheme="minorHAnsi" w:hAnsiTheme="minorHAnsi" w:cstheme="minorHAnsi"/>
                <w:b/>
                <w:bCs/>
                <w:color w:val="000000"/>
                <w:sz w:val="15"/>
                <w:szCs w:val="15"/>
                <w:lang w:val="en-US"/>
              </w:rPr>
              <w:t>Debt</w:t>
            </w:r>
            <w:r w:rsidRPr="00141EEC">
              <w:rPr>
                <w:rFonts w:asciiTheme="minorHAnsi" w:hAnsiTheme="minorHAnsi" w:cstheme="minorHAnsi"/>
                <w:b/>
                <w:bCs/>
                <w:color w:val="000000"/>
                <w:sz w:val="15"/>
                <w:szCs w:val="15"/>
              </w:rPr>
              <w:t xml:space="preserve"> </w:t>
            </w:r>
            <w:r w:rsidRPr="005B3923">
              <w:rPr>
                <w:rFonts w:asciiTheme="minorHAnsi" w:hAnsiTheme="minorHAnsi" w:cstheme="minorHAnsi"/>
                <w:b/>
                <w:bCs/>
                <w:color w:val="000000"/>
                <w:sz w:val="15"/>
                <w:szCs w:val="15"/>
                <w:lang w:val="en-US"/>
              </w:rPr>
              <w:t>Securities</w:t>
            </w:r>
            <w:r w:rsidRPr="00141EEC">
              <w:rPr>
                <w:rFonts w:asciiTheme="minorHAnsi" w:hAnsiTheme="minorHAnsi" w:cstheme="minorHAnsi"/>
                <w:b/>
                <w:bCs/>
                <w:color w:val="000000"/>
                <w:sz w:val="15"/>
                <w:szCs w:val="15"/>
              </w:rPr>
              <w:t xml:space="preserve"> </w:t>
            </w:r>
          </w:p>
          <w:p w:rsidR="00B152E4" w:rsidRPr="005B3923" w:rsidRDefault="00B152E4" w:rsidP="005B3923">
            <w:pPr>
              <w:rPr>
                <w:rFonts w:asciiTheme="minorHAnsi" w:hAnsiTheme="minorHAnsi" w:cstheme="minorHAnsi"/>
                <w:b/>
                <w:bCs/>
                <w:color w:val="000000"/>
                <w:sz w:val="15"/>
                <w:szCs w:val="15"/>
              </w:rPr>
            </w:pPr>
            <w:r w:rsidRPr="00141EEC">
              <w:rPr>
                <w:rFonts w:asciiTheme="minorHAnsi" w:hAnsiTheme="minorHAnsi" w:cstheme="minorHAnsi"/>
                <w:b/>
                <w:bCs/>
                <w:color w:val="000000"/>
                <w:sz w:val="15"/>
                <w:szCs w:val="15"/>
              </w:rPr>
              <w:t>(по номинальной стоимости)</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sz w:val="16"/>
                <w:szCs w:val="16"/>
              </w:rPr>
              <w:t>-</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sz w:val="16"/>
                <w:szCs w:val="16"/>
              </w:rPr>
              <w:t>-</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sz w:val="16"/>
                <w:szCs w:val="16"/>
              </w:rPr>
              <w:t>-</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sz w:val="16"/>
                <w:szCs w:val="16"/>
              </w:rPr>
              <w:t>-</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sz w:val="16"/>
                <w:szCs w:val="16"/>
              </w:rPr>
              <w:t>-</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sz w:val="16"/>
                <w:szCs w:val="16"/>
              </w:rPr>
              <w:t>-</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sz w:val="16"/>
                <w:szCs w:val="16"/>
              </w:rPr>
              <w:t>-</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sz w:val="16"/>
                <w:szCs w:val="16"/>
              </w:rPr>
              <w:t>-</w:t>
            </w:r>
          </w:p>
        </w:tc>
        <w:tc>
          <w:tcPr>
            <w:tcW w:w="90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sz w:val="16"/>
                <w:szCs w:val="16"/>
              </w:rPr>
              <w:t>-</w:t>
            </w:r>
          </w:p>
        </w:tc>
        <w:tc>
          <w:tcPr>
            <w:tcW w:w="945"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sz w:val="16"/>
                <w:szCs w:val="16"/>
              </w:rPr>
              <w:t>1 319,7</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sz w:val="16"/>
                <w:szCs w:val="16"/>
              </w:rPr>
              <w:t>1 311,3</w:t>
            </w:r>
          </w:p>
        </w:tc>
        <w:tc>
          <w:tcPr>
            <w:tcW w:w="993"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sz w:val="16"/>
                <w:szCs w:val="16"/>
              </w:rPr>
              <w:t>1 319,7</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sz w:val="16"/>
                <w:szCs w:val="16"/>
              </w:rPr>
              <w:t>1 311,3</w:t>
            </w:r>
          </w:p>
        </w:tc>
        <w:tc>
          <w:tcPr>
            <w:tcW w:w="992" w:type="dxa"/>
            <w:shd w:val="clear" w:color="auto" w:fill="BDD6EE" w:themeFill="accent1" w:themeFillTint="66"/>
            <w:vAlign w:val="center"/>
          </w:tcPr>
          <w:p w:rsidR="00B152E4" w:rsidRPr="00C92486" w:rsidRDefault="00B152E4" w:rsidP="00B152E4">
            <w:pPr>
              <w:jc w:val="center"/>
              <w:rPr>
                <w:rFonts w:asciiTheme="minorHAnsi" w:hAnsiTheme="minorHAnsi" w:cstheme="minorHAnsi"/>
                <w:b/>
                <w:color w:val="000000"/>
                <w:sz w:val="15"/>
                <w:szCs w:val="15"/>
              </w:rPr>
            </w:pPr>
            <w:r w:rsidRPr="00C92486">
              <w:rPr>
                <w:rFonts w:asciiTheme="minorHAnsi" w:hAnsiTheme="minorHAnsi" w:cstheme="minorHAnsi"/>
                <w:b/>
                <w:sz w:val="16"/>
                <w:szCs w:val="16"/>
              </w:rPr>
              <w:t>2 675,0</w:t>
            </w:r>
          </w:p>
        </w:tc>
      </w:tr>
      <w:tr w:rsidR="005B3923" w:rsidRPr="00C92486" w:rsidTr="003B4C2F">
        <w:trPr>
          <w:trHeight w:val="340"/>
        </w:trPr>
        <w:tc>
          <w:tcPr>
            <w:tcW w:w="2552" w:type="dxa"/>
            <w:shd w:val="clear" w:color="auto" w:fill="auto"/>
            <w:vAlign w:val="center"/>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General government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1 018,3</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1 005,6</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1 018,3</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1 005,6</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1 768,9</w:t>
            </w:r>
          </w:p>
        </w:tc>
      </w:tr>
      <w:tr w:rsidR="005B3923" w:rsidRPr="00C92486" w:rsidTr="003B4C2F">
        <w:trPr>
          <w:trHeight w:val="300"/>
        </w:trPr>
        <w:tc>
          <w:tcPr>
            <w:tcW w:w="2552" w:type="dxa"/>
            <w:shd w:val="clear" w:color="auto" w:fill="auto"/>
            <w:vAlign w:val="center"/>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Central Bank</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r w:rsidR="005B3923" w:rsidRPr="00C92486" w:rsidTr="003B4C2F">
        <w:trPr>
          <w:trHeight w:val="300"/>
        </w:trPr>
        <w:tc>
          <w:tcPr>
            <w:tcW w:w="2552" w:type="dxa"/>
            <w:shd w:val="clear" w:color="auto" w:fill="auto"/>
            <w:vAlign w:val="center"/>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Deposit-taking corporations, except the central bank</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301,4</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305,7</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301,4</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305,7</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906,1</w:t>
            </w:r>
          </w:p>
        </w:tc>
      </w:tr>
      <w:tr w:rsidR="005B3923" w:rsidRPr="00C92486" w:rsidTr="003B4C2F">
        <w:trPr>
          <w:trHeight w:val="300"/>
        </w:trPr>
        <w:tc>
          <w:tcPr>
            <w:tcW w:w="2552" w:type="dxa"/>
            <w:shd w:val="clear" w:color="auto" w:fill="auto"/>
            <w:vAlign w:val="center"/>
          </w:tcPr>
          <w:p w:rsidR="005B3923" w:rsidRPr="008F42D9" w:rsidRDefault="005B3923" w:rsidP="005B3923">
            <w:pPr>
              <w:rPr>
                <w:rFonts w:asciiTheme="minorHAnsi" w:hAnsiTheme="minorHAnsi" w:cstheme="minorHAnsi"/>
                <w:bCs/>
                <w:color w:val="000000"/>
                <w:sz w:val="15"/>
                <w:szCs w:val="15"/>
                <w:lang w:val="en-US"/>
              </w:rPr>
            </w:pPr>
            <w:r w:rsidRPr="008F42D9">
              <w:rPr>
                <w:rFonts w:asciiTheme="minorHAnsi" w:hAnsiTheme="minorHAnsi" w:cstheme="minorHAnsi"/>
                <w:bCs/>
                <w:color w:val="000000"/>
                <w:sz w:val="15"/>
                <w:szCs w:val="15"/>
                <w:lang w:val="en-US"/>
              </w:rPr>
              <w:t>Other sectors</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0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45"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3"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shd w:val="clear" w:color="auto" w:fill="auto"/>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c>
          <w:tcPr>
            <w:tcW w:w="992" w:type="dxa"/>
            <w:vAlign w:val="center"/>
          </w:tcPr>
          <w:p w:rsidR="005B3923" w:rsidRPr="00C92486" w:rsidRDefault="005B3923" w:rsidP="005B3923">
            <w:pPr>
              <w:jc w:val="center"/>
              <w:rPr>
                <w:rFonts w:asciiTheme="minorHAnsi" w:hAnsiTheme="minorHAnsi" w:cstheme="minorHAnsi"/>
                <w:color w:val="000000"/>
                <w:sz w:val="15"/>
                <w:szCs w:val="15"/>
              </w:rPr>
            </w:pPr>
            <w:r w:rsidRPr="00C92486">
              <w:rPr>
                <w:rFonts w:asciiTheme="minorHAnsi" w:hAnsiTheme="minorHAnsi" w:cstheme="minorHAnsi"/>
                <w:color w:val="000000"/>
                <w:sz w:val="16"/>
                <w:szCs w:val="16"/>
              </w:rPr>
              <w:t>-</w:t>
            </w:r>
          </w:p>
        </w:tc>
      </w:tr>
    </w:tbl>
    <w:p w:rsidR="00043E99" w:rsidRPr="003A4E1C" w:rsidRDefault="00043E99" w:rsidP="00043E99">
      <w:pPr>
        <w:rPr>
          <w:rFonts w:asciiTheme="minorHAnsi" w:hAnsiTheme="minorHAnsi" w:cstheme="minorHAnsi"/>
          <w:sz w:val="16"/>
          <w:szCs w:val="16"/>
          <w:lang w:val="en-US"/>
        </w:rPr>
      </w:pPr>
      <w:r w:rsidRPr="008F42D9">
        <w:rPr>
          <w:rFonts w:asciiTheme="minorHAnsi" w:hAnsiTheme="minorHAnsi" w:cstheme="minorHAnsi"/>
          <w:sz w:val="16"/>
          <w:szCs w:val="16"/>
          <w:vertAlign w:val="superscript"/>
          <w:lang w:val="en-US"/>
        </w:rPr>
        <w:t>1</w:t>
      </w:r>
      <w:r w:rsidRPr="008F42D9">
        <w:rPr>
          <w:rFonts w:asciiTheme="minorHAnsi" w:hAnsiTheme="minorHAnsi" w:cstheme="minorHAnsi"/>
          <w:sz w:val="16"/>
          <w:szCs w:val="16"/>
          <w:lang w:val="en-US"/>
        </w:rPr>
        <w:t> </w:t>
      </w:r>
      <w:r w:rsidR="008F42D9" w:rsidRPr="003A4E1C">
        <w:rPr>
          <w:rFonts w:asciiTheme="minorHAnsi" w:hAnsiTheme="minorHAnsi" w:cstheme="minorHAnsi"/>
          <w:sz w:val="16"/>
          <w:szCs w:val="16"/>
          <w:lang w:val="en-US"/>
        </w:rPr>
        <w:t>Debt securities takes into account by market price</w:t>
      </w:r>
      <w:r w:rsidRPr="003A4E1C">
        <w:rPr>
          <w:rFonts w:asciiTheme="minorHAnsi" w:hAnsiTheme="minorHAnsi" w:cstheme="minorHAnsi"/>
          <w:sz w:val="16"/>
          <w:szCs w:val="16"/>
          <w:lang w:val="en-US"/>
        </w:rPr>
        <w:t xml:space="preserve"> (</w:t>
      </w:r>
      <w:r w:rsidR="008F42D9" w:rsidRPr="003A4E1C">
        <w:rPr>
          <w:rFonts w:asciiTheme="minorHAnsi" w:hAnsiTheme="minorHAnsi" w:cstheme="minorHAnsi"/>
          <w:sz w:val="16"/>
          <w:szCs w:val="16"/>
          <w:lang w:val="en-US"/>
        </w:rPr>
        <w:t>in the presence</w:t>
      </w:r>
      <w:r w:rsidRPr="003A4E1C">
        <w:rPr>
          <w:rFonts w:asciiTheme="minorHAnsi" w:hAnsiTheme="minorHAnsi" w:cstheme="minorHAnsi"/>
          <w:sz w:val="16"/>
          <w:szCs w:val="16"/>
          <w:lang w:val="en-US"/>
        </w:rPr>
        <w:t>)</w:t>
      </w:r>
    </w:p>
    <w:p w:rsidR="00043E99" w:rsidRPr="008F42D9" w:rsidRDefault="00043E99" w:rsidP="00043E99">
      <w:pPr>
        <w:rPr>
          <w:rFonts w:asciiTheme="minorHAnsi" w:hAnsiTheme="minorHAnsi" w:cstheme="minorHAnsi"/>
          <w:sz w:val="16"/>
          <w:szCs w:val="16"/>
          <w:lang w:val="en-US"/>
        </w:rPr>
      </w:pPr>
      <w:r w:rsidRPr="003A4E1C">
        <w:rPr>
          <w:rFonts w:asciiTheme="minorHAnsi" w:hAnsiTheme="minorHAnsi" w:cstheme="minorHAnsi"/>
          <w:sz w:val="16"/>
          <w:szCs w:val="16"/>
          <w:vertAlign w:val="superscript"/>
          <w:lang w:val="en-US"/>
        </w:rPr>
        <w:t xml:space="preserve">2 </w:t>
      </w:r>
      <w:r w:rsidR="008F42D9" w:rsidRPr="003A4E1C">
        <w:rPr>
          <w:rFonts w:asciiTheme="minorHAnsi" w:hAnsiTheme="minorHAnsi" w:cstheme="minorHAnsi"/>
          <w:sz w:val="16"/>
          <w:szCs w:val="16"/>
          <w:lang w:val="en-US"/>
        </w:rPr>
        <w:t>Other sectors</w:t>
      </w:r>
      <w:r w:rsidRPr="003A4E1C">
        <w:rPr>
          <w:rFonts w:asciiTheme="minorHAnsi" w:hAnsiTheme="minorHAnsi" w:cstheme="minorHAnsi"/>
          <w:sz w:val="16"/>
          <w:szCs w:val="16"/>
          <w:lang w:val="en-US"/>
        </w:rPr>
        <w:t xml:space="preserve"> </w:t>
      </w:r>
      <w:r w:rsidR="008F42D9" w:rsidRPr="003A4E1C">
        <w:rPr>
          <w:rFonts w:asciiTheme="minorHAnsi" w:hAnsiTheme="minorHAnsi" w:cstheme="minorHAnsi"/>
          <w:sz w:val="16"/>
          <w:szCs w:val="16"/>
          <w:lang w:val="en-US"/>
        </w:rPr>
        <w:t>not included intercompany lending</w:t>
      </w:r>
      <w:r w:rsidRPr="003A4E1C">
        <w:rPr>
          <w:rFonts w:asciiTheme="minorHAnsi" w:hAnsiTheme="minorHAnsi" w:cstheme="minorHAnsi"/>
          <w:sz w:val="16"/>
          <w:szCs w:val="16"/>
          <w:lang w:val="en-US"/>
        </w:rPr>
        <w:t xml:space="preserve"> (</w:t>
      </w:r>
      <w:r w:rsidR="008F42D9" w:rsidRPr="003A4E1C">
        <w:rPr>
          <w:rFonts w:asciiTheme="minorHAnsi" w:hAnsiTheme="minorHAnsi" w:cstheme="minorHAnsi"/>
          <w:sz w:val="16"/>
          <w:szCs w:val="16"/>
          <w:lang w:val="en-US"/>
        </w:rPr>
        <w:t>indicates in special article</w:t>
      </w:r>
      <w:r w:rsidRPr="003A4E1C">
        <w:rPr>
          <w:rFonts w:asciiTheme="minorHAnsi" w:hAnsiTheme="minorHAnsi" w:cstheme="minorHAnsi"/>
          <w:sz w:val="16"/>
          <w:szCs w:val="16"/>
          <w:lang w:val="en-US"/>
        </w:rPr>
        <w:t>)</w:t>
      </w:r>
    </w:p>
    <w:p w:rsidR="00DB4D33" w:rsidRPr="008F42D9" w:rsidRDefault="00DB4D33" w:rsidP="002219DE">
      <w:pPr>
        <w:rPr>
          <w:lang w:val="en-US"/>
        </w:rPr>
        <w:sectPr w:rsidR="00DB4D33" w:rsidRPr="008F42D9" w:rsidSect="00B97DA3">
          <w:footerReference w:type="default" r:id="rId48"/>
          <w:footerReference w:type="first" r:id="rId49"/>
          <w:pgSz w:w="16838" w:h="11906" w:orient="landscape" w:code="9"/>
          <w:pgMar w:top="1134" w:right="1134" w:bottom="851" w:left="851" w:header="709" w:footer="709" w:gutter="0"/>
          <w:cols w:space="708"/>
          <w:titlePg/>
          <w:docGrid w:linePitch="360"/>
        </w:sectPr>
      </w:pPr>
    </w:p>
    <w:p w:rsidR="005C00C3" w:rsidRPr="001D337D" w:rsidRDefault="00B8089B" w:rsidP="005C00C3">
      <w:pPr>
        <w:jc w:val="right"/>
        <w:rPr>
          <w:i/>
          <w:sz w:val="22"/>
          <w:szCs w:val="22"/>
          <w:lang w:val="en-US"/>
        </w:rPr>
      </w:pPr>
      <w:r w:rsidRPr="001D337D">
        <w:rPr>
          <w:rFonts w:cs="Calibri"/>
          <w:i/>
          <w:sz w:val="22"/>
          <w:szCs w:val="22"/>
          <w:lang w:val="en-US"/>
        </w:rPr>
        <w:lastRenderedPageBreak/>
        <w:t xml:space="preserve">Addenda </w:t>
      </w:r>
      <w:r w:rsidR="000822E0">
        <w:rPr>
          <w:i/>
          <w:sz w:val="22"/>
          <w:szCs w:val="22"/>
          <w:lang w:val="en-US"/>
        </w:rPr>
        <w:t>4</w:t>
      </w:r>
    </w:p>
    <w:p w:rsidR="005C00C3" w:rsidRPr="005D7492" w:rsidRDefault="00B8089B" w:rsidP="008C63CF">
      <w:pPr>
        <w:pStyle w:val="1"/>
        <w:ind w:left="0"/>
        <w:jc w:val="center"/>
        <w:rPr>
          <w:rFonts w:ascii="Calibri" w:hAnsi="Calibri" w:cs="Calibri"/>
          <w:sz w:val="24"/>
          <w:szCs w:val="24"/>
          <w:lang w:val="uz-Cyrl-UZ"/>
        </w:rPr>
      </w:pPr>
      <w:bookmarkStart w:id="24" w:name="_Toc533669803"/>
      <w:bookmarkStart w:id="25" w:name="_Toc67050803"/>
      <w:r w:rsidRPr="00147844">
        <w:rPr>
          <w:rFonts w:ascii="Calibri" w:hAnsi="Calibri" w:cs="Calibri"/>
          <w:sz w:val="24"/>
          <w:szCs w:val="24"/>
          <w:lang w:val="en-US"/>
        </w:rPr>
        <w:t xml:space="preserve">FOREIGN </w:t>
      </w:r>
      <w:r w:rsidR="00D30334" w:rsidRPr="00147844">
        <w:rPr>
          <w:rFonts w:ascii="Calibri" w:hAnsi="Calibri" w:cs="Calibri"/>
          <w:sz w:val="24"/>
          <w:szCs w:val="24"/>
          <w:lang w:val="en-US"/>
        </w:rPr>
        <w:t xml:space="preserve">MERCHANDISE </w:t>
      </w:r>
      <w:r w:rsidRPr="00147844">
        <w:rPr>
          <w:rFonts w:ascii="Calibri" w:hAnsi="Calibri" w:cs="Calibri"/>
          <w:sz w:val="24"/>
          <w:szCs w:val="24"/>
          <w:lang w:val="en-US"/>
        </w:rPr>
        <w:t xml:space="preserve">TRADE </w:t>
      </w:r>
      <w:bookmarkEnd w:id="24"/>
      <w:r w:rsidR="008C63CF" w:rsidRPr="00147844">
        <w:rPr>
          <w:rFonts w:ascii="Calibri" w:hAnsi="Calibri" w:cs="Calibri"/>
          <w:sz w:val="24"/>
          <w:szCs w:val="24"/>
        </w:rPr>
        <w:t xml:space="preserve">TURNOVER </w:t>
      </w:r>
      <w:r w:rsidR="003860A3">
        <w:rPr>
          <w:rFonts w:ascii="Calibri" w:hAnsi="Calibri" w:cs="Calibri"/>
          <w:sz w:val="24"/>
          <w:szCs w:val="24"/>
          <w:lang w:val="en-US"/>
        </w:rPr>
        <w:t>FOR 2018</w:t>
      </w:r>
      <w:r w:rsidR="00B152E4">
        <w:rPr>
          <w:rFonts w:ascii="Calibri" w:hAnsi="Calibri" w:cs="Calibri"/>
          <w:sz w:val="24"/>
          <w:szCs w:val="24"/>
          <w:lang w:val="en-US"/>
        </w:rPr>
        <w:t xml:space="preserve"> </w:t>
      </w:r>
      <w:r w:rsidR="00B33C6E">
        <w:rPr>
          <w:rFonts w:ascii="Calibri" w:hAnsi="Calibri" w:cs="Calibri"/>
          <w:sz w:val="24"/>
          <w:szCs w:val="24"/>
          <w:lang w:val="en-US"/>
        </w:rPr>
        <w:t>AND</w:t>
      </w:r>
      <w:r w:rsidR="008C63CF" w:rsidRPr="00147844">
        <w:rPr>
          <w:rFonts w:ascii="Calibri" w:hAnsi="Calibri" w:cs="Calibri"/>
          <w:sz w:val="24"/>
          <w:szCs w:val="24"/>
        </w:rPr>
        <w:t xml:space="preserve"> 20</w:t>
      </w:r>
      <w:r w:rsidR="008C63CF" w:rsidRPr="00147844">
        <w:rPr>
          <w:rFonts w:ascii="Calibri" w:hAnsi="Calibri" w:cs="Calibri"/>
          <w:sz w:val="24"/>
          <w:szCs w:val="24"/>
          <w:lang w:val="en-US"/>
        </w:rPr>
        <w:t>20</w:t>
      </w:r>
      <w:r w:rsidR="003860A3">
        <w:rPr>
          <w:rFonts w:ascii="Calibri" w:hAnsi="Calibri" w:cs="Calibri"/>
          <w:sz w:val="24"/>
          <w:szCs w:val="24"/>
          <w:lang w:val="en-US"/>
        </w:rPr>
        <w:t>.</w:t>
      </w:r>
      <w:bookmarkEnd w:id="25"/>
    </w:p>
    <w:p w:rsidR="000D43A7" w:rsidRDefault="00585EBB" w:rsidP="000A62A2">
      <w:pPr>
        <w:ind w:right="-31"/>
        <w:jc w:val="right"/>
        <w:rPr>
          <w:i/>
          <w:sz w:val="20"/>
          <w:szCs w:val="20"/>
          <w:lang w:val="en-US"/>
        </w:rPr>
      </w:pPr>
      <w:r w:rsidRPr="00F45A80">
        <w:rPr>
          <w:i/>
          <w:sz w:val="20"/>
          <w:szCs w:val="20"/>
          <w:lang w:val="en-US"/>
        </w:rPr>
        <w:t>(</w:t>
      </w:r>
      <w:r w:rsidR="00B8089B" w:rsidRPr="00F45A80">
        <w:rPr>
          <w:i/>
          <w:sz w:val="20"/>
          <w:szCs w:val="20"/>
          <w:lang w:val="en-US"/>
        </w:rPr>
        <w:t>mln</w:t>
      </w:r>
      <w:r w:rsidR="000D43A7" w:rsidRPr="00F45A80">
        <w:rPr>
          <w:i/>
          <w:sz w:val="20"/>
          <w:szCs w:val="20"/>
          <w:lang w:val="en-US"/>
        </w:rPr>
        <w:t>. </w:t>
      </w:r>
      <w:r w:rsidR="00B8089B" w:rsidRPr="00F45A80">
        <w:rPr>
          <w:i/>
          <w:sz w:val="20"/>
          <w:szCs w:val="20"/>
          <w:lang w:val="en-US"/>
        </w:rPr>
        <w:t>USD</w:t>
      </w:r>
      <w:r w:rsidRPr="00F45A80">
        <w:rPr>
          <w:i/>
          <w:sz w:val="20"/>
          <w:szCs w:val="20"/>
          <w:lang w:val="en-US"/>
        </w:rPr>
        <w:t>)</w:t>
      </w:r>
    </w:p>
    <w:tbl>
      <w:tblPr>
        <w:tblW w:w="14738" w:type="dxa"/>
        <w:tblLook w:val="04A0" w:firstRow="1" w:lastRow="0" w:firstColumn="1" w:lastColumn="0" w:noHBand="0" w:noVBand="1"/>
      </w:tblPr>
      <w:tblGrid>
        <w:gridCol w:w="2547"/>
        <w:gridCol w:w="992"/>
        <w:gridCol w:w="901"/>
        <w:gridCol w:w="901"/>
        <w:gridCol w:w="902"/>
        <w:gridCol w:w="901"/>
        <w:gridCol w:w="1004"/>
        <w:gridCol w:w="1039"/>
        <w:gridCol w:w="1015"/>
        <w:gridCol w:w="992"/>
        <w:gridCol w:w="992"/>
        <w:gridCol w:w="939"/>
        <w:gridCol w:w="1613"/>
      </w:tblGrid>
      <w:tr w:rsidR="000822E0" w:rsidRPr="00C92486" w:rsidTr="000822E0">
        <w:trPr>
          <w:trHeight w:val="20"/>
        </w:trPr>
        <w:tc>
          <w:tcPr>
            <w:tcW w:w="2547" w:type="dxa"/>
            <w:vMerge w:val="restart"/>
            <w:tcBorders>
              <w:top w:val="single" w:sz="4" w:space="0" w:color="5B9BD5"/>
              <w:left w:val="single" w:sz="4" w:space="0" w:color="5B9BD5"/>
              <w:right w:val="single" w:sz="4" w:space="0" w:color="5B9BD5"/>
            </w:tcBorders>
            <w:shd w:val="clear" w:color="auto" w:fill="auto"/>
            <w:noWrap/>
            <w:vAlign w:val="center"/>
            <w:hideMark/>
          </w:tcPr>
          <w:p w:rsidR="000822E0" w:rsidRPr="00C92486" w:rsidRDefault="000822E0" w:rsidP="00B527B7">
            <w:pPr>
              <w:jc w:val="center"/>
              <w:rPr>
                <w:rFonts w:asciiTheme="minorHAnsi" w:hAnsiTheme="minorHAnsi" w:cstheme="minorHAnsi"/>
                <w:b/>
                <w:color w:val="000000"/>
                <w:sz w:val="20"/>
                <w:szCs w:val="20"/>
              </w:rPr>
            </w:pPr>
            <w:r w:rsidRPr="00C92486">
              <w:rPr>
                <w:rFonts w:asciiTheme="minorHAnsi" w:hAnsiTheme="minorHAnsi" w:cstheme="minorHAnsi"/>
                <w:b/>
                <w:color w:val="000000"/>
                <w:sz w:val="20"/>
                <w:szCs w:val="20"/>
              </w:rPr>
              <w:t> </w:t>
            </w:r>
          </w:p>
        </w:tc>
        <w:tc>
          <w:tcPr>
            <w:tcW w:w="992" w:type="dxa"/>
            <w:vMerge w:val="restart"/>
            <w:tcBorders>
              <w:top w:val="single" w:sz="4" w:space="0" w:color="5B9BD5"/>
              <w:left w:val="single" w:sz="4" w:space="0" w:color="5B9BD5"/>
              <w:right w:val="single" w:sz="4" w:space="0" w:color="5B9BD5"/>
            </w:tcBorders>
            <w:shd w:val="clear" w:color="auto" w:fill="auto"/>
            <w:noWrap/>
            <w:vAlign w:val="center"/>
            <w:hideMark/>
          </w:tcPr>
          <w:p w:rsidR="000822E0" w:rsidRPr="00C92486" w:rsidRDefault="000822E0" w:rsidP="00B527B7">
            <w:pPr>
              <w:jc w:val="center"/>
              <w:rPr>
                <w:rFonts w:asciiTheme="minorHAnsi" w:hAnsiTheme="minorHAnsi" w:cstheme="minorHAnsi"/>
                <w:b/>
                <w:color w:val="000000"/>
                <w:sz w:val="20"/>
                <w:szCs w:val="20"/>
              </w:rPr>
            </w:pPr>
            <w:r w:rsidRPr="00C92486">
              <w:rPr>
                <w:rFonts w:asciiTheme="minorHAnsi" w:hAnsiTheme="minorHAnsi" w:cstheme="minorHAnsi"/>
                <w:b/>
                <w:color w:val="000000"/>
                <w:sz w:val="20"/>
                <w:szCs w:val="20"/>
              </w:rPr>
              <w:t>2018</w:t>
            </w:r>
          </w:p>
        </w:tc>
        <w:tc>
          <w:tcPr>
            <w:tcW w:w="3605" w:type="dxa"/>
            <w:gridSpan w:val="4"/>
            <w:tcBorders>
              <w:top w:val="single" w:sz="4" w:space="0" w:color="5B9BD5"/>
              <w:left w:val="nil"/>
              <w:bottom w:val="single" w:sz="4" w:space="0" w:color="5B9BD5"/>
              <w:right w:val="nil"/>
            </w:tcBorders>
            <w:shd w:val="clear" w:color="auto" w:fill="auto"/>
            <w:vAlign w:val="center"/>
            <w:hideMark/>
          </w:tcPr>
          <w:p w:rsidR="000822E0" w:rsidRPr="00C92486" w:rsidRDefault="000822E0" w:rsidP="00B527B7">
            <w:pPr>
              <w:jc w:val="center"/>
              <w:rPr>
                <w:rFonts w:asciiTheme="minorHAnsi" w:hAnsiTheme="minorHAnsi" w:cstheme="minorHAnsi"/>
                <w:b/>
                <w:color w:val="000000"/>
                <w:sz w:val="20"/>
                <w:szCs w:val="20"/>
              </w:rPr>
            </w:pPr>
            <w:r w:rsidRPr="00C92486">
              <w:rPr>
                <w:rFonts w:asciiTheme="minorHAnsi" w:hAnsiTheme="minorHAnsi" w:cstheme="minorHAnsi"/>
                <w:b/>
                <w:color w:val="000000"/>
                <w:sz w:val="20"/>
                <w:szCs w:val="20"/>
              </w:rPr>
              <w:t>2019</w:t>
            </w:r>
          </w:p>
        </w:tc>
        <w:tc>
          <w:tcPr>
            <w:tcW w:w="1004" w:type="dxa"/>
            <w:vMerge w:val="restart"/>
            <w:tcBorders>
              <w:top w:val="single" w:sz="4" w:space="0" w:color="5B9BD5"/>
              <w:left w:val="single" w:sz="4" w:space="0" w:color="5B9BD5"/>
              <w:right w:val="single" w:sz="4" w:space="0" w:color="5B9BD5"/>
            </w:tcBorders>
            <w:shd w:val="clear" w:color="auto" w:fill="auto"/>
            <w:vAlign w:val="center"/>
            <w:hideMark/>
          </w:tcPr>
          <w:p w:rsidR="000822E0" w:rsidRPr="00C92486" w:rsidRDefault="000822E0" w:rsidP="00B527B7">
            <w:pPr>
              <w:jc w:val="center"/>
              <w:rPr>
                <w:rFonts w:asciiTheme="minorHAnsi" w:hAnsiTheme="minorHAnsi" w:cstheme="minorHAnsi"/>
                <w:b/>
                <w:color w:val="000000"/>
                <w:sz w:val="20"/>
                <w:szCs w:val="20"/>
              </w:rPr>
            </w:pPr>
            <w:r w:rsidRPr="00C92486">
              <w:rPr>
                <w:rFonts w:asciiTheme="minorHAnsi" w:hAnsiTheme="minorHAnsi" w:cstheme="minorHAnsi"/>
                <w:b/>
                <w:color w:val="000000"/>
                <w:sz w:val="20"/>
                <w:szCs w:val="20"/>
              </w:rPr>
              <w:t>2019</w:t>
            </w:r>
          </w:p>
        </w:tc>
        <w:tc>
          <w:tcPr>
            <w:tcW w:w="4038" w:type="dxa"/>
            <w:gridSpan w:val="4"/>
            <w:tcBorders>
              <w:top w:val="single" w:sz="4" w:space="0" w:color="5B9BD5"/>
              <w:left w:val="nil"/>
              <w:bottom w:val="single" w:sz="4" w:space="0" w:color="5B9BD5"/>
              <w:right w:val="nil"/>
            </w:tcBorders>
            <w:shd w:val="clear" w:color="auto" w:fill="auto"/>
            <w:vAlign w:val="center"/>
            <w:hideMark/>
          </w:tcPr>
          <w:p w:rsidR="000822E0" w:rsidRPr="00C92486" w:rsidRDefault="000822E0" w:rsidP="00B527B7">
            <w:pPr>
              <w:jc w:val="center"/>
              <w:rPr>
                <w:rFonts w:asciiTheme="minorHAnsi" w:hAnsiTheme="minorHAnsi" w:cstheme="minorHAnsi"/>
                <w:b/>
                <w:color w:val="000000"/>
                <w:sz w:val="20"/>
                <w:szCs w:val="20"/>
              </w:rPr>
            </w:pPr>
            <w:r w:rsidRPr="00C92486">
              <w:rPr>
                <w:rFonts w:asciiTheme="minorHAnsi" w:hAnsiTheme="minorHAnsi" w:cstheme="minorHAnsi"/>
                <w:b/>
                <w:color w:val="000000"/>
                <w:sz w:val="20"/>
                <w:szCs w:val="20"/>
              </w:rPr>
              <w:t>2020</w:t>
            </w:r>
          </w:p>
        </w:tc>
        <w:tc>
          <w:tcPr>
            <w:tcW w:w="939" w:type="dxa"/>
            <w:vMerge w:val="restart"/>
            <w:tcBorders>
              <w:top w:val="single" w:sz="4" w:space="0" w:color="5B9BD5"/>
              <w:left w:val="single" w:sz="4" w:space="0" w:color="5B9BD5"/>
              <w:right w:val="single" w:sz="4" w:space="0" w:color="5B9BD5"/>
            </w:tcBorders>
            <w:shd w:val="clear" w:color="auto" w:fill="auto"/>
            <w:vAlign w:val="center"/>
            <w:hideMark/>
          </w:tcPr>
          <w:p w:rsidR="000822E0" w:rsidRPr="00C92486" w:rsidRDefault="000822E0" w:rsidP="00B527B7">
            <w:pPr>
              <w:ind w:left="-108"/>
              <w:jc w:val="center"/>
              <w:rPr>
                <w:rFonts w:asciiTheme="minorHAnsi" w:hAnsiTheme="minorHAnsi" w:cstheme="minorHAnsi"/>
                <w:color w:val="000000"/>
                <w:sz w:val="20"/>
                <w:szCs w:val="20"/>
              </w:rPr>
            </w:pPr>
            <w:r w:rsidRPr="00C92486">
              <w:rPr>
                <w:rFonts w:asciiTheme="minorHAnsi" w:hAnsiTheme="minorHAnsi" w:cstheme="minorHAnsi"/>
                <w:b/>
                <w:color w:val="000000"/>
                <w:sz w:val="20"/>
                <w:szCs w:val="20"/>
              </w:rPr>
              <w:t>2020</w:t>
            </w:r>
          </w:p>
        </w:tc>
        <w:tc>
          <w:tcPr>
            <w:tcW w:w="1613" w:type="dxa"/>
            <w:vMerge w:val="restart"/>
            <w:tcBorders>
              <w:top w:val="single" w:sz="4" w:space="0" w:color="5B9BD5"/>
              <w:left w:val="single" w:sz="4" w:space="0" w:color="5B9BD5"/>
              <w:right w:val="single" w:sz="4" w:space="0" w:color="5B9BD5"/>
            </w:tcBorders>
            <w:shd w:val="clear" w:color="auto" w:fill="auto"/>
            <w:vAlign w:val="center"/>
          </w:tcPr>
          <w:p w:rsidR="000822E0" w:rsidRPr="003860A3" w:rsidRDefault="003860A3" w:rsidP="003860A3">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Changes</w:t>
            </w:r>
          </w:p>
          <w:p w:rsidR="000822E0" w:rsidRPr="00C92486" w:rsidRDefault="000822E0" w:rsidP="003860A3">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w:t>
            </w:r>
            <w:r w:rsidR="003860A3">
              <w:rPr>
                <w:rFonts w:asciiTheme="minorHAnsi" w:hAnsiTheme="minorHAnsi" w:cstheme="minorHAnsi"/>
                <w:color w:val="000000"/>
                <w:sz w:val="20"/>
                <w:szCs w:val="20"/>
                <w:lang w:val="en-US"/>
              </w:rPr>
              <w:t>compare previous</w:t>
            </w:r>
            <w:r w:rsidRPr="00C92486">
              <w:rPr>
                <w:rFonts w:asciiTheme="minorHAnsi" w:hAnsiTheme="minorHAnsi" w:cstheme="minorHAnsi"/>
                <w:color w:val="000000"/>
                <w:sz w:val="20"/>
                <w:szCs w:val="20"/>
              </w:rPr>
              <w:t xml:space="preserve"> 2019)</w:t>
            </w:r>
          </w:p>
        </w:tc>
      </w:tr>
      <w:tr w:rsidR="00B152E4" w:rsidRPr="00622EAF" w:rsidTr="000822E0">
        <w:trPr>
          <w:trHeight w:val="342"/>
        </w:trPr>
        <w:tc>
          <w:tcPr>
            <w:tcW w:w="2547" w:type="dxa"/>
            <w:vMerge/>
            <w:tcBorders>
              <w:left w:val="single" w:sz="4" w:space="0" w:color="5B9BD5"/>
              <w:bottom w:val="single" w:sz="4" w:space="0" w:color="5B9BD5"/>
              <w:right w:val="single" w:sz="4" w:space="0" w:color="5B9BD5"/>
            </w:tcBorders>
            <w:shd w:val="clear" w:color="000000" w:fill="BDD7EE"/>
            <w:noWrap/>
            <w:vAlign w:val="center"/>
            <w:hideMark/>
          </w:tcPr>
          <w:p w:rsidR="00B152E4" w:rsidRPr="00622EAF" w:rsidRDefault="00B152E4" w:rsidP="00B152E4">
            <w:pPr>
              <w:rPr>
                <w:rFonts w:cs="Calibri"/>
                <w:b/>
                <w:bCs/>
                <w:color w:val="000000"/>
                <w:sz w:val="20"/>
                <w:szCs w:val="20"/>
              </w:rPr>
            </w:pPr>
          </w:p>
        </w:tc>
        <w:tc>
          <w:tcPr>
            <w:tcW w:w="992" w:type="dxa"/>
            <w:vMerge/>
            <w:tcBorders>
              <w:left w:val="single" w:sz="4" w:space="0" w:color="5B9BD5"/>
              <w:bottom w:val="single" w:sz="4" w:space="0" w:color="5B9BD5"/>
              <w:right w:val="single" w:sz="4" w:space="0" w:color="5B9BD5"/>
            </w:tcBorders>
            <w:vAlign w:val="center"/>
          </w:tcPr>
          <w:p w:rsidR="00B152E4" w:rsidRPr="00C92486" w:rsidRDefault="00B152E4" w:rsidP="00B152E4">
            <w:pPr>
              <w:rPr>
                <w:rFonts w:asciiTheme="minorHAnsi" w:hAnsiTheme="minorHAnsi" w:cstheme="minorHAnsi"/>
                <w:color w:val="000000"/>
                <w:sz w:val="20"/>
                <w:szCs w:val="20"/>
              </w:rPr>
            </w:pPr>
          </w:p>
        </w:tc>
        <w:tc>
          <w:tcPr>
            <w:tcW w:w="901" w:type="dxa"/>
            <w:tcBorders>
              <w:top w:val="single" w:sz="4" w:space="0" w:color="5B9BD5"/>
              <w:left w:val="single" w:sz="4" w:space="0" w:color="5B9BD5"/>
              <w:bottom w:val="single" w:sz="4" w:space="0" w:color="5B9BD5"/>
              <w:right w:val="single" w:sz="4" w:space="0" w:color="5B9BD5"/>
            </w:tcBorders>
            <w:vAlign w:val="center"/>
          </w:tcPr>
          <w:p w:rsidR="00B152E4" w:rsidRPr="00C92486" w:rsidRDefault="00B152E4" w:rsidP="00B152E4">
            <w:pPr>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Q1</w:t>
            </w:r>
          </w:p>
        </w:tc>
        <w:tc>
          <w:tcPr>
            <w:tcW w:w="901" w:type="dxa"/>
            <w:tcBorders>
              <w:top w:val="single" w:sz="4" w:space="0" w:color="5B9BD5"/>
              <w:left w:val="single" w:sz="4" w:space="0" w:color="5B9BD5"/>
              <w:bottom w:val="single" w:sz="4" w:space="0" w:color="5B9BD5"/>
              <w:right w:val="single" w:sz="4" w:space="0" w:color="5B9BD5"/>
            </w:tcBorders>
            <w:vAlign w:val="center"/>
          </w:tcPr>
          <w:p w:rsidR="00B152E4" w:rsidRPr="00B152E4" w:rsidRDefault="00B152E4" w:rsidP="00B152E4">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Q2</w:t>
            </w:r>
          </w:p>
        </w:tc>
        <w:tc>
          <w:tcPr>
            <w:tcW w:w="902" w:type="dxa"/>
            <w:tcBorders>
              <w:top w:val="single" w:sz="4" w:space="0" w:color="5B9BD5"/>
              <w:left w:val="single" w:sz="4" w:space="0" w:color="5B9BD5"/>
              <w:bottom w:val="single" w:sz="4" w:space="0" w:color="5B9BD5"/>
              <w:right w:val="single" w:sz="4" w:space="0" w:color="5B9BD5"/>
            </w:tcBorders>
            <w:vAlign w:val="center"/>
          </w:tcPr>
          <w:p w:rsidR="00B152E4" w:rsidRPr="00B152E4" w:rsidRDefault="00B152E4" w:rsidP="00B152E4">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Q3</w:t>
            </w:r>
          </w:p>
        </w:tc>
        <w:tc>
          <w:tcPr>
            <w:tcW w:w="901" w:type="dxa"/>
            <w:tcBorders>
              <w:top w:val="single" w:sz="4" w:space="0" w:color="5B9BD5"/>
              <w:left w:val="single" w:sz="4" w:space="0" w:color="5B9BD5"/>
              <w:bottom w:val="single" w:sz="4" w:space="0" w:color="5B9BD5"/>
              <w:right w:val="single" w:sz="4" w:space="0" w:color="5B9BD5"/>
            </w:tcBorders>
            <w:vAlign w:val="center"/>
          </w:tcPr>
          <w:p w:rsidR="00B152E4" w:rsidRPr="00B152E4" w:rsidRDefault="00B152E4" w:rsidP="00B152E4">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Q4</w:t>
            </w:r>
          </w:p>
        </w:tc>
        <w:tc>
          <w:tcPr>
            <w:tcW w:w="1004" w:type="dxa"/>
            <w:vMerge/>
            <w:tcBorders>
              <w:left w:val="single" w:sz="4" w:space="0" w:color="5B9BD5"/>
              <w:bottom w:val="single" w:sz="4" w:space="0" w:color="5B9BD5"/>
              <w:right w:val="single" w:sz="4" w:space="0" w:color="5B9BD5"/>
            </w:tcBorders>
            <w:vAlign w:val="center"/>
          </w:tcPr>
          <w:p w:rsidR="00B152E4" w:rsidRPr="00C92486" w:rsidRDefault="00B152E4" w:rsidP="00B152E4">
            <w:pPr>
              <w:rPr>
                <w:rFonts w:asciiTheme="minorHAnsi" w:hAnsiTheme="minorHAnsi" w:cstheme="minorHAnsi"/>
                <w:color w:val="000000"/>
                <w:sz w:val="20"/>
                <w:szCs w:val="20"/>
              </w:rPr>
            </w:pPr>
          </w:p>
        </w:tc>
        <w:tc>
          <w:tcPr>
            <w:tcW w:w="1039" w:type="dxa"/>
            <w:tcBorders>
              <w:top w:val="single" w:sz="4" w:space="0" w:color="5B9BD5"/>
              <w:left w:val="single" w:sz="4" w:space="0" w:color="5B9BD5"/>
              <w:bottom w:val="single" w:sz="4" w:space="0" w:color="5B9BD5"/>
              <w:right w:val="single" w:sz="4" w:space="0" w:color="5B9BD5"/>
            </w:tcBorders>
            <w:vAlign w:val="center"/>
          </w:tcPr>
          <w:p w:rsidR="00B152E4" w:rsidRPr="00C92486" w:rsidRDefault="00B152E4" w:rsidP="00B152E4">
            <w:pPr>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Q1</w:t>
            </w:r>
          </w:p>
        </w:tc>
        <w:tc>
          <w:tcPr>
            <w:tcW w:w="1015" w:type="dxa"/>
            <w:tcBorders>
              <w:top w:val="single" w:sz="4" w:space="0" w:color="5B9BD5"/>
              <w:left w:val="single" w:sz="4" w:space="0" w:color="5B9BD5"/>
              <w:bottom w:val="single" w:sz="4" w:space="0" w:color="5B9BD5"/>
              <w:right w:val="single" w:sz="4" w:space="0" w:color="5B9BD5"/>
            </w:tcBorders>
            <w:vAlign w:val="center"/>
          </w:tcPr>
          <w:p w:rsidR="00B152E4" w:rsidRPr="00B152E4" w:rsidRDefault="00B152E4" w:rsidP="00B152E4">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Q2</w:t>
            </w:r>
          </w:p>
        </w:tc>
        <w:tc>
          <w:tcPr>
            <w:tcW w:w="992" w:type="dxa"/>
            <w:tcBorders>
              <w:top w:val="single" w:sz="4" w:space="0" w:color="5B9BD5"/>
              <w:left w:val="single" w:sz="4" w:space="0" w:color="5B9BD5"/>
              <w:bottom w:val="single" w:sz="4" w:space="0" w:color="5B9BD5"/>
              <w:right w:val="single" w:sz="4" w:space="0" w:color="5B9BD5"/>
            </w:tcBorders>
            <w:vAlign w:val="center"/>
          </w:tcPr>
          <w:p w:rsidR="00B152E4" w:rsidRPr="00B152E4" w:rsidRDefault="00B152E4" w:rsidP="00B152E4">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Q3</w:t>
            </w:r>
          </w:p>
        </w:tc>
        <w:tc>
          <w:tcPr>
            <w:tcW w:w="992" w:type="dxa"/>
            <w:tcBorders>
              <w:top w:val="single" w:sz="4" w:space="0" w:color="5B9BD5"/>
              <w:left w:val="single" w:sz="4" w:space="0" w:color="5B9BD5"/>
              <w:bottom w:val="single" w:sz="4" w:space="0" w:color="5B9BD5"/>
              <w:right w:val="single" w:sz="4" w:space="0" w:color="5B9BD5"/>
            </w:tcBorders>
            <w:vAlign w:val="center"/>
          </w:tcPr>
          <w:p w:rsidR="00B152E4" w:rsidRPr="00B152E4" w:rsidRDefault="00B152E4" w:rsidP="00B152E4">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Q4</w:t>
            </w:r>
          </w:p>
        </w:tc>
        <w:tc>
          <w:tcPr>
            <w:tcW w:w="939" w:type="dxa"/>
            <w:vMerge/>
            <w:tcBorders>
              <w:left w:val="single" w:sz="4" w:space="0" w:color="5B9BD5"/>
              <w:bottom w:val="single" w:sz="4" w:space="0" w:color="5B9BD5"/>
              <w:right w:val="single" w:sz="4" w:space="0" w:color="5B9BD5"/>
            </w:tcBorders>
            <w:vAlign w:val="center"/>
          </w:tcPr>
          <w:p w:rsidR="00B152E4" w:rsidRPr="00C92486" w:rsidRDefault="00B152E4" w:rsidP="00B152E4">
            <w:pPr>
              <w:rPr>
                <w:rFonts w:asciiTheme="minorHAnsi" w:hAnsiTheme="minorHAnsi" w:cstheme="minorHAnsi"/>
                <w:color w:val="000000"/>
                <w:sz w:val="20"/>
                <w:szCs w:val="20"/>
              </w:rPr>
            </w:pPr>
          </w:p>
        </w:tc>
        <w:tc>
          <w:tcPr>
            <w:tcW w:w="1613" w:type="dxa"/>
            <w:vMerge/>
            <w:tcBorders>
              <w:left w:val="single" w:sz="4" w:space="0" w:color="5B9BD5"/>
              <w:bottom w:val="single" w:sz="4" w:space="0" w:color="5B9BD5"/>
              <w:right w:val="single" w:sz="4" w:space="0" w:color="5B9BD5"/>
            </w:tcBorders>
            <w:vAlign w:val="center"/>
          </w:tcPr>
          <w:p w:rsidR="00B152E4" w:rsidRPr="00C92486" w:rsidRDefault="00B152E4" w:rsidP="00B152E4">
            <w:pPr>
              <w:rPr>
                <w:rFonts w:asciiTheme="minorHAnsi" w:hAnsiTheme="minorHAnsi" w:cstheme="minorHAnsi"/>
                <w:color w:val="000000"/>
                <w:sz w:val="20"/>
                <w:szCs w:val="20"/>
              </w:rPr>
            </w:pPr>
          </w:p>
        </w:tc>
      </w:tr>
      <w:tr w:rsidR="000822E0" w:rsidRPr="00622EAF" w:rsidTr="000822E0">
        <w:trPr>
          <w:trHeight w:val="342"/>
        </w:trPr>
        <w:tc>
          <w:tcPr>
            <w:tcW w:w="2547"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noWrap/>
            <w:vAlign w:val="center"/>
            <w:hideMark/>
          </w:tcPr>
          <w:p w:rsidR="00B527B7" w:rsidRPr="000822E0" w:rsidRDefault="00B527B7" w:rsidP="00B527B7">
            <w:pPr>
              <w:rPr>
                <w:rFonts w:cs="Calibri"/>
                <w:color w:val="000000"/>
                <w:sz w:val="20"/>
                <w:szCs w:val="20"/>
              </w:rPr>
            </w:pPr>
            <w:r w:rsidRPr="000822E0">
              <w:rPr>
                <w:rFonts w:cs="Calibri"/>
                <w:b/>
                <w:bCs/>
                <w:color w:val="000000"/>
                <w:sz w:val="20"/>
                <w:szCs w:val="20"/>
              </w:rPr>
              <w:t>Foreign trade turnover</w:t>
            </w:r>
          </w:p>
        </w:tc>
        <w:tc>
          <w:tcPr>
            <w:tcW w:w="992"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0822E0" w:rsidRDefault="00B527B7" w:rsidP="00B527B7">
            <w:pPr>
              <w:jc w:val="right"/>
              <w:rPr>
                <w:rFonts w:asciiTheme="minorHAnsi" w:hAnsiTheme="minorHAnsi" w:cstheme="minorHAnsi"/>
                <w:bCs/>
                <w:color w:val="000000"/>
                <w:sz w:val="20"/>
                <w:szCs w:val="20"/>
              </w:rPr>
            </w:pPr>
            <w:r w:rsidRPr="000822E0">
              <w:rPr>
                <w:rFonts w:asciiTheme="minorHAnsi" w:hAnsiTheme="minorHAnsi" w:cstheme="minorHAnsi"/>
                <w:bCs/>
                <w:color w:val="000000"/>
                <w:sz w:val="20"/>
                <w:szCs w:val="20"/>
              </w:rPr>
              <w:t>29 638,0</w:t>
            </w:r>
          </w:p>
        </w:tc>
        <w:tc>
          <w:tcPr>
            <w:tcW w:w="901"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0822E0" w:rsidRDefault="00B527B7" w:rsidP="00B527B7">
            <w:pPr>
              <w:jc w:val="right"/>
              <w:rPr>
                <w:rFonts w:asciiTheme="minorHAnsi" w:hAnsiTheme="minorHAnsi" w:cstheme="minorHAnsi"/>
                <w:bCs/>
                <w:color w:val="000000"/>
                <w:sz w:val="20"/>
                <w:szCs w:val="20"/>
              </w:rPr>
            </w:pPr>
            <w:r w:rsidRPr="000822E0">
              <w:rPr>
                <w:rFonts w:asciiTheme="minorHAnsi" w:hAnsiTheme="minorHAnsi" w:cstheme="minorHAnsi"/>
                <w:bCs/>
                <w:color w:val="000000"/>
                <w:sz w:val="20"/>
                <w:szCs w:val="20"/>
              </w:rPr>
              <w:t>7 786,8</w:t>
            </w:r>
          </w:p>
        </w:tc>
        <w:tc>
          <w:tcPr>
            <w:tcW w:w="901"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0822E0" w:rsidRDefault="00B527B7" w:rsidP="00B527B7">
            <w:pPr>
              <w:jc w:val="right"/>
              <w:rPr>
                <w:rFonts w:asciiTheme="minorHAnsi" w:hAnsiTheme="minorHAnsi" w:cstheme="minorHAnsi"/>
                <w:bCs/>
                <w:color w:val="000000"/>
                <w:sz w:val="20"/>
                <w:szCs w:val="20"/>
              </w:rPr>
            </w:pPr>
            <w:r w:rsidRPr="000822E0">
              <w:rPr>
                <w:rFonts w:asciiTheme="minorHAnsi" w:hAnsiTheme="minorHAnsi" w:cstheme="minorHAnsi"/>
                <w:bCs/>
                <w:color w:val="000000"/>
                <w:sz w:val="20"/>
                <w:szCs w:val="20"/>
              </w:rPr>
              <w:t>8 705,8</w:t>
            </w:r>
          </w:p>
        </w:tc>
        <w:tc>
          <w:tcPr>
            <w:tcW w:w="902"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0822E0" w:rsidRDefault="00B527B7" w:rsidP="00B527B7">
            <w:pPr>
              <w:jc w:val="right"/>
              <w:rPr>
                <w:rFonts w:asciiTheme="minorHAnsi" w:hAnsiTheme="minorHAnsi" w:cstheme="minorHAnsi"/>
                <w:bCs/>
                <w:color w:val="000000"/>
                <w:sz w:val="20"/>
                <w:szCs w:val="20"/>
              </w:rPr>
            </w:pPr>
            <w:r w:rsidRPr="000822E0">
              <w:rPr>
                <w:rFonts w:asciiTheme="minorHAnsi" w:hAnsiTheme="minorHAnsi" w:cstheme="minorHAnsi"/>
                <w:bCs/>
                <w:color w:val="000000"/>
                <w:sz w:val="20"/>
                <w:szCs w:val="20"/>
              </w:rPr>
              <w:t>9 675,2</w:t>
            </w:r>
          </w:p>
        </w:tc>
        <w:tc>
          <w:tcPr>
            <w:tcW w:w="901"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0822E0" w:rsidRDefault="00B527B7" w:rsidP="00B527B7">
            <w:pPr>
              <w:jc w:val="right"/>
              <w:rPr>
                <w:rFonts w:asciiTheme="minorHAnsi" w:hAnsiTheme="minorHAnsi" w:cstheme="minorHAnsi"/>
                <w:bCs/>
                <w:color w:val="000000"/>
                <w:sz w:val="20"/>
                <w:szCs w:val="20"/>
              </w:rPr>
            </w:pPr>
            <w:r w:rsidRPr="000822E0">
              <w:rPr>
                <w:rFonts w:asciiTheme="minorHAnsi" w:hAnsiTheme="minorHAnsi" w:cstheme="minorHAnsi"/>
                <w:bCs/>
                <w:color w:val="000000"/>
                <w:sz w:val="20"/>
                <w:szCs w:val="20"/>
              </w:rPr>
              <w:t>8 920,7</w:t>
            </w:r>
          </w:p>
        </w:tc>
        <w:tc>
          <w:tcPr>
            <w:tcW w:w="1004"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0822E0" w:rsidRDefault="00B527B7" w:rsidP="00B527B7">
            <w:pPr>
              <w:jc w:val="right"/>
              <w:rPr>
                <w:rFonts w:asciiTheme="minorHAnsi" w:hAnsiTheme="minorHAnsi" w:cstheme="minorHAnsi"/>
                <w:bCs/>
                <w:color w:val="000000"/>
                <w:sz w:val="20"/>
                <w:szCs w:val="20"/>
              </w:rPr>
            </w:pPr>
            <w:r w:rsidRPr="000822E0">
              <w:rPr>
                <w:rFonts w:asciiTheme="minorHAnsi" w:hAnsiTheme="minorHAnsi" w:cstheme="minorHAnsi"/>
                <w:bCs/>
                <w:color w:val="000000"/>
                <w:sz w:val="20"/>
                <w:szCs w:val="20"/>
              </w:rPr>
              <w:t>35 088,6</w:t>
            </w:r>
          </w:p>
        </w:tc>
        <w:tc>
          <w:tcPr>
            <w:tcW w:w="1039"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0822E0" w:rsidRDefault="00B527B7" w:rsidP="00B527B7">
            <w:pPr>
              <w:jc w:val="right"/>
              <w:rPr>
                <w:rFonts w:asciiTheme="minorHAnsi" w:hAnsiTheme="minorHAnsi" w:cstheme="minorHAnsi"/>
                <w:bCs/>
                <w:color w:val="000000"/>
                <w:sz w:val="20"/>
                <w:szCs w:val="20"/>
              </w:rPr>
            </w:pPr>
            <w:r w:rsidRPr="000822E0">
              <w:rPr>
                <w:rFonts w:asciiTheme="minorHAnsi" w:hAnsiTheme="minorHAnsi" w:cstheme="minorHAnsi"/>
                <w:bCs/>
                <w:color w:val="000000"/>
                <w:sz w:val="20"/>
                <w:szCs w:val="20"/>
              </w:rPr>
              <w:t>6 900,6</w:t>
            </w:r>
          </w:p>
        </w:tc>
        <w:tc>
          <w:tcPr>
            <w:tcW w:w="1015"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0822E0" w:rsidRDefault="00B527B7" w:rsidP="00B527B7">
            <w:pPr>
              <w:jc w:val="right"/>
              <w:rPr>
                <w:rFonts w:asciiTheme="minorHAnsi" w:hAnsiTheme="minorHAnsi" w:cstheme="minorHAnsi"/>
                <w:bCs/>
                <w:color w:val="000000"/>
                <w:sz w:val="20"/>
                <w:szCs w:val="20"/>
              </w:rPr>
            </w:pPr>
            <w:r w:rsidRPr="000822E0">
              <w:rPr>
                <w:rFonts w:asciiTheme="minorHAnsi" w:hAnsiTheme="minorHAnsi" w:cstheme="minorHAnsi"/>
                <w:bCs/>
                <w:color w:val="000000"/>
                <w:sz w:val="20"/>
                <w:szCs w:val="20"/>
              </w:rPr>
              <w:t>6 869,4</w:t>
            </w:r>
          </w:p>
        </w:tc>
        <w:tc>
          <w:tcPr>
            <w:tcW w:w="992"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0822E0" w:rsidRDefault="00B527B7" w:rsidP="00B527B7">
            <w:pPr>
              <w:jc w:val="right"/>
              <w:rPr>
                <w:rFonts w:asciiTheme="minorHAnsi" w:hAnsiTheme="minorHAnsi" w:cstheme="minorHAnsi"/>
                <w:bCs/>
                <w:color w:val="000000"/>
                <w:sz w:val="20"/>
                <w:szCs w:val="20"/>
              </w:rPr>
            </w:pPr>
            <w:r w:rsidRPr="000822E0">
              <w:rPr>
                <w:rFonts w:asciiTheme="minorHAnsi" w:hAnsiTheme="minorHAnsi" w:cstheme="minorHAnsi"/>
                <w:bCs/>
                <w:color w:val="000000"/>
                <w:sz w:val="20"/>
                <w:szCs w:val="20"/>
              </w:rPr>
              <w:t>10 614,4</w:t>
            </w:r>
          </w:p>
        </w:tc>
        <w:tc>
          <w:tcPr>
            <w:tcW w:w="992"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0822E0" w:rsidRDefault="00B527B7" w:rsidP="00B527B7">
            <w:pPr>
              <w:jc w:val="right"/>
              <w:rPr>
                <w:rFonts w:asciiTheme="minorHAnsi" w:hAnsiTheme="minorHAnsi" w:cstheme="minorHAnsi"/>
                <w:bCs/>
                <w:color w:val="000000"/>
                <w:sz w:val="20"/>
                <w:szCs w:val="20"/>
              </w:rPr>
            </w:pPr>
            <w:r w:rsidRPr="000822E0">
              <w:rPr>
                <w:rFonts w:asciiTheme="minorHAnsi" w:hAnsiTheme="minorHAnsi" w:cstheme="minorHAnsi"/>
                <w:bCs/>
                <w:color w:val="000000"/>
                <w:sz w:val="20"/>
                <w:szCs w:val="20"/>
              </w:rPr>
              <w:t>7 487,0</w:t>
            </w:r>
          </w:p>
        </w:tc>
        <w:tc>
          <w:tcPr>
            <w:tcW w:w="939"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0822E0" w:rsidRDefault="00B527B7" w:rsidP="00B527B7">
            <w:pPr>
              <w:jc w:val="right"/>
              <w:rPr>
                <w:rFonts w:asciiTheme="minorHAnsi" w:hAnsiTheme="minorHAnsi" w:cstheme="minorHAnsi"/>
                <w:bCs/>
                <w:color w:val="000000"/>
                <w:sz w:val="20"/>
                <w:szCs w:val="20"/>
              </w:rPr>
            </w:pPr>
            <w:r w:rsidRPr="000822E0">
              <w:rPr>
                <w:rFonts w:asciiTheme="minorHAnsi" w:hAnsiTheme="minorHAnsi" w:cstheme="minorHAnsi"/>
                <w:bCs/>
                <w:color w:val="000000"/>
                <w:sz w:val="20"/>
                <w:szCs w:val="20"/>
              </w:rPr>
              <w:t>31 871,5</w:t>
            </w:r>
          </w:p>
        </w:tc>
        <w:tc>
          <w:tcPr>
            <w:tcW w:w="1613"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0822E0" w:rsidRDefault="00B527B7" w:rsidP="00B527B7">
            <w:pPr>
              <w:jc w:val="center"/>
              <w:rPr>
                <w:rFonts w:asciiTheme="minorHAnsi" w:hAnsiTheme="minorHAnsi" w:cstheme="minorHAnsi"/>
                <w:bCs/>
                <w:color w:val="000000"/>
                <w:sz w:val="20"/>
                <w:szCs w:val="20"/>
              </w:rPr>
            </w:pPr>
            <w:r w:rsidRPr="000822E0">
              <w:rPr>
                <w:rFonts w:asciiTheme="minorHAnsi" w:hAnsiTheme="minorHAnsi" w:cstheme="minorHAnsi"/>
                <w:bCs/>
                <w:color w:val="000000"/>
                <w:sz w:val="20"/>
                <w:szCs w:val="20"/>
              </w:rPr>
              <w:t>-9%</w:t>
            </w:r>
          </w:p>
        </w:tc>
      </w:tr>
      <w:tr w:rsidR="000822E0" w:rsidRPr="00622EAF" w:rsidTr="000822E0">
        <w:trPr>
          <w:trHeight w:val="342"/>
        </w:trPr>
        <w:tc>
          <w:tcPr>
            <w:tcW w:w="2547"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B527B7" w:rsidRPr="00622EAF" w:rsidRDefault="00B527B7" w:rsidP="00B527B7">
            <w:pPr>
              <w:rPr>
                <w:rFonts w:cs="Calibri"/>
                <w:color w:val="000000"/>
                <w:sz w:val="20"/>
                <w:szCs w:val="20"/>
              </w:rPr>
            </w:pPr>
            <w:r w:rsidRPr="00622EAF">
              <w:rPr>
                <w:rFonts w:cs="Calibri"/>
                <w:color w:val="000000"/>
                <w:sz w:val="20"/>
                <w:szCs w:val="20"/>
              </w:rPr>
              <w:t>Official trade</w:t>
            </w:r>
          </w:p>
        </w:tc>
        <w:tc>
          <w:tcPr>
            <w:tcW w:w="99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29 996,2</w:t>
            </w:r>
          </w:p>
        </w:tc>
        <w:tc>
          <w:tcPr>
            <w:tcW w:w="901"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8 043,9</w:t>
            </w:r>
          </w:p>
        </w:tc>
        <w:tc>
          <w:tcPr>
            <w:tcW w:w="901"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8 902,5</w:t>
            </w:r>
          </w:p>
        </w:tc>
        <w:tc>
          <w:tcPr>
            <w:tcW w:w="90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9 930,6</w:t>
            </w:r>
          </w:p>
        </w:tc>
        <w:tc>
          <w:tcPr>
            <w:tcW w:w="901"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9 274,9</w:t>
            </w:r>
          </w:p>
        </w:tc>
        <w:tc>
          <w:tcPr>
            <w:tcW w:w="1004"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36 151,8</w:t>
            </w:r>
          </w:p>
        </w:tc>
        <w:tc>
          <w:tcPr>
            <w:tcW w:w="1039"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7 102,8</w:t>
            </w:r>
          </w:p>
        </w:tc>
        <w:tc>
          <w:tcPr>
            <w:tcW w:w="1015"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7 223,1</w:t>
            </w:r>
          </w:p>
        </w:tc>
        <w:tc>
          <w:tcPr>
            <w:tcW w:w="99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11 054,5</w:t>
            </w:r>
          </w:p>
        </w:tc>
        <w:tc>
          <w:tcPr>
            <w:tcW w:w="99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7 919,4</w:t>
            </w:r>
          </w:p>
        </w:tc>
        <w:tc>
          <w:tcPr>
            <w:tcW w:w="939"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33 299,8</w:t>
            </w:r>
          </w:p>
        </w:tc>
        <w:tc>
          <w:tcPr>
            <w:tcW w:w="1613"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-8%</w:t>
            </w:r>
          </w:p>
        </w:tc>
      </w:tr>
      <w:tr w:rsidR="000822E0" w:rsidRPr="00622EAF" w:rsidTr="000822E0">
        <w:trPr>
          <w:trHeight w:val="209"/>
        </w:trPr>
        <w:tc>
          <w:tcPr>
            <w:tcW w:w="2547"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B527B7" w:rsidRPr="00622EAF" w:rsidRDefault="00B527B7" w:rsidP="00B527B7">
            <w:pPr>
              <w:rPr>
                <w:rFonts w:cs="Calibri"/>
                <w:color w:val="000000"/>
                <w:sz w:val="20"/>
                <w:szCs w:val="20"/>
              </w:rPr>
            </w:pPr>
            <w:r w:rsidRPr="00622EAF">
              <w:rPr>
                <w:rFonts w:cs="Calibri"/>
                <w:color w:val="000000"/>
                <w:sz w:val="20"/>
                <w:szCs w:val="20"/>
              </w:rPr>
              <w:t>Shuttle trade</w:t>
            </w:r>
          </w:p>
        </w:tc>
        <w:tc>
          <w:tcPr>
            <w:tcW w:w="99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1 085,7</w:t>
            </w:r>
          </w:p>
        </w:tc>
        <w:tc>
          <w:tcPr>
            <w:tcW w:w="901"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97,7</w:t>
            </w:r>
          </w:p>
        </w:tc>
        <w:tc>
          <w:tcPr>
            <w:tcW w:w="901"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136,5</w:t>
            </w:r>
          </w:p>
        </w:tc>
        <w:tc>
          <w:tcPr>
            <w:tcW w:w="90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141,6</w:t>
            </w:r>
          </w:p>
        </w:tc>
        <w:tc>
          <w:tcPr>
            <w:tcW w:w="901"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99,0</w:t>
            </w:r>
          </w:p>
        </w:tc>
        <w:tc>
          <w:tcPr>
            <w:tcW w:w="1004"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474,8</w:t>
            </w:r>
          </w:p>
        </w:tc>
        <w:tc>
          <w:tcPr>
            <w:tcW w:w="1039"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89,0</w:t>
            </w:r>
          </w:p>
        </w:tc>
        <w:tc>
          <w:tcPr>
            <w:tcW w:w="1015"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w:t>
            </w:r>
          </w:p>
        </w:tc>
        <w:tc>
          <w:tcPr>
            <w:tcW w:w="99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w:t>
            </w:r>
          </w:p>
        </w:tc>
        <w:tc>
          <w:tcPr>
            <w:tcW w:w="99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w:t>
            </w:r>
          </w:p>
        </w:tc>
        <w:tc>
          <w:tcPr>
            <w:tcW w:w="939"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89,0</w:t>
            </w:r>
          </w:p>
        </w:tc>
        <w:tc>
          <w:tcPr>
            <w:tcW w:w="1613"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-81%</w:t>
            </w:r>
          </w:p>
        </w:tc>
      </w:tr>
      <w:tr w:rsidR="00B152E4" w:rsidRPr="00622EAF" w:rsidTr="00B152E4">
        <w:trPr>
          <w:trHeight w:val="50"/>
        </w:trPr>
        <w:tc>
          <w:tcPr>
            <w:tcW w:w="14738" w:type="dxa"/>
            <w:gridSpan w:val="13"/>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B152E4" w:rsidRPr="000822E0" w:rsidRDefault="00B152E4" w:rsidP="00B527B7">
            <w:pPr>
              <w:jc w:val="center"/>
              <w:rPr>
                <w:rFonts w:asciiTheme="minorHAnsi" w:hAnsiTheme="minorHAnsi" w:cstheme="minorHAnsi"/>
                <w:color w:val="595959" w:themeColor="text1" w:themeTint="A6"/>
                <w:sz w:val="20"/>
                <w:szCs w:val="20"/>
                <w:highlight w:val="darkGray"/>
              </w:rPr>
            </w:pPr>
          </w:p>
        </w:tc>
      </w:tr>
      <w:tr w:rsidR="000822E0" w:rsidRPr="00622EAF" w:rsidTr="000822E0">
        <w:trPr>
          <w:trHeight w:val="342"/>
        </w:trPr>
        <w:tc>
          <w:tcPr>
            <w:tcW w:w="2547"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noWrap/>
            <w:vAlign w:val="center"/>
            <w:hideMark/>
          </w:tcPr>
          <w:p w:rsidR="00B527B7" w:rsidRPr="00622EAF" w:rsidRDefault="000822E0" w:rsidP="00B527B7">
            <w:pPr>
              <w:rPr>
                <w:rFonts w:cs="Calibri"/>
                <w:color w:val="000000"/>
                <w:sz w:val="20"/>
                <w:szCs w:val="20"/>
              </w:rPr>
            </w:pPr>
            <w:r w:rsidRPr="000822E0">
              <w:rPr>
                <w:rFonts w:cs="Calibri"/>
                <w:b/>
                <w:bCs/>
                <w:color w:val="000000"/>
                <w:sz w:val="20"/>
                <w:szCs w:val="20"/>
              </w:rPr>
              <w:t>Exports</w:t>
            </w:r>
          </w:p>
        </w:tc>
        <w:tc>
          <w:tcPr>
            <w:tcW w:w="992"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right"/>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11 385,6</w:t>
            </w:r>
          </w:p>
        </w:tc>
        <w:tc>
          <w:tcPr>
            <w:tcW w:w="901"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right"/>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3 045,0</w:t>
            </w:r>
          </w:p>
        </w:tc>
        <w:tc>
          <w:tcPr>
            <w:tcW w:w="901"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right"/>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3 414,1</w:t>
            </w:r>
          </w:p>
        </w:tc>
        <w:tc>
          <w:tcPr>
            <w:tcW w:w="902"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right"/>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4 146,6</w:t>
            </w:r>
          </w:p>
        </w:tc>
        <w:tc>
          <w:tcPr>
            <w:tcW w:w="901"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right"/>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3 292,9</w:t>
            </w:r>
          </w:p>
        </w:tc>
        <w:tc>
          <w:tcPr>
            <w:tcW w:w="1004"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right"/>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13 898,6</w:t>
            </w:r>
          </w:p>
        </w:tc>
        <w:tc>
          <w:tcPr>
            <w:tcW w:w="1039"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right"/>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2 609,3</w:t>
            </w:r>
          </w:p>
        </w:tc>
        <w:tc>
          <w:tcPr>
            <w:tcW w:w="1015"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right"/>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2 579,2</w:t>
            </w:r>
          </w:p>
        </w:tc>
        <w:tc>
          <w:tcPr>
            <w:tcW w:w="992"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right"/>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5 616,2</w:t>
            </w:r>
          </w:p>
        </w:tc>
        <w:tc>
          <w:tcPr>
            <w:tcW w:w="992"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right"/>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2 018,5</w:t>
            </w:r>
          </w:p>
        </w:tc>
        <w:tc>
          <w:tcPr>
            <w:tcW w:w="939"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right"/>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12 823,2</w:t>
            </w:r>
          </w:p>
        </w:tc>
        <w:tc>
          <w:tcPr>
            <w:tcW w:w="1613"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center"/>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-8%</w:t>
            </w:r>
          </w:p>
        </w:tc>
      </w:tr>
      <w:tr w:rsidR="000822E0" w:rsidRPr="00622EAF" w:rsidTr="000822E0">
        <w:trPr>
          <w:trHeight w:val="342"/>
        </w:trPr>
        <w:tc>
          <w:tcPr>
            <w:tcW w:w="2547"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B527B7" w:rsidRPr="00622EAF" w:rsidRDefault="000822E0" w:rsidP="00B527B7">
            <w:pPr>
              <w:rPr>
                <w:rFonts w:cs="Calibri"/>
                <w:color w:val="000000"/>
                <w:sz w:val="20"/>
                <w:szCs w:val="20"/>
              </w:rPr>
            </w:pPr>
            <w:r w:rsidRPr="00622EAF">
              <w:rPr>
                <w:rFonts w:cs="Calibri"/>
                <w:color w:val="000000"/>
                <w:sz w:val="20"/>
                <w:szCs w:val="20"/>
              </w:rPr>
              <w:t>Exports FOB</w:t>
            </w:r>
          </w:p>
        </w:tc>
        <w:tc>
          <w:tcPr>
            <w:tcW w:w="99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8 185,9</w:t>
            </w:r>
          </w:p>
        </w:tc>
        <w:tc>
          <w:tcPr>
            <w:tcW w:w="901"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1 771,0</w:t>
            </w:r>
          </w:p>
        </w:tc>
        <w:tc>
          <w:tcPr>
            <w:tcW w:w="901"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2 491,0</w:t>
            </w:r>
          </w:p>
        </w:tc>
        <w:tc>
          <w:tcPr>
            <w:tcW w:w="90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2 178,3</w:t>
            </w:r>
          </w:p>
        </w:tc>
        <w:tc>
          <w:tcPr>
            <w:tcW w:w="901"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2 306,0</w:t>
            </w:r>
          </w:p>
        </w:tc>
        <w:tc>
          <w:tcPr>
            <w:tcW w:w="1004"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8 746,3</w:t>
            </w:r>
          </w:p>
        </w:tc>
        <w:tc>
          <w:tcPr>
            <w:tcW w:w="1039"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1 565,4</w:t>
            </w:r>
          </w:p>
        </w:tc>
        <w:tc>
          <w:tcPr>
            <w:tcW w:w="1015"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1 458,9</w:t>
            </w:r>
          </w:p>
        </w:tc>
        <w:tc>
          <w:tcPr>
            <w:tcW w:w="99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1 933,1</w:t>
            </w:r>
          </w:p>
        </w:tc>
        <w:tc>
          <w:tcPr>
            <w:tcW w:w="99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2 017,4</w:t>
            </w:r>
          </w:p>
        </w:tc>
        <w:tc>
          <w:tcPr>
            <w:tcW w:w="939"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6 974,8</w:t>
            </w:r>
          </w:p>
        </w:tc>
        <w:tc>
          <w:tcPr>
            <w:tcW w:w="1613"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-20%</w:t>
            </w:r>
          </w:p>
        </w:tc>
      </w:tr>
      <w:tr w:rsidR="000822E0" w:rsidRPr="00622EAF" w:rsidTr="000822E0">
        <w:trPr>
          <w:trHeight w:val="342"/>
        </w:trPr>
        <w:tc>
          <w:tcPr>
            <w:tcW w:w="2547"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B527B7" w:rsidRPr="00622EAF" w:rsidRDefault="000822E0" w:rsidP="00B527B7">
            <w:pPr>
              <w:rPr>
                <w:rFonts w:cs="Calibri"/>
                <w:color w:val="000000"/>
                <w:sz w:val="20"/>
                <w:szCs w:val="20"/>
              </w:rPr>
            </w:pPr>
            <w:r w:rsidRPr="00622EAF">
              <w:rPr>
                <w:rFonts w:cs="Calibri"/>
                <w:color w:val="000000"/>
                <w:sz w:val="20"/>
                <w:szCs w:val="20"/>
              </w:rPr>
              <w:t>Shuttle trade</w:t>
            </w:r>
          </w:p>
        </w:tc>
        <w:tc>
          <w:tcPr>
            <w:tcW w:w="99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213,2</w:t>
            </w:r>
          </w:p>
        </w:tc>
        <w:tc>
          <w:tcPr>
            <w:tcW w:w="901"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27,1</w:t>
            </w:r>
          </w:p>
        </w:tc>
        <w:tc>
          <w:tcPr>
            <w:tcW w:w="901"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40,4</w:t>
            </w:r>
          </w:p>
        </w:tc>
        <w:tc>
          <w:tcPr>
            <w:tcW w:w="90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58,9</w:t>
            </w:r>
          </w:p>
        </w:tc>
        <w:tc>
          <w:tcPr>
            <w:tcW w:w="901"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31,1</w:t>
            </w:r>
          </w:p>
        </w:tc>
        <w:tc>
          <w:tcPr>
            <w:tcW w:w="1004"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157,5</w:t>
            </w:r>
          </w:p>
        </w:tc>
        <w:tc>
          <w:tcPr>
            <w:tcW w:w="1039"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25,7</w:t>
            </w:r>
          </w:p>
        </w:tc>
        <w:tc>
          <w:tcPr>
            <w:tcW w:w="1015"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w:t>
            </w:r>
          </w:p>
        </w:tc>
        <w:tc>
          <w:tcPr>
            <w:tcW w:w="99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w:t>
            </w:r>
          </w:p>
        </w:tc>
        <w:tc>
          <w:tcPr>
            <w:tcW w:w="99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w:t>
            </w:r>
          </w:p>
        </w:tc>
        <w:tc>
          <w:tcPr>
            <w:tcW w:w="939"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25,7</w:t>
            </w:r>
          </w:p>
        </w:tc>
        <w:tc>
          <w:tcPr>
            <w:tcW w:w="1613"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-84%</w:t>
            </w:r>
          </w:p>
        </w:tc>
      </w:tr>
      <w:tr w:rsidR="000822E0" w:rsidRPr="00622EAF" w:rsidTr="000822E0">
        <w:trPr>
          <w:trHeight w:val="342"/>
        </w:trPr>
        <w:tc>
          <w:tcPr>
            <w:tcW w:w="2547"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B527B7" w:rsidRPr="00622EAF" w:rsidRDefault="000822E0" w:rsidP="00B527B7">
            <w:pPr>
              <w:rPr>
                <w:rFonts w:cs="Calibri"/>
                <w:color w:val="000000"/>
                <w:sz w:val="20"/>
                <w:szCs w:val="20"/>
              </w:rPr>
            </w:pPr>
            <w:r w:rsidRPr="00622EAF">
              <w:rPr>
                <w:rFonts w:cs="Calibri"/>
                <w:color w:val="000000"/>
                <w:sz w:val="20"/>
                <w:szCs w:val="20"/>
              </w:rPr>
              <w:t>Goods at ports</w:t>
            </w:r>
          </w:p>
        </w:tc>
        <w:tc>
          <w:tcPr>
            <w:tcW w:w="99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77,0</w:t>
            </w:r>
          </w:p>
        </w:tc>
        <w:tc>
          <w:tcPr>
            <w:tcW w:w="901"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15,4</w:t>
            </w:r>
          </w:p>
        </w:tc>
        <w:tc>
          <w:tcPr>
            <w:tcW w:w="901"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19,6</w:t>
            </w:r>
          </w:p>
        </w:tc>
        <w:tc>
          <w:tcPr>
            <w:tcW w:w="90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21,0</w:t>
            </w:r>
          </w:p>
        </w:tc>
        <w:tc>
          <w:tcPr>
            <w:tcW w:w="901"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20,6</w:t>
            </w:r>
          </w:p>
        </w:tc>
        <w:tc>
          <w:tcPr>
            <w:tcW w:w="1004"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76,6</w:t>
            </w:r>
          </w:p>
        </w:tc>
        <w:tc>
          <w:tcPr>
            <w:tcW w:w="1039"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12,2</w:t>
            </w:r>
          </w:p>
        </w:tc>
        <w:tc>
          <w:tcPr>
            <w:tcW w:w="1015"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1,7</w:t>
            </w:r>
          </w:p>
        </w:tc>
        <w:tc>
          <w:tcPr>
            <w:tcW w:w="99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3,2</w:t>
            </w:r>
          </w:p>
        </w:tc>
        <w:tc>
          <w:tcPr>
            <w:tcW w:w="99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1,1</w:t>
            </w:r>
          </w:p>
        </w:tc>
        <w:tc>
          <w:tcPr>
            <w:tcW w:w="939"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18,2</w:t>
            </w:r>
          </w:p>
        </w:tc>
        <w:tc>
          <w:tcPr>
            <w:tcW w:w="1613"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-76%</w:t>
            </w:r>
          </w:p>
        </w:tc>
      </w:tr>
      <w:tr w:rsidR="000822E0" w:rsidRPr="00622EAF" w:rsidTr="000822E0">
        <w:trPr>
          <w:trHeight w:val="209"/>
        </w:trPr>
        <w:tc>
          <w:tcPr>
            <w:tcW w:w="2547"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B527B7" w:rsidRPr="00622EAF" w:rsidRDefault="000822E0" w:rsidP="00B527B7">
            <w:pPr>
              <w:rPr>
                <w:rFonts w:cs="Calibri"/>
                <w:color w:val="000000"/>
                <w:sz w:val="20"/>
                <w:szCs w:val="20"/>
              </w:rPr>
            </w:pPr>
            <w:r w:rsidRPr="00622EAF">
              <w:rPr>
                <w:rFonts w:cs="Calibri"/>
                <w:color w:val="000000"/>
                <w:sz w:val="20"/>
                <w:szCs w:val="20"/>
              </w:rPr>
              <w:t>Non-monetary gold</w:t>
            </w:r>
          </w:p>
        </w:tc>
        <w:tc>
          <w:tcPr>
            <w:tcW w:w="99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2 909,5</w:t>
            </w:r>
          </w:p>
        </w:tc>
        <w:tc>
          <w:tcPr>
            <w:tcW w:w="901"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1 231,4</w:t>
            </w:r>
          </w:p>
        </w:tc>
        <w:tc>
          <w:tcPr>
            <w:tcW w:w="901"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863,2</w:t>
            </w:r>
          </w:p>
        </w:tc>
        <w:tc>
          <w:tcPr>
            <w:tcW w:w="90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1 888,4</w:t>
            </w:r>
          </w:p>
        </w:tc>
        <w:tc>
          <w:tcPr>
            <w:tcW w:w="901"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935,2</w:t>
            </w:r>
          </w:p>
        </w:tc>
        <w:tc>
          <w:tcPr>
            <w:tcW w:w="1004"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4 918,3</w:t>
            </w:r>
          </w:p>
        </w:tc>
        <w:tc>
          <w:tcPr>
            <w:tcW w:w="1039"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1 005,9</w:t>
            </w:r>
          </w:p>
        </w:tc>
        <w:tc>
          <w:tcPr>
            <w:tcW w:w="1015"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1 118,7</w:t>
            </w:r>
          </w:p>
        </w:tc>
        <w:tc>
          <w:tcPr>
            <w:tcW w:w="99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3 679,8</w:t>
            </w:r>
          </w:p>
        </w:tc>
        <w:tc>
          <w:tcPr>
            <w:tcW w:w="99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w:t>
            </w:r>
          </w:p>
        </w:tc>
        <w:tc>
          <w:tcPr>
            <w:tcW w:w="939"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5 804,4</w:t>
            </w:r>
          </w:p>
        </w:tc>
        <w:tc>
          <w:tcPr>
            <w:tcW w:w="1613"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18%</w:t>
            </w:r>
          </w:p>
        </w:tc>
      </w:tr>
      <w:tr w:rsidR="00B152E4" w:rsidRPr="00622EAF" w:rsidTr="00B152E4">
        <w:trPr>
          <w:trHeight w:val="84"/>
        </w:trPr>
        <w:tc>
          <w:tcPr>
            <w:tcW w:w="14738" w:type="dxa"/>
            <w:gridSpan w:val="13"/>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B152E4" w:rsidRPr="00C92486" w:rsidRDefault="00B152E4" w:rsidP="00B527B7">
            <w:pPr>
              <w:jc w:val="center"/>
              <w:rPr>
                <w:rFonts w:asciiTheme="minorHAnsi" w:hAnsiTheme="minorHAnsi" w:cstheme="minorHAnsi"/>
                <w:color w:val="000000"/>
                <w:sz w:val="20"/>
                <w:szCs w:val="20"/>
              </w:rPr>
            </w:pPr>
          </w:p>
        </w:tc>
      </w:tr>
      <w:tr w:rsidR="000822E0" w:rsidRPr="00622EAF" w:rsidTr="000822E0">
        <w:trPr>
          <w:trHeight w:val="342"/>
        </w:trPr>
        <w:tc>
          <w:tcPr>
            <w:tcW w:w="2547"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noWrap/>
            <w:vAlign w:val="center"/>
            <w:hideMark/>
          </w:tcPr>
          <w:p w:rsidR="00B527B7" w:rsidRPr="00622EAF" w:rsidRDefault="000822E0" w:rsidP="00B527B7">
            <w:pPr>
              <w:rPr>
                <w:rFonts w:cs="Calibri"/>
                <w:color w:val="000000"/>
                <w:sz w:val="20"/>
                <w:szCs w:val="20"/>
              </w:rPr>
            </w:pPr>
            <w:r w:rsidRPr="00622EAF">
              <w:rPr>
                <w:rFonts w:cs="Calibri"/>
                <w:b/>
                <w:bCs/>
                <w:color w:val="000000"/>
                <w:sz w:val="20"/>
                <w:szCs w:val="20"/>
              </w:rPr>
              <w:t>Imports</w:t>
            </w:r>
          </w:p>
        </w:tc>
        <w:tc>
          <w:tcPr>
            <w:tcW w:w="992"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right"/>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18 252,4</w:t>
            </w:r>
          </w:p>
        </w:tc>
        <w:tc>
          <w:tcPr>
            <w:tcW w:w="901"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right"/>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4 741,8</w:t>
            </w:r>
          </w:p>
        </w:tc>
        <w:tc>
          <w:tcPr>
            <w:tcW w:w="901"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right"/>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5 291,7</w:t>
            </w:r>
          </w:p>
        </w:tc>
        <w:tc>
          <w:tcPr>
            <w:tcW w:w="902"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right"/>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5 528,6</w:t>
            </w:r>
          </w:p>
        </w:tc>
        <w:tc>
          <w:tcPr>
            <w:tcW w:w="901"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right"/>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5 627,9</w:t>
            </w:r>
          </w:p>
        </w:tc>
        <w:tc>
          <w:tcPr>
            <w:tcW w:w="1004"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right"/>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21 190,0</w:t>
            </w:r>
          </w:p>
        </w:tc>
        <w:tc>
          <w:tcPr>
            <w:tcW w:w="1039"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right"/>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4 291,4</w:t>
            </w:r>
          </w:p>
        </w:tc>
        <w:tc>
          <w:tcPr>
            <w:tcW w:w="1015"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right"/>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4 290,1</w:t>
            </w:r>
          </w:p>
        </w:tc>
        <w:tc>
          <w:tcPr>
            <w:tcW w:w="992"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right"/>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4 998,3</w:t>
            </w:r>
          </w:p>
        </w:tc>
        <w:tc>
          <w:tcPr>
            <w:tcW w:w="992"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right"/>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5 468,6</w:t>
            </w:r>
          </w:p>
        </w:tc>
        <w:tc>
          <w:tcPr>
            <w:tcW w:w="939"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right"/>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19 048,3</w:t>
            </w:r>
          </w:p>
        </w:tc>
        <w:tc>
          <w:tcPr>
            <w:tcW w:w="1613"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B527B7" w:rsidRPr="00C92486" w:rsidRDefault="00B527B7" w:rsidP="00B527B7">
            <w:pPr>
              <w:jc w:val="center"/>
              <w:rPr>
                <w:rFonts w:asciiTheme="minorHAnsi" w:hAnsiTheme="minorHAnsi" w:cstheme="minorHAnsi"/>
                <w:bCs/>
                <w:color w:val="000000"/>
                <w:sz w:val="20"/>
                <w:szCs w:val="20"/>
              </w:rPr>
            </w:pPr>
            <w:r w:rsidRPr="00C92486">
              <w:rPr>
                <w:rFonts w:asciiTheme="minorHAnsi" w:hAnsiTheme="minorHAnsi" w:cstheme="minorHAnsi"/>
                <w:bCs/>
                <w:color w:val="000000"/>
                <w:sz w:val="20"/>
                <w:szCs w:val="20"/>
              </w:rPr>
              <w:t>-10%</w:t>
            </w:r>
          </w:p>
        </w:tc>
      </w:tr>
      <w:tr w:rsidR="000822E0" w:rsidRPr="00622EAF" w:rsidTr="000822E0">
        <w:trPr>
          <w:trHeight w:val="342"/>
        </w:trPr>
        <w:tc>
          <w:tcPr>
            <w:tcW w:w="2547" w:type="dxa"/>
            <w:tcBorders>
              <w:top w:val="single" w:sz="4" w:space="0" w:color="5B9BD5"/>
              <w:left w:val="single" w:sz="4" w:space="0" w:color="5B9BD5"/>
              <w:bottom w:val="single" w:sz="4" w:space="0" w:color="5B9BD5"/>
              <w:right w:val="single" w:sz="4" w:space="0" w:color="5B9BD5"/>
            </w:tcBorders>
            <w:shd w:val="clear" w:color="auto" w:fill="auto"/>
            <w:noWrap/>
            <w:vAlign w:val="center"/>
          </w:tcPr>
          <w:p w:rsidR="00B527B7" w:rsidRPr="00622EAF" w:rsidRDefault="000822E0" w:rsidP="00B527B7">
            <w:pPr>
              <w:rPr>
                <w:rFonts w:cs="Calibri"/>
                <w:color w:val="000000"/>
                <w:sz w:val="20"/>
                <w:szCs w:val="20"/>
              </w:rPr>
            </w:pPr>
            <w:r w:rsidRPr="00622EAF">
              <w:rPr>
                <w:rFonts w:cs="Calibri"/>
                <w:color w:val="000000"/>
                <w:sz w:val="20"/>
                <w:szCs w:val="20"/>
              </w:rPr>
              <w:t>Imports CIF</w:t>
            </w:r>
          </w:p>
        </w:tc>
        <w:tc>
          <w:tcPr>
            <w:tcW w:w="99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18 888,8</w:t>
            </w:r>
          </w:p>
        </w:tc>
        <w:tc>
          <w:tcPr>
            <w:tcW w:w="901"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5 037,2</w:t>
            </w:r>
          </w:p>
        </w:tc>
        <w:tc>
          <w:tcPr>
            <w:tcW w:w="901"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5 545,3</w:t>
            </w:r>
          </w:p>
        </w:tc>
        <w:tc>
          <w:tcPr>
            <w:tcW w:w="90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5 857,2</w:t>
            </w:r>
          </w:p>
        </w:tc>
        <w:tc>
          <w:tcPr>
            <w:tcW w:w="901"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6 032,0</w:t>
            </w:r>
          </w:p>
        </w:tc>
        <w:tc>
          <w:tcPr>
            <w:tcW w:w="1004"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22 471,6</w:t>
            </w:r>
          </w:p>
        </w:tc>
        <w:tc>
          <w:tcPr>
            <w:tcW w:w="1039"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4 529,5</w:t>
            </w:r>
          </w:p>
        </w:tc>
        <w:tc>
          <w:tcPr>
            <w:tcW w:w="1015"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4 642,0</w:t>
            </w:r>
          </w:p>
        </w:tc>
        <w:tc>
          <w:tcPr>
            <w:tcW w:w="99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5 429,3</w:t>
            </w:r>
          </w:p>
        </w:tc>
        <w:tc>
          <w:tcPr>
            <w:tcW w:w="992"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5 897,3</w:t>
            </w:r>
          </w:p>
        </w:tc>
        <w:tc>
          <w:tcPr>
            <w:tcW w:w="939"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20 498,0</w:t>
            </w:r>
          </w:p>
        </w:tc>
        <w:tc>
          <w:tcPr>
            <w:tcW w:w="1613" w:type="dxa"/>
            <w:tcBorders>
              <w:top w:val="single" w:sz="4" w:space="0" w:color="5B9BD5"/>
              <w:left w:val="single" w:sz="4" w:space="0" w:color="5B9BD5"/>
              <w:bottom w:val="single" w:sz="4" w:space="0" w:color="5B9BD5"/>
              <w:right w:val="single" w:sz="4" w:space="0" w:color="5B9BD5"/>
            </w:tcBorders>
            <w:vAlign w:val="center"/>
          </w:tcPr>
          <w:p w:rsidR="00B527B7" w:rsidRPr="00C92486" w:rsidRDefault="00B527B7" w:rsidP="00B527B7">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-9%</w:t>
            </w:r>
          </w:p>
        </w:tc>
      </w:tr>
      <w:tr w:rsidR="000822E0" w:rsidRPr="00622EAF" w:rsidTr="000822E0">
        <w:trPr>
          <w:trHeight w:val="342"/>
        </w:trPr>
        <w:tc>
          <w:tcPr>
            <w:tcW w:w="2547" w:type="dxa"/>
            <w:tcBorders>
              <w:top w:val="single" w:sz="4" w:space="0" w:color="5B9BD5"/>
              <w:left w:val="single" w:sz="4" w:space="0" w:color="5B9BD5"/>
              <w:bottom w:val="single" w:sz="4" w:space="0" w:color="5B9BD5"/>
              <w:right w:val="single" w:sz="4" w:space="0" w:color="5B9BD5"/>
            </w:tcBorders>
            <w:shd w:val="clear" w:color="auto" w:fill="auto"/>
            <w:noWrap/>
            <w:vAlign w:val="center"/>
          </w:tcPr>
          <w:p w:rsidR="000822E0" w:rsidRPr="00622EAF" w:rsidRDefault="000822E0" w:rsidP="000822E0">
            <w:pPr>
              <w:rPr>
                <w:rFonts w:cs="Calibri"/>
                <w:color w:val="000000"/>
                <w:sz w:val="20"/>
                <w:szCs w:val="20"/>
              </w:rPr>
            </w:pPr>
            <w:r w:rsidRPr="00622EAF">
              <w:rPr>
                <w:rFonts w:cs="Calibri"/>
                <w:color w:val="000000"/>
                <w:sz w:val="20"/>
                <w:szCs w:val="20"/>
              </w:rPr>
              <w:t>Shuttle trade</w:t>
            </w:r>
          </w:p>
        </w:tc>
        <w:tc>
          <w:tcPr>
            <w:tcW w:w="99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842,9</w:t>
            </w:r>
          </w:p>
        </w:tc>
        <w:tc>
          <w:tcPr>
            <w:tcW w:w="901"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70,6</w:t>
            </w:r>
          </w:p>
        </w:tc>
        <w:tc>
          <w:tcPr>
            <w:tcW w:w="901"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96,2</w:t>
            </w:r>
          </w:p>
        </w:tc>
        <w:tc>
          <w:tcPr>
            <w:tcW w:w="90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82,7</w:t>
            </w:r>
          </w:p>
        </w:tc>
        <w:tc>
          <w:tcPr>
            <w:tcW w:w="901"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67,9</w:t>
            </w:r>
          </w:p>
        </w:tc>
        <w:tc>
          <w:tcPr>
            <w:tcW w:w="1004"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317,3</w:t>
            </w:r>
          </w:p>
        </w:tc>
        <w:tc>
          <w:tcPr>
            <w:tcW w:w="1039"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63,3</w:t>
            </w:r>
          </w:p>
        </w:tc>
        <w:tc>
          <w:tcPr>
            <w:tcW w:w="1015"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w:t>
            </w:r>
          </w:p>
        </w:tc>
        <w:tc>
          <w:tcPr>
            <w:tcW w:w="99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w:t>
            </w:r>
          </w:p>
        </w:tc>
        <w:tc>
          <w:tcPr>
            <w:tcW w:w="99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w:t>
            </w:r>
          </w:p>
        </w:tc>
        <w:tc>
          <w:tcPr>
            <w:tcW w:w="939"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63,3</w:t>
            </w:r>
          </w:p>
        </w:tc>
        <w:tc>
          <w:tcPr>
            <w:tcW w:w="1613"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-80%</w:t>
            </w:r>
          </w:p>
        </w:tc>
      </w:tr>
      <w:tr w:rsidR="000822E0" w:rsidRPr="00622EAF" w:rsidTr="000822E0">
        <w:trPr>
          <w:trHeight w:val="342"/>
        </w:trPr>
        <w:tc>
          <w:tcPr>
            <w:tcW w:w="2547" w:type="dxa"/>
            <w:tcBorders>
              <w:top w:val="single" w:sz="4" w:space="0" w:color="5B9BD5"/>
              <w:left w:val="single" w:sz="4" w:space="0" w:color="5B9BD5"/>
              <w:bottom w:val="single" w:sz="4" w:space="0" w:color="5B9BD5"/>
              <w:right w:val="single" w:sz="4" w:space="0" w:color="5B9BD5"/>
            </w:tcBorders>
            <w:shd w:val="clear" w:color="auto" w:fill="auto"/>
            <w:noWrap/>
            <w:vAlign w:val="center"/>
          </w:tcPr>
          <w:p w:rsidR="000822E0" w:rsidRPr="00622EAF" w:rsidRDefault="000822E0" w:rsidP="000822E0">
            <w:pPr>
              <w:rPr>
                <w:rFonts w:cs="Calibri"/>
                <w:color w:val="000000"/>
                <w:sz w:val="20"/>
                <w:szCs w:val="20"/>
              </w:rPr>
            </w:pPr>
            <w:r w:rsidRPr="00622EAF">
              <w:rPr>
                <w:rFonts w:cs="Calibri"/>
                <w:color w:val="000000"/>
                <w:sz w:val="20"/>
                <w:szCs w:val="20"/>
              </w:rPr>
              <w:t>Goods at ports</w:t>
            </w:r>
          </w:p>
        </w:tc>
        <w:tc>
          <w:tcPr>
            <w:tcW w:w="99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102,4</w:t>
            </w:r>
          </w:p>
        </w:tc>
        <w:tc>
          <w:tcPr>
            <w:tcW w:w="901"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25,4</w:t>
            </w:r>
          </w:p>
        </w:tc>
        <w:tc>
          <w:tcPr>
            <w:tcW w:w="901"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28,6</w:t>
            </w:r>
          </w:p>
        </w:tc>
        <w:tc>
          <w:tcPr>
            <w:tcW w:w="90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27,9</w:t>
            </w:r>
          </w:p>
        </w:tc>
        <w:tc>
          <w:tcPr>
            <w:tcW w:w="901"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28,6</w:t>
            </w:r>
          </w:p>
        </w:tc>
        <w:tc>
          <w:tcPr>
            <w:tcW w:w="1004"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110,6</w:t>
            </w:r>
          </w:p>
        </w:tc>
        <w:tc>
          <w:tcPr>
            <w:tcW w:w="1039"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22,5</w:t>
            </w:r>
          </w:p>
        </w:tc>
        <w:tc>
          <w:tcPr>
            <w:tcW w:w="1015"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2,2</w:t>
            </w:r>
          </w:p>
        </w:tc>
        <w:tc>
          <w:tcPr>
            <w:tcW w:w="99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3,3</w:t>
            </w:r>
          </w:p>
        </w:tc>
        <w:tc>
          <w:tcPr>
            <w:tcW w:w="99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6,9</w:t>
            </w:r>
          </w:p>
        </w:tc>
        <w:tc>
          <w:tcPr>
            <w:tcW w:w="939"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34,8</w:t>
            </w:r>
          </w:p>
        </w:tc>
        <w:tc>
          <w:tcPr>
            <w:tcW w:w="1613"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-68%</w:t>
            </w:r>
          </w:p>
        </w:tc>
      </w:tr>
      <w:tr w:rsidR="000822E0" w:rsidRPr="00622EAF" w:rsidTr="000822E0">
        <w:trPr>
          <w:trHeight w:val="342"/>
        </w:trPr>
        <w:tc>
          <w:tcPr>
            <w:tcW w:w="2547"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0822E0" w:rsidRPr="00622EAF" w:rsidRDefault="000822E0" w:rsidP="000822E0">
            <w:pPr>
              <w:rPr>
                <w:rFonts w:cs="Calibri"/>
                <w:color w:val="000000"/>
                <w:sz w:val="20"/>
                <w:szCs w:val="20"/>
              </w:rPr>
            </w:pPr>
            <w:r w:rsidRPr="00622EAF">
              <w:rPr>
                <w:rFonts w:cs="Calibri"/>
                <w:color w:val="000000"/>
                <w:sz w:val="20"/>
                <w:szCs w:val="20"/>
              </w:rPr>
              <w:t>Freight</w:t>
            </w:r>
          </w:p>
        </w:tc>
        <w:tc>
          <w:tcPr>
            <w:tcW w:w="99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-593,7</w:t>
            </w:r>
          </w:p>
        </w:tc>
        <w:tc>
          <w:tcPr>
            <w:tcW w:w="901"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-395,6</w:t>
            </w:r>
          </w:p>
        </w:tc>
        <w:tc>
          <w:tcPr>
            <w:tcW w:w="901"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-381,4</w:t>
            </w:r>
          </w:p>
        </w:tc>
        <w:tc>
          <w:tcPr>
            <w:tcW w:w="90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-445,8</w:t>
            </w:r>
          </w:p>
        </w:tc>
        <w:tc>
          <w:tcPr>
            <w:tcW w:w="901"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-502,4</w:t>
            </w:r>
          </w:p>
        </w:tc>
        <w:tc>
          <w:tcPr>
            <w:tcW w:w="1004"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-1 725,2</w:t>
            </w:r>
          </w:p>
        </w:tc>
        <w:tc>
          <w:tcPr>
            <w:tcW w:w="1039"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-325,8</w:t>
            </w:r>
          </w:p>
        </w:tc>
        <w:tc>
          <w:tcPr>
            <w:tcW w:w="1015"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-357,6</w:t>
            </w:r>
          </w:p>
        </w:tc>
        <w:tc>
          <w:tcPr>
            <w:tcW w:w="99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-446,7</w:t>
            </w:r>
          </w:p>
        </w:tc>
        <w:tc>
          <w:tcPr>
            <w:tcW w:w="99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-440,4</w:t>
            </w:r>
          </w:p>
        </w:tc>
        <w:tc>
          <w:tcPr>
            <w:tcW w:w="939"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-1 570,4</w:t>
            </w:r>
          </w:p>
        </w:tc>
        <w:tc>
          <w:tcPr>
            <w:tcW w:w="1613"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-9%</w:t>
            </w:r>
          </w:p>
        </w:tc>
      </w:tr>
      <w:tr w:rsidR="000822E0" w:rsidRPr="00622EAF" w:rsidTr="000822E0">
        <w:trPr>
          <w:trHeight w:val="209"/>
        </w:trPr>
        <w:tc>
          <w:tcPr>
            <w:tcW w:w="2547"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0822E0" w:rsidRPr="00622EAF" w:rsidRDefault="000822E0" w:rsidP="000822E0">
            <w:pPr>
              <w:rPr>
                <w:rFonts w:cs="Calibri"/>
                <w:color w:val="000000"/>
                <w:sz w:val="20"/>
                <w:szCs w:val="20"/>
              </w:rPr>
            </w:pPr>
            <w:r w:rsidRPr="00622EAF">
              <w:rPr>
                <w:rFonts w:cs="Calibri"/>
                <w:color w:val="000000"/>
                <w:sz w:val="20"/>
                <w:szCs w:val="20"/>
              </w:rPr>
              <w:t>Non-monetary gold</w:t>
            </w:r>
          </w:p>
        </w:tc>
        <w:tc>
          <w:tcPr>
            <w:tcW w:w="99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12,0</w:t>
            </w:r>
          </w:p>
        </w:tc>
        <w:tc>
          <w:tcPr>
            <w:tcW w:w="901"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4,2</w:t>
            </w:r>
          </w:p>
        </w:tc>
        <w:tc>
          <w:tcPr>
            <w:tcW w:w="901"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3,1</w:t>
            </w:r>
          </w:p>
        </w:tc>
        <w:tc>
          <w:tcPr>
            <w:tcW w:w="90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6,7</w:t>
            </w:r>
          </w:p>
        </w:tc>
        <w:tc>
          <w:tcPr>
            <w:tcW w:w="901"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1,8</w:t>
            </w:r>
          </w:p>
        </w:tc>
        <w:tc>
          <w:tcPr>
            <w:tcW w:w="1004"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15,7</w:t>
            </w:r>
          </w:p>
        </w:tc>
        <w:tc>
          <w:tcPr>
            <w:tcW w:w="1039"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1,9</w:t>
            </w:r>
          </w:p>
        </w:tc>
        <w:tc>
          <w:tcPr>
            <w:tcW w:w="1015"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3,6</w:t>
            </w:r>
          </w:p>
        </w:tc>
        <w:tc>
          <w:tcPr>
            <w:tcW w:w="99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12,3</w:t>
            </w:r>
          </w:p>
        </w:tc>
        <w:tc>
          <w:tcPr>
            <w:tcW w:w="99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4,8</w:t>
            </w:r>
          </w:p>
        </w:tc>
        <w:tc>
          <w:tcPr>
            <w:tcW w:w="939"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22,6</w:t>
            </w:r>
          </w:p>
        </w:tc>
        <w:tc>
          <w:tcPr>
            <w:tcW w:w="1613"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44%</w:t>
            </w:r>
          </w:p>
        </w:tc>
      </w:tr>
      <w:tr w:rsidR="00B152E4" w:rsidRPr="00622EAF" w:rsidTr="00B152E4">
        <w:trPr>
          <w:trHeight w:val="88"/>
        </w:trPr>
        <w:tc>
          <w:tcPr>
            <w:tcW w:w="14738" w:type="dxa"/>
            <w:gridSpan w:val="13"/>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B152E4" w:rsidRPr="00C92486" w:rsidRDefault="00B152E4" w:rsidP="000822E0">
            <w:pPr>
              <w:jc w:val="center"/>
              <w:rPr>
                <w:rFonts w:asciiTheme="minorHAnsi" w:hAnsiTheme="minorHAnsi" w:cstheme="minorHAnsi"/>
                <w:color w:val="000000"/>
                <w:sz w:val="20"/>
                <w:szCs w:val="20"/>
              </w:rPr>
            </w:pPr>
          </w:p>
        </w:tc>
      </w:tr>
      <w:tr w:rsidR="000822E0" w:rsidRPr="00622EAF" w:rsidTr="000822E0">
        <w:trPr>
          <w:trHeight w:val="342"/>
        </w:trPr>
        <w:tc>
          <w:tcPr>
            <w:tcW w:w="2547"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noWrap/>
            <w:vAlign w:val="center"/>
            <w:hideMark/>
          </w:tcPr>
          <w:p w:rsidR="000822E0" w:rsidRPr="00622EAF" w:rsidRDefault="000822E0" w:rsidP="000822E0">
            <w:pPr>
              <w:rPr>
                <w:rFonts w:cs="Calibri"/>
                <w:color w:val="000000"/>
                <w:sz w:val="20"/>
                <w:szCs w:val="20"/>
              </w:rPr>
            </w:pPr>
            <w:r w:rsidRPr="00622EAF">
              <w:rPr>
                <w:rFonts w:cs="Calibri"/>
                <w:b/>
                <w:bCs/>
                <w:color w:val="000000"/>
                <w:sz w:val="20"/>
                <w:szCs w:val="20"/>
              </w:rPr>
              <w:t>Balance</w:t>
            </w:r>
          </w:p>
        </w:tc>
        <w:tc>
          <w:tcPr>
            <w:tcW w:w="992"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0822E0" w:rsidRPr="00C92486" w:rsidRDefault="000822E0" w:rsidP="000822E0">
            <w:pPr>
              <w:jc w:val="right"/>
              <w:rPr>
                <w:rFonts w:asciiTheme="minorHAnsi" w:hAnsiTheme="minorHAnsi" w:cstheme="minorHAnsi"/>
                <w:bCs/>
                <w:sz w:val="20"/>
                <w:szCs w:val="20"/>
              </w:rPr>
            </w:pPr>
            <w:r w:rsidRPr="00C92486">
              <w:rPr>
                <w:rFonts w:asciiTheme="minorHAnsi" w:hAnsiTheme="minorHAnsi" w:cstheme="minorHAnsi"/>
                <w:bCs/>
                <w:sz w:val="20"/>
                <w:szCs w:val="20"/>
              </w:rPr>
              <w:t>-6 866,9</w:t>
            </w:r>
          </w:p>
        </w:tc>
        <w:tc>
          <w:tcPr>
            <w:tcW w:w="901"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0822E0" w:rsidRPr="00C92486" w:rsidRDefault="000822E0" w:rsidP="000822E0">
            <w:pPr>
              <w:jc w:val="right"/>
              <w:rPr>
                <w:rFonts w:asciiTheme="minorHAnsi" w:hAnsiTheme="minorHAnsi" w:cstheme="minorHAnsi"/>
                <w:bCs/>
                <w:sz w:val="20"/>
                <w:szCs w:val="20"/>
              </w:rPr>
            </w:pPr>
            <w:r w:rsidRPr="00C92486">
              <w:rPr>
                <w:rFonts w:asciiTheme="minorHAnsi" w:hAnsiTheme="minorHAnsi" w:cstheme="minorHAnsi"/>
                <w:bCs/>
                <w:sz w:val="20"/>
                <w:szCs w:val="20"/>
              </w:rPr>
              <w:t>-1 696,7</w:t>
            </w:r>
          </w:p>
        </w:tc>
        <w:tc>
          <w:tcPr>
            <w:tcW w:w="901"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0822E0" w:rsidRPr="00C92486" w:rsidRDefault="000822E0" w:rsidP="000822E0">
            <w:pPr>
              <w:jc w:val="right"/>
              <w:rPr>
                <w:rFonts w:asciiTheme="minorHAnsi" w:hAnsiTheme="minorHAnsi" w:cstheme="minorHAnsi"/>
                <w:bCs/>
                <w:sz w:val="20"/>
                <w:szCs w:val="20"/>
              </w:rPr>
            </w:pPr>
            <w:r w:rsidRPr="00C92486">
              <w:rPr>
                <w:rFonts w:asciiTheme="minorHAnsi" w:hAnsiTheme="minorHAnsi" w:cstheme="minorHAnsi"/>
                <w:bCs/>
                <w:sz w:val="20"/>
                <w:szCs w:val="20"/>
              </w:rPr>
              <w:t>-1 877,6</w:t>
            </w:r>
          </w:p>
        </w:tc>
        <w:tc>
          <w:tcPr>
            <w:tcW w:w="902"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0822E0" w:rsidRPr="00C92486" w:rsidRDefault="000822E0" w:rsidP="000822E0">
            <w:pPr>
              <w:jc w:val="right"/>
              <w:rPr>
                <w:rFonts w:asciiTheme="minorHAnsi" w:hAnsiTheme="minorHAnsi" w:cstheme="minorHAnsi"/>
                <w:bCs/>
                <w:sz w:val="20"/>
                <w:szCs w:val="20"/>
              </w:rPr>
            </w:pPr>
            <w:r w:rsidRPr="00C92486">
              <w:rPr>
                <w:rFonts w:asciiTheme="minorHAnsi" w:hAnsiTheme="minorHAnsi" w:cstheme="minorHAnsi"/>
                <w:bCs/>
                <w:sz w:val="20"/>
                <w:szCs w:val="20"/>
              </w:rPr>
              <w:t>-1 382,0</w:t>
            </w:r>
          </w:p>
        </w:tc>
        <w:tc>
          <w:tcPr>
            <w:tcW w:w="901"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0822E0" w:rsidRPr="00C92486" w:rsidRDefault="000822E0" w:rsidP="000822E0">
            <w:pPr>
              <w:jc w:val="right"/>
              <w:rPr>
                <w:rFonts w:asciiTheme="minorHAnsi" w:hAnsiTheme="minorHAnsi" w:cstheme="minorHAnsi"/>
                <w:bCs/>
                <w:sz w:val="20"/>
                <w:szCs w:val="20"/>
              </w:rPr>
            </w:pPr>
            <w:r w:rsidRPr="00C92486">
              <w:rPr>
                <w:rFonts w:asciiTheme="minorHAnsi" w:hAnsiTheme="minorHAnsi" w:cstheme="minorHAnsi"/>
                <w:bCs/>
                <w:sz w:val="20"/>
                <w:szCs w:val="20"/>
              </w:rPr>
              <w:t>-2 335,0</w:t>
            </w:r>
          </w:p>
        </w:tc>
        <w:tc>
          <w:tcPr>
            <w:tcW w:w="1004"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0822E0" w:rsidRPr="00C92486" w:rsidRDefault="000822E0" w:rsidP="000822E0">
            <w:pPr>
              <w:jc w:val="right"/>
              <w:rPr>
                <w:rFonts w:asciiTheme="minorHAnsi" w:hAnsiTheme="minorHAnsi" w:cstheme="minorHAnsi"/>
                <w:bCs/>
                <w:sz w:val="20"/>
                <w:szCs w:val="20"/>
              </w:rPr>
            </w:pPr>
            <w:r w:rsidRPr="00C92486">
              <w:rPr>
                <w:rFonts w:asciiTheme="minorHAnsi" w:hAnsiTheme="minorHAnsi" w:cstheme="minorHAnsi"/>
                <w:bCs/>
                <w:sz w:val="20"/>
                <w:szCs w:val="20"/>
              </w:rPr>
              <w:t>-7 291,3</w:t>
            </w:r>
          </w:p>
        </w:tc>
        <w:tc>
          <w:tcPr>
            <w:tcW w:w="1039"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0822E0" w:rsidRPr="00C92486" w:rsidRDefault="000822E0" w:rsidP="000822E0">
            <w:pPr>
              <w:jc w:val="right"/>
              <w:rPr>
                <w:rFonts w:asciiTheme="minorHAnsi" w:hAnsiTheme="minorHAnsi" w:cstheme="minorHAnsi"/>
                <w:bCs/>
                <w:sz w:val="20"/>
                <w:szCs w:val="20"/>
              </w:rPr>
            </w:pPr>
            <w:r w:rsidRPr="00C92486">
              <w:rPr>
                <w:rFonts w:asciiTheme="minorHAnsi" w:hAnsiTheme="minorHAnsi" w:cstheme="minorHAnsi"/>
                <w:bCs/>
                <w:sz w:val="20"/>
                <w:szCs w:val="20"/>
              </w:rPr>
              <w:t>-1 682,1</w:t>
            </w:r>
          </w:p>
        </w:tc>
        <w:tc>
          <w:tcPr>
            <w:tcW w:w="1015"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0822E0" w:rsidRPr="00C92486" w:rsidRDefault="000822E0" w:rsidP="000822E0">
            <w:pPr>
              <w:jc w:val="right"/>
              <w:rPr>
                <w:rFonts w:asciiTheme="minorHAnsi" w:hAnsiTheme="minorHAnsi" w:cstheme="minorHAnsi"/>
                <w:bCs/>
                <w:sz w:val="20"/>
                <w:szCs w:val="20"/>
              </w:rPr>
            </w:pPr>
            <w:r w:rsidRPr="00C92486">
              <w:rPr>
                <w:rFonts w:asciiTheme="minorHAnsi" w:hAnsiTheme="minorHAnsi" w:cstheme="minorHAnsi"/>
                <w:bCs/>
                <w:sz w:val="20"/>
                <w:szCs w:val="20"/>
              </w:rPr>
              <w:t>-1 710,9</w:t>
            </w:r>
          </w:p>
        </w:tc>
        <w:tc>
          <w:tcPr>
            <w:tcW w:w="992"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0822E0" w:rsidRPr="00C92486" w:rsidRDefault="000822E0" w:rsidP="000822E0">
            <w:pPr>
              <w:jc w:val="right"/>
              <w:rPr>
                <w:rFonts w:asciiTheme="minorHAnsi" w:hAnsiTheme="minorHAnsi" w:cstheme="minorHAnsi"/>
                <w:bCs/>
                <w:sz w:val="20"/>
                <w:szCs w:val="20"/>
              </w:rPr>
            </w:pPr>
            <w:r w:rsidRPr="00C92486">
              <w:rPr>
                <w:rFonts w:asciiTheme="minorHAnsi" w:hAnsiTheme="minorHAnsi" w:cstheme="minorHAnsi"/>
                <w:bCs/>
                <w:sz w:val="20"/>
                <w:szCs w:val="20"/>
              </w:rPr>
              <w:t>617,9</w:t>
            </w:r>
          </w:p>
        </w:tc>
        <w:tc>
          <w:tcPr>
            <w:tcW w:w="992"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0822E0" w:rsidRPr="00C92486" w:rsidRDefault="000822E0" w:rsidP="000822E0">
            <w:pPr>
              <w:jc w:val="right"/>
              <w:rPr>
                <w:rFonts w:asciiTheme="minorHAnsi" w:hAnsiTheme="minorHAnsi" w:cstheme="minorHAnsi"/>
                <w:bCs/>
                <w:sz w:val="20"/>
                <w:szCs w:val="20"/>
              </w:rPr>
            </w:pPr>
            <w:r w:rsidRPr="00C92486">
              <w:rPr>
                <w:rFonts w:asciiTheme="minorHAnsi" w:hAnsiTheme="minorHAnsi" w:cstheme="minorHAnsi"/>
                <w:bCs/>
                <w:sz w:val="20"/>
                <w:szCs w:val="20"/>
              </w:rPr>
              <w:t>-3 450,1</w:t>
            </w:r>
          </w:p>
        </w:tc>
        <w:tc>
          <w:tcPr>
            <w:tcW w:w="939"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0822E0" w:rsidRPr="00C92486" w:rsidRDefault="000822E0" w:rsidP="000822E0">
            <w:pPr>
              <w:jc w:val="right"/>
              <w:rPr>
                <w:rFonts w:asciiTheme="minorHAnsi" w:hAnsiTheme="minorHAnsi" w:cstheme="minorHAnsi"/>
                <w:bCs/>
                <w:sz w:val="20"/>
                <w:szCs w:val="20"/>
              </w:rPr>
            </w:pPr>
            <w:r w:rsidRPr="00C92486">
              <w:rPr>
                <w:rFonts w:asciiTheme="minorHAnsi" w:hAnsiTheme="minorHAnsi" w:cstheme="minorHAnsi"/>
                <w:bCs/>
                <w:sz w:val="20"/>
                <w:szCs w:val="20"/>
              </w:rPr>
              <w:t>-6 225,2</w:t>
            </w:r>
          </w:p>
        </w:tc>
        <w:tc>
          <w:tcPr>
            <w:tcW w:w="1613" w:type="dxa"/>
            <w:tcBorders>
              <w:top w:val="single" w:sz="4" w:space="0" w:color="5B9BD5"/>
              <w:left w:val="single" w:sz="4" w:space="0" w:color="5B9BD5"/>
              <w:bottom w:val="single" w:sz="4" w:space="0" w:color="5B9BD5"/>
              <w:right w:val="single" w:sz="4" w:space="0" w:color="5B9BD5"/>
            </w:tcBorders>
            <w:shd w:val="clear" w:color="auto" w:fill="BDD6EE" w:themeFill="accent1" w:themeFillTint="66"/>
            <w:vAlign w:val="center"/>
          </w:tcPr>
          <w:p w:rsidR="000822E0" w:rsidRPr="00C92486" w:rsidRDefault="000822E0" w:rsidP="000822E0">
            <w:pPr>
              <w:jc w:val="center"/>
              <w:rPr>
                <w:rFonts w:asciiTheme="minorHAnsi" w:hAnsiTheme="minorHAnsi" w:cstheme="minorHAnsi"/>
                <w:bCs/>
                <w:sz w:val="20"/>
                <w:szCs w:val="20"/>
              </w:rPr>
            </w:pPr>
            <w:r w:rsidRPr="00C92486">
              <w:rPr>
                <w:rFonts w:asciiTheme="minorHAnsi" w:hAnsiTheme="minorHAnsi" w:cstheme="minorHAnsi"/>
                <w:bCs/>
                <w:sz w:val="20"/>
                <w:szCs w:val="20"/>
              </w:rPr>
              <w:t>-15%</w:t>
            </w:r>
          </w:p>
        </w:tc>
      </w:tr>
      <w:tr w:rsidR="000822E0" w:rsidRPr="00622EAF" w:rsidTr="000822E0">
        <w:trPr>
          <w:trHeight w:val="342"/>
        </w:trPr>
        <w:tc>
          <w:tcPr>
            <w:tcW w:w="2547"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0822E0" w:rsidRPr="00622EAF" w:rsidRDefault="000822E0" w:rsidP="000822E0">
            <w:pPr>
              <w:rPr>
                <w:rFonts w:cs="Calibri"/>
                <w:color w:val="000000"/>
                <w:sz w:val="20"/>
                <w:szCs w:val="20"/>
              </w:rPr>
            </w:pPr>
            <w:r w:rsidRPr="00622EAF">
              <w:rPr>
                <w:rFonts w:cs="Calibri"/>
                <w:color w:val="000000"/>
                <w:sz w:val="20"/>
                <w:szCs w:val="20"/>
              </w:rPr>
              <w:t>Official trade</w:t>
            </w:r>
          </w:p>
        </w:tc>
        <w:tc>
          <w:tcPr>
            <w:tcW w:w="99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sz w:val="20"/>
                <w:szCs w:val="20"/>
              </w:rPr>
            </w:pPr>
            <w:r w:rsidRPr="00C92486">
              <w:rPr>
                <w:rFonts w:asciiTheme="minorHAnsi" w:hAnsiTheme="minorHAnsi" w:cstheme="minorHAnsi"/>
                <w:sz w:val="20"/>
                <w:szCs w:val="20"/>
              </w:rPr>
              <w:t>-7 805,4</w:t>
            </w:r>
          </w:p>
        </w:tc>
        <w:tc>
          <w:tcPr>
            <w:tcW w:w="901"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sz w:val="20"/>
                <w:szCs w:val="20"/>
              </w:rPr>
            </w:pPr>
            <w:r w:rsidRPr="00C92486">
              <w:rPr>
                <w:rFonts w:asciiTheme="minorHAnsi" w:hAnsiTheme="minorHAnsi" w:cstheme="minorHAnsi"/>
                <w:sz w:val="20"/>
                <w:szCs w:val="20"/>
              </w:rPr>
              <w:t>-2 038,9</w:t>
            </w:r>
          </w:p>
        </w:tc>
        <w:tc>
          <w:tcPr>
            <w:tcW w:w="901"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sz w:val="20"/>
                <w:szCs w:val="20"/>
              </w:rPr>
            </w:pPr>
            <w:r w:rsidRPr="00C92486">
              <w:rPr>
                <w:rFonts w:asciiTheme="minorHAnsi" w:hAnsiTheme="minorHAnsi" w:cstheme="minorHAnsi"/>
                <w:sz w:val="20"/>
                <w:szCs w:val="20"/>
              </w:rPr>
              <w:t>-2 194,2</w:t>
            </w:r>
          </w:p>
        </w:tc>
        <w:tc>
          <w:tcPr>
            <w:tcW w:w="90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sz w:val="20"/>
                <w:szCs w:val="20"/>
              </w:rPr>
            </w:pPr>
            <w:r w:rsidRPr="00C92486">
              <w:rPr>
                <w:rFonts w:asciiTheme="minorHAnsi" w:hAnsiTheme="minorHAnsi" w:cstheme="minorHAnsi"/>
                <w:sz w:val="20"/>
                <w:szCs w:val="20"/>
              </w:rPr>
              <w:t>-1 797,2</w:t>
            </w:r>
          </w:p>
        </w:tc>
        <w:tc>
          <w:tcPr>
            <w:tcW w:w="901"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sz w:val="20"/>
                <w:szCs w:val="20"/>
              </w:rPr>
            </w:pPr>
            <w:r w:rsidRPr="00C92486">
              <w:rPr>
                <w:rFonts w:asciiTheme="minorHAnsi" w:hAnsiTheme="minorHAnsi" w:cstheme="minorHAnsi"/>
                <w:sz w:val="20"/>
                <w:szCs w:val="20"/>
              </w:rPr>
              <w:t>-2 792,5</w:t>
            </w:r>
          </w:p>
        </w:tc>
        <w:tc>
          <w:tcPr>
            <w:tcW w:w="1004"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sz w:val="20"/>
                <w:szCs w:val="20"/>
              </w:rPr>
            </w:pPr>
            <w:r w:rsidRPr="00C92486">
              <w:rPr>
                <w:rFonts w:asciiTheme="minorHAnsi" w:hAnsiTheme="minorHAnsi" w:cstheme="minorHAnsi"/>
                <w:sz w:val="20"/>
                <w:szCs w:val="20"/>
              </w:rPr>
              <w:t>-8 822,7</w:t>
            </w:r>
          </w:p>
        </w:tc>
        <w:tc>
          <w:tcPr>
            <w:tcW w:w="1039"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sz w:val="20"/>
                <w:szCs w:val="20"/>
              </w:rPr>
            </w:pPr>
            <w:r w:rsidRPr="00C92486">
              <w:rPr>
                <w:rFonts w:asciiTheme="minorHAnsi" w:hAnsiTheme="minorHAnsi" w:cstheme="minorHAnsi"/>
                <w:sz w:val="20"/>
                <w:szCs w:val="20"/>
              </w:rPr>
              <w:t>-1 960,0</w:t>
            </w:r>
          </w:p>
        </w:tc>
        <w:tc>
          <w:tcPr>
            <w:tcW w:w="1015"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sz w:val="20"/>
                <w:szCs w:val="20"/>
              </w:rPr>
            </w:pPr>
            <w:r w:rsidRPr="00C92486">
              <w:rPr>
                <w:rFonts w:asciiTheme="minorHAnsi" w:hAnsiTheme="minorHAnsi" w:cstheme="minorHAnsi"/>
                <w:sz w:val="20"/>
                <w:szCs w:val="20"/>
              </w:rPr>
              <w:t>-2 068,0</w:t>
            </w:r>
          </w:p>
        </w:tc>
        <w:tc>
          <w:tcPr>
            <w:tcW w:w="99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sz w:val="20"/>
                <w:szCs w:val="20"/>
              </w:rPr>
            </w:pPr>
            <w:r w:rsidRPr="00C92486">
              <w:rPr>
                <w:rFonts w:asciiTheme="minorHAnsi" w:hAnsiTheme="minorHAnsi" w:cstheme="minorHAnsi"/>
                <w:sz w:val="20"/>
                <w:szCs w:val="20"/>
              </w:rPr>
              <w:t>171,3</w:t>
            </w:r>
          </w:p>
        </w:tc>
        <w:tc>
          <w:tcPr>
            <w:tcW w:w="99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sz w:val="20"/>
                <w:szCs w:val="20"/>
              </w:rPr>
            </w:pPr>
            <w:r w:rsidRPr="00C92486">
              <w:rPr>
                <w:rFonts w:asciiTheme="minorHAnsi" w:hAnsiTheme="minorHAnsi" w:cstheme="minorHAnsi"/>
                <w:sz w:val="20"/>
                <w:szCs w:val="20"/>
              </w:rPr>
              <w:t>-3 884,7</w:t>
            </w:r>
          </w:p>
        </w:tc>
        <w:tc>
          <w:tcPr>
            <w:tcW w:w="939"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sz w:val="20"/>
                <w:szCs w:val="20"/>
              </w:rPr>
            </w:pPr>
            <w:r w:rsidRPr="00C92486">
              <w:rPr>
                <w:rFonts w:asciiTheme="minorHAnsi" w:hAnsiTheme="minorHAnsi" w:cstheme="minorHAnsi"/>
                <w:sz w:val="20"/>
                <w:szCs w:val="20"/>
              </w:rPr>
              <w:t>-7 741,4</w:t>
            </w:r>
          </w:p>
        </w:tc>
        <w:tc>
          <w:tcPr>
            <w:tcW w:w="1613"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center"/>
              <w:rPr>
                <w:rFonts w:asciiTheme="minorHAnsi" w:hAnsiTheme="minorHAnsi" w:cstheme="minorHAnsi"/>
                <w:sz w:val="20"/>
                <w:szCs w:val="20"/>
              </w:rPr>
            </w:pPr>
            <w:r w:rsidRPr="00C92486">
              <w:rPr>
                <w:rFonts w:asciiTheme="minorHAnsi" w:hAnsiTheme="minorHAnsi" w:cstheme="minorHAnsi"/>
                <w:sz w:val="20"/>
                <w:szCs w:val="20"/>
              </w:rPr>
              <w:t>-12%</w:t>
            </w:r>
          </w:p>
        </w:tc>
      </w:tr>
      <w:tr w:rsidR="000822E0" w:rsidRPr="00622EAF" w:rsidTr="000822E0">
        <w:trPr>
          <w:trHeight w:val="342"/>
        </w:trPr>
        <w:tc>
          <w:tcPr>
            <w:tcW w:w="2547" w:type="dxa"/>
            <w:tcBorders>
              <w:top w:val="single" w:sz="4" w:space="0" w:color="5B9BD5"/>
              <w:left w:val="single" w:sz="4" w:space="0" w:color="5B9BD5"/>
              <w:bottom w:val="single" w:sz="4" w:space="0" w:color="5B9BD5"/>
              <w:right w:val="single" w:sz="4" w:space="0" w:color="5B9BD5"/>
            </w:tcBorders>
            <w:shd w:val="clear" w:color="auto" w:fill="auto"/>
            <w:noWrap/>
            <w:vAlign w:val="center"/>
          </w:tcPr>
          <w:p w:rsidR="000822E0" w:rsidRPr="00622EAF" w:rsidRDefault="000822E0" w:rsidP="000822E0">
            <w:pPr>
              <w:rPr>
                <w:rFonts w:cs="Calibri"/>
                <w:color w:val="000000"/>
                <w:sz w:val="20"/>
                <w:szCs w:val="20"/>
              </w:rPr>
            </w:pPr>
            <w:r w:rsidRPr="00622EAF">
              <w:rPr>
                <w:rFonts w:cs="Calibri"/>
                <w:color w:val="000000"/>
                <w:sz w:val="20"/>
                <w:szCs w:val="20"/>
              </w:rPr>
              <w:t>Shuttle trade</w:t>
            </w:r>
          </w:p>
        </w:tc>
        <w:tc>
          <w:tcPr>
            <w:tcW w:w="99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-629,7</w:t>
            </w:r>
          </w:p>
        </w:tc>
        <w:tc>
          <w:tcPr>
            <w:tcW w:w="901"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-43,4</w:t>
            </w:r>
          </w:p>
        </w:tc>
        <w:tc>
          <w:tcPr>
            <w:tcW w:w="901"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-55,8</w:t>
            </w:r>
          </w:p>
        </w:tc>
        <w:tc>
          <w:tcPr>
            <w:tcW w:w="90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-23,7</w:t>
            </w:r>
          </w:p>
        </w:tc>
        <w:tc>
          <w:tcPr>
            <w:tcW w:w="901"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-36,8</w:t>
            </w:r>
          </w:p>
        </w:tc>
        <w:tc>
          <w:tcPr>
            <w:tcW w:w="1004"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-159,8</w:t>
            </w:r>
          </w:p>
        </w:tc>
        <w:tc>
          <w:tcPr>
            <w:tcW w:w="1039"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-37,6</w:t>
            </w:r>
          </w:p>
        </w:tc>
        <w:tc>
          <w:tcPr>
            <w:tcW w:w="1015"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w:t>
            </w:r>
          </w:p>
        </w:tc>
        <w:tc>
          <w:tcPr>
            <w:tcW w:w="99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w:t>
            </w:r>
          </w:p>
        </w:tc>
        <w:tc>
          <w:tcPr>
            <w:tcW w:w="992"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w:t>
            </w:r>
          </w:p>
        </w:tc>
        <w:tc>
          <w:tcPr>
            <w:tcW w:w="939"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right"/>
              <w:rPr>
                <w:rFonts w:asciiTheme="minorHAnsi" w:hAnsiTheme="minorHAnsi" w:cstheme="minorHAnsi"/>
                <w:color w:val="000000"/>
                <w:sz w:val="20"/>
                <w:szCs w:val="20"/>
              </w:rPr>
            </w:pPr>
            <w:r w:rsidRPr="00C92486">
              <w:rPr>
                <w:rFonts w:asciiTheme="minorHAnsi" w:hAnsiTheme="minorHAnsi" w:cstheme="minorHAnsi"/>
                <w:color w:val="000000"/>
                <w:sz w:val="20"/>
                <w:szCs w:val="20"/>
              </w:rPr>
              <w:t>-37,6</w:t>
            </w:r>
          </w:p>
        </w:tc>
        <w:tc>
          <w:tcPr>
            <w:tcW w:w="1613" w:type="dxa"/>
            <w:tcBorders>
              <w:top w:val="single" w:sz="4" w:space="0" w:color="5B9BD5"/>
              <w:left w:val="single" w:sz="4" w:space="0" w:color="5B9BD5"/>
              <w:bottom w:val="single" w:sz="4" w:space="0" w:color="5B9BD5"/>
              <w:right w:val="single" w:sz="4" w:space="0" w:color="5B9BD5"/>
            </w:tcBorders>
            <w:vAlign w:val="center"/>
          </w:tcPr>
          <w:p w:rsidR="000822E0" w:rsidRPr="00C92486" w:rsidRDefault="000822E0" w:rsidP="000822E0">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-76%</w:t>
            </w:r>
          </w:p>
        </w:tc>
      </w:tr>
    </w:tbl>
    <w:p w:rsidR="008872D7" w:rsidRPr="006A760D" w:rsidRDefault="008872D7" w:rsidP="000A62A2">
      <w:pPr>
        <w:ind w:right="-31"/>
        <w:jc w:val="right"/>
        <w:rPr>
          <w:i/>
          <w:sz w:val="20"/>
          <w:szCs w:val="20"/>
          <w:lang w:val="uz-Cyrl-UZ"/>
        </w:rPr>
      </w:pPr>
    </w:p>
    <w:p w:rsidR="005149E3" w:rsidRDefault="005149E3" w:rsidP="006171CD">
      <w:pPr>
        <w:spacing w:before="120"/>
        <w:jc w:val="right"/>
        <w:rPr>
          <w:rFonts w:cs="Calibri"/>
          <w:i/>
          <w:sz w:val="22"/>
          <w:szCs w:val="22"/>
          <w:lang w:val="en-US"/>
        </w:rPr>
      </w:pPr>
    </w:p>
    <w:p w:rsidR="003860A3" w:rsidRDefault="003860A3" w:rsidP="006171CD">
      <w:pPr>
        <w:spacing w:before="120"/>
        <w:jc w:val="right"/>
        <w:rPr>
          <w:rFonts w:cs="Calibri"/>
          <w:i/>
          <w:sz w:val="22"/>
          <w:szCs w:val="22"/>
          <w:lang w:val="en-US"/>
        </w:rPr>
      </w:pPr>
    </w:p>
    <w:p w:rsidR="009B676C" w:rsidRPr="001D337D" w:rsidRDefault="008634C9" w:rsidP="00B152E4">
      <w:pPr>
        <w:spacing w:before="120"/>
        <w:ind w:right="-314"/>
        <w:jc w:val="right"/>
        <w:rPr>
          <w:i/>
          <w:sz w:val="22"/>
          <w:szCs w:val="22"/>
          <w:lang w:val="en-US"/>
        </w:rPr>
      </w:pPr>
      <w:r w:rsidRPr="001D337D">
        <w:rPr>
          <w:rFonts w:cs="Calibri"/>
          <w:i/>
          <w:sz w:val="22"/>
          <w:szCs w:val="22"/>
          <w:lang w:val="en-US"/>
        </w:rPr>
        <w:lastRenderedPageBreak/>
        <w:t xml:space="preserve">Addenda </w:t>
      </w:r>
      <w:r w:rsidR="00B152E4">
        <w:rPr>
          <w:i/>
          <w:sz w:val="22"/>
          <w:szCs w:val="22"/>
          <w:lang w:val="en-US"/>
        </w:rPr>
        <w:t>5</w:t>
      </w:r>
    </w:p>
    <w:p w:rsidR="009B676C" w:rsidRPr="00992CC3" w:rsidRDefault="008634C9" w:rsidP="00516292">
      <w:pPr>
        <w:pStyle w:val="1"/>
        <w:ind w:left="0"/>
        <w:jc w:val="center"/>
        <w:rPr>
          <w:rFonts w:ascii="Calibri" w:hAnsi="Calibri" w:cs="Calibri"/>
          <w:sz w:val="24"/>
          <w:szCs w:val="24"/>
          <w:lang w:val="en-US"/>
        </w:rPr>
      </w:pPr>
      <w:bookmarkStart w:id="26" w:name="_Toc67050804"/>
      <w:r w:rsidRPr="00B152E4">
        <w:rPr>
          <w:rFonts w:ascii="Calibri" w:hAnsi="Calibri" w:cs="Calibri"/>
          <w:sz w:val="24"/>
          <w:szCs w:val="24"/>
          <w:lang w:val="en-US"/>
        </w:rPr>
        <w:t>STRUCTURE OF MERCHANDISE EXPORTS AN</w:t>
      </w:r>
      <w:r w:rsidR="00864FA4" w:rsidRPr="00B152E4">
        <w:rPr>
          <w:rFonts w:ascii="Calibri" w:hAnsi="Calibri" w:cs="Calibri"/>
          <w:sz w:val="24"/>
          <w:szCs w:val="24"/>
          <w:lang w:val="en-US"/>
        </w:rPr>
        <w:t xml:space="preserve">D IMPORTS </w:t>
      </w:r>
      <w:r w:rsidR="002C79BE" w:rsidRPr="00B152E4">
        <w:rPr>
          <w:rFonts w:ascii="Calibri" w:hAnsi="Calibri" w:cs="Calibri"/>
          <w:sz w:val="24"/>
          <w:szCs w:val="24"/>
          <w:lang w:val="en-US"/>
        </w:rPr>
        <w:t xml:space="preserve">FOR </w:t>
      </w:r>
      <w:r w:rsidR="00516292" w:rsidRPr="00B152E4">
        <w:rPr>
          <w:rFonts w:ascii="Calibri" w:hAnsi="Calibri" w:cs="Calibri"/>
          <w:sz w:val="24"/>
          <w:szCs w:val="24"/>
        </w:rPr>
        <w:t>201</w:t>
      </w:r>
      <w:r w:rsidR="00992CC3" w:rsidRPr="00B152E4">
        <w:rPr>
          <w:rFonts w:ascii="Calibri" w:hAnsi="Calibri" w:cs="Calibri"/>
          <w:sz w:val="24"/>
          <w:szCs w:val="24"/>
          <w:lang w:val="uz-Cyrl-UZ"/>
        </w:rPr>
        <w:t>8</w:t>
      </w:r>
      <w:r w:rsidR="00516292" w:rsidRPr="00B152E4">
        <w:rPr>
          <w:rFonts w:ascii="Calibri" w:hAnsi="Calibri" w:cs="Calibri"/>
          <w:sz w:val="24"/>
          <w:szCs w:val="24"/>
        </w:rPr>
        <w:t xml:space="preserve"> </w:t>
      </w:r>
      <w:r w:rsidR="00B33C6E">
        <w:rPr>
          <w:rFonts w:ascii="Calibri" w:hAnsi="Calibri" w:cs="Calibri"/>
          <w:sz w:val="24"/>
          <w:szCs w:val="24"/>
          <w:lang w:val="en-US"/>
        </w:rPr>
        <w:t>AND</w:t>
      </w:r>
      <w:r w:rsidR="00516292" w:rsidRPr="00B152E4">
        <w:rPr>
          <w:rFonts w:ascii="Calibri" w:hAnsi="Calibri" w:cs="Calibri"/>
          <w:sz w:val="24"/>
          <w:szCs w:val="24"/>
        </w:rPr>
        <w:t xml:space="preserve"> 20</w:t>
      </w:r>
      <w:r w:rsidR="00516292" w:rsidRPr="00B152E4">
        <w:rPr>
          <w:rFonts w:ascii="Calibri" w:hAnsi="Calibri" w:cs="Calibri"/>
          <w:sz w:val="24"/>
          <w:szCs w:val="24"/>
          <w:lang w:val="uz-Cyrl-UZ"/>
        </w:rPr>
        <w:t>20</w:t>
      </w:r>
      <w:bookmarkEnd w:id="26"/>
    </w:p>
    <w:p w:rsidR="009B676C" w:rsidRPr="00F45A80" w:rsidRDefault="00585EBB" w:rsidP="00B152E4">
      <w:pPr>
        <w:tabs>
          <w:tab w:val="left" w:pos="1428"/>
        </w:tabs>
        <w:ind w:right="-314"/>
        <w:jc w:val="right"/>
        <w:rPr>
          <w:i/>
          <w:sz w:val="20"/>
          <w:szCs w:val="20"/>
          <w:lang w:val="en-US"/>
        </w:rPr>
      </w:pPr>
      <w:r w:rsidRPr="00F45A80">
        <w:rPr>
          <w:i/>
          <w:sz w:val="20"/>
          <w:szCs w:val="20"/>
          <w:lang w:val="en-US"/>
        </w:rPr>
        <w:t>(</w:t>
      </w:r>
      <w:r w:rsidR="008634C9" w:rsidRPr="00F45A80">
        <w:rPr>
          <w:i/>
          <w:sz w:val="20"/>
          <w:szCs w:val="20"/>
          <w:lang w:val="en-US"/>
        </w:rPr>
        <w:t>mln</w:t>
      </w:r>
      <w:r w:rsidR="009B676C" w:rsidRPr="00F45A80">
        <w:rPr>
          <w:i/>
          <w:sz w:val="20"/>
          <w:szCs w:val="20"/>
          <w:lang w:val="en-US"/>
        </w:rPr>
        <w:t>.</w:t>
      </w:r>
      <w:r w:rsidR="008634C9" w:rsidRPr="00F45A80">
        <w:rPr>
          <w:i/>
          <w:sz w:val="20"/>
          <w:szCs w:val="20"/>
          <w:lang w:val="en-US"/>
        </w:rPr>
        <w:t xml:space="preserve"> USD</w:t>
      </w:r>
      <w:r w:rsidRPr="00F45A80">
        <w:rPr>
          <w:i/>
          <w:sz w:val="20"/>
          <w:szCs w:val="20"/>
          <w:lang w:val="en-US"/>
        </w:rPr>
        <w:t>)</w:t>
      </w:r>
    </w:p>
    <w:tbl>
      <w:tblPr>
        <w:tblW w:w="15593" w:type="dxa"/>
        <w:tblInd w:w="-572" w:type="dxa"/>
        <w:tblLayout w:type="fixed"/>
        <w:tblLook w:val="04A0" w:firstRow="1" w:lastRow="0" w:firstColumn="1" w:lastColumn="0" w:noHBand="0" w:noVBand="1"/>
      </w:tblPr>
      <w:tblGrid>
        <w:gridCol w:w="850"/>
        <w:gridCol w:w="3686"/>
        <w:gridCol w:w="851"/>
        <w:gridCol w:w="850"/>
        <w:gridCol w:w="851"/>
        <w:gridCol w:w="709"/>
        <w:gridCol w:w="850"/>
        <w:gridCol w:w="709"/>
        <w:gridCol w:w="849"/>
        <w:gridCol w:w="710"/>
        <w:gridCol w:w="838"/>
        <w:gridCol w:w="721"/>
        <w:gridCol w:w="850"/>
        <w:gridCol w:w="719"/>
        <w:gridCol w:w="851"/>
        <w:gridCol w:w="699"/>
      </w:tblGrid>
      <w:tr w:rsidR="003860A3" w:rsidRPr="006E1A9F" w:rsidTr="003B4C2F">
        <w:trPr>
          <w:trHeight w:val="160"/>
          <w:tblHeader/>
        </w:trPr>
        <w:tc>
          <w:tcPr>
            <w:tcW w:w="850" w:type="dxa"/>
            <w:vMerge w:val="restart"/>
            <w:tcBorders>
              <w:top w:val="single" w:sz="4" w:space="0" w:color="5B9BD5"/>
              <w:left w:val="single" w:sz="4" w:space="0" w:color="5B9BD5"/>
              <w:bottom w:val="single" w:sz="4" w:space="0" w:color="5B9BD5"/>
              <w:right w:val="single" w:sz="4" w:space="0" w:color="5B9BD5"/>
            </w:tcBorders>
            <w:shd w:val="clear" w:color="000000" w:fill="BDD7EE"/>
            <w:vAlign w:val="center"/>
            <w:hideMark/>
          </w:tcPr>
          <w:p w:rsidR="003860A3" w:rsidRPr="007955C6" w:rsidRDefault="003860A3" w:rsidP="00E0677A">
            <w:pPr>
              <w:jc w:val="center"/>
              <w:rPr>
                <w:rFonts w:cs="Calibri"/>
                <w:b/>
                <w:bCs/>
                <w:color w:val="000000"/>
                <w:sz w:val="12"/>
                <w:szCs w:val="18"/>
              </w:rPr>
            </w:pPr>
            <w:r w:rsidRPr="007955C6">
              <w:rPr>
                <w:rFonts w:cs="Calibri"/>
                <w:b/>
                <w:bCs/>
                <w:color w:val="000000"/>
                <w:sz w:val="12"/>
                <w:szCs w:val="18"/>
              </w:rPr>
              <w:t>Section</w:t>
            </w:r>
          </w:p>
        </w:tc>
        <w:tc>
          <w:tcPr>
            <w:tcW w:w="3686" w:type="dxa"/>
            <w:vMerge w:val="restart"/>
            <w:tcBorders>
              <w:top w:val="single" w:sz="4" w:space="0" w:color="5B9BD5"/>
              <w:left w:val="single" w:sz="4" w:space="0" w:color="5B9BD5"/>
              <w:bottom w:val="single" w:sz="4" w:space="0" w:color="5B9BD5"/>
              <w:right w:val="single" w:sz="4" w:space="0" w:color="5B9BD5"/>
            </w:tcBorders>
            <w:shd w:val="clear" w:color="000000" w:fill="BDD7EE"/>
            <w:vAlign w:val="center"/>
            <w:hideMark/>
          </w:tcPr>
          <w:p w:rsidR="003860A3" w:rsidRPr="007955C6" w:rsidRDefault="003860A3" w:rsidP="00E0677A">
            <w:pPr>
              <w:jc w:val="center"/>
              <w:rPr>
                <w:rFonts w:cs="Calibri"/>
                <w:b/>
                <w:bCs/>
                <w:color w:val="000000"/>
                <w:sz w:val="12"/>
                <w:szCs w:val="18"/>
              </w:rPr>
            </w:pPr>
            <w:r w:rsidRPr="007955C6">
              <w:rPr>
                <w:rFonts w:cs="Calibri"/>
                <w:b/>
                <w:bCs/>
                <w:color w:val="000000"/>
                <w:sz w:val="12"/>
                <w:szCs w:val="18"/>
              </w:rPr>
              <w:t>Name of product groups</w:t>
            </w:r>
          </w:p>
        </w:tc>
        <w:tc>
          <w:tcPr>
            <w:tcW w:w="1701" w:type="dxa"/>
            <w:gridSpan w:val="2"/>
            <w:tcBorders>
              <w:top w:val="single" w:sz="4" w:space="0" w:color="5B9BD5"/>
              <w:left w:val="nil"/>
              <w:bottom w:val="single" w:sz="4" w:space="0" w:color="5B9BD5"/>
              <w:right w:val="single" w:sz="4" w:space="0" w:color="5B9BD5"/>
            </w:tcBorders>
            <w:shd w:val="clear" w:color="000000" w:fill="BDD7EE"/>
            <w:noWrap/>
            <w:vAlign w:val="center"/>
            <w:hideMark/>
          </w:tcPr>
          <w:p w:rsidR="003860A3" w:rsidRPr="006E1A9F" w:rsidRDefault="003860A3" w:rsidP="00E0677A">
            <w:pPr>
              <w:jc w:val="center"/>
              <w:rPr>
                <w:rFonts w:cs="Calibri"/>
                <w:b/>
                <w:bCs/>
                <w:color w:val="000000"/>
                <w:sz w:val="18"/>
                <w:szCs w:val="18"/>
              </w:rPr>
            </w:pPr>
            <w:r>
              <w:rPr>
                <w:rFonts w:cs="Calibri"/>
                <w:b/>
                <w:bCs/>
                <w:color w:val="000000"/>
                <w:sz w:val="18"/>
                <w:szCs w:val="18"/>
                <w:lang w:val="en-US"/>
              </w:rPr>
              <w:t xml:space="preserve">For </w:t>
            </w:r>
            <w:r w:rsidRPr="006E1A9F">
              <w:rPr>
                <w:rFonts w:cs="Calibri"/>
                <w:b/>
                <w:bCs/>
                <w:color w:val="000000"/>
                <w:sz w:val="18"/>
                <w:szCs w:val="18"/>
              </w:rPr>
              <w:t>2018</w:t>
            </w:r>
          </w:p>
        </w:tc>
        <w:tc>
          <w:tcPr>
            <w:tcW w:w="4678" w:type="dxa"/>
            <w:gridSpan w:val="6"/>
            <w:tcBorders>
              <w:top w:val="single" w:sz="4" w:space="0" w:color="5B9BD5"/>
              <w:left w:val="nil"/>
              <w:bottom w:val="single" w:sz="4" w:space="0" w:color="5B9BD5"/>
              <w:right w:val="single" w:sz="4" w:space="0" w:color="5B9BD5"/>
            </w:tcBorders>
            <w:shd w:val="clear" w:color="000000" w:fill="BDD7EE"/>
            <w:noWrap/>
            <w:vAlign w:val="center"/>
            <w:hideMark/>
          </w:tcPr>
          <w:p w:rsidR="003860A3" w:rsidRPr="006E1A9F" w:rsidRDefault="003860A3" w:rsidP="00207AC8">
            <w:pPr>
              <w:jc w:val="center"/>
              <w:rPr>
                <w:rFonts w:cs="Calibri"/>
                <w:b/>
                <w:bCs/>
                <w:color w:val="000000"/>
                <w:sz w:val="18"/>
                <w:szCs w:val="18"/>
              </w:rPr>
            </w:pPr>
            <w:r w:rsidRPr="006E1A9F">
              <w:rPr>
                <w:rFonts w:cs="Calibri"/>
                <w:b/>
                <w:bCs/>
                <w:color w:val="000000"/>
                <w:sz w:val="18"/>
                <w:szCs w:val="18"/>
              </w:rPr>
              <w:t>For 2019</w:t>
            </w:r>
          </w:p>
        </w:tc>
        <w:tc>
          <w:tcPr>
            <w:tcW w:w="4678" w:type="dxa"/>
            <w:gridSpan w:val="6"/>
            <w:tcBorders>
              <w:top w:val="single" w:sz="4" w:space="0" w:color="5B9BD5"/>
              <w:left w:val="nil"/>
              <w:bottom w:val="single" w:sz="4" w:space="0" w:color="5B9BD5"/>
              <w:right w:val="single" w:sz="4" w:space="0" w:color="5B9BD5"/>
            </w:tcBorders>
            <w:shd w:val="clear" w:color="000000" w:fill="BDD7EE"/>
            <w:noWrap/>
            <w:vAlign w:val="center"/>
            <w:hideMark/>
          </w:tcPr>
          <w:p w:rsidR="003860A3" w:rsidRPr="006E1A9F" w:rsidRDefault="003860A3" w:rsidP="00207AC8">
            <w:pPr>
              <w:jc w:val="center"/>
              <w:rPr>
                <w:rFonts w:cs="Calibri"/>
                <w:b/>
                <w:bCs/>
                <w:color w:val="000000"/>
                <w:sz w:val="18"/>
                <w:szCs w:val="18"/>
              </w:rPr>
            </w:pPr>
            <w:r w:rsidRPr="006E1A9F">
              <w:rPr>
                <w:rFonts w:cs="Calibri"/>
                <w:b/>
                <w:bCs/>
                <w:color w:val="000000"/>
                <w:sz w:val="18"/>
                <w:szCs w:val="18"/>
              </w:rPr>
              <w:t>For 2020</w:t>
            </w:r>
          </w:p>
        </w:tc>
      </w:tr>
      <w:tr w:rsidR="003860A3" w:rsidRPr="006E1A9F" w:rsidTr="003B4C2F">
        <w:trPr>
          <w:trHeight w:val="206"/>
          <w:tblHeader/>
        </w:trPr>
        <w:tc>
          <w:tcPr>
            <w:tcW w:w="850" w:type="dxa"/>
            <w:vMerge/>
            <w:tcBorders>
              <w:top w:val="single" w:sz="4" w:space="0" w:color="5B9BD5"/>
              <w:left w:val="single" w:sz="4" w:space="0" w:color="5B9BD5"/>
              <w:bottom w:val="single" w:sz="4" w:space="0" w:color="5B9BD5"/>
              <w:right w:val="single" w:sz="4" w:space="0" w:color="5B9BD5"/>
            </w:tcBorders>
            <w:vAlign w:val="center"/>
            <w:hideMark/>
          </w:tcPr>
          <w:p w:rsidR="003860A3" w:rsidRPr="006E1A9F" w:rsidRDefault="003860A3" w:rsidP="00E0677A">
            <w:pPr>
              <w:rPr>
                <w:rFonts w:cs="Calibri"/>
                <w:b/>
                <w:bCs/>
                <w:color w:val="000000"/>
                <w:sz w:val="18"/>
                <w:szCs w:val="18"/>
              </w:rPr>
            </w:pPr>
          </w:p>
        </w:tc>
        <w:tc>
          <w:tcPr>
            <w:tcW w:w="3686" w:type="dxa"/>
            <w:vMerge/>
            <w:tcBorders>
              <w:top w:val="single" w:sz="4" w:space="0" w:color="5B9BD5"/>
              <w:left w:val="single" w:sz="4" w:space="0" w:color="5B9BD5"/>
              <w:bottom w:val="single" w:sz="4" w:space="0" w:color="5B9BD5"/>
              <w:right w:val="single" w:sz="4" w:space="0" w:color="5B9BD5"/>
            </w:tcBorders>
            <w:vAlign w:val="center"/>
            <w:hideMark/>
          </w:tcPr>
          <w:p w:rsidR="003860A3" w:rsidRPr="006E1A9F" w:rsidRDefault="003860A3" w:rsidP="00E0677A">
            <w:pPr>
              <w:rPr>
                <w:rFonts w:cs="Calibri"/>
                <w:b/>
                <w:bCs/>
                <w:color w:val="000000"/>
                <w:sz w:val="18"/>
                <w:szCs w:val="18"/>
              </w:rPr>
            </w:pPr>
          </w:p>
        </w:tc>
        <w:tc>
          <w:tcPr>
            <w:tcW w:w="851" w:type="dxa"/>
            <w:tcBorders>
              <w:top w:val="nil"/>
              <w:left w:val="nil"/>
              <w:bottom w:val="single" w:sz="4" w:space="0" w:color="5B9BD5"/>
              <w:right w:val="single" w:sz="4" w:space="0" w:color="5B9BD5"/>
            </w:tcBorders>
            <w:shd w:val="clear" w:color="000000" w:fill="BDD7EE"/>
            <w:vAlign w:val="center"/>
            <w:hideMark/>
          </w:tcPr>
          <w:p w:rsidR="003860A3" w:rsidRPr="00EB7184" w:rsidRDefault="003860A3" w:rsidP="00E0677A">
            <w:pPr>
              <w:jc w:val="center"/>
              <w:rPr>
                <w:rFonts w:cs="Calibri"/>
                <w:b/>
                <w:bCs/>
                <w:color w:val="000000"/>
                <w:sz w:val="12"/>
                <w:szCs w:val="18"/>
              </w:rPr>
            </w:pPr>
            <w:r w:rsidRPr="00EB7184">
              <w:rPr>
                <w:rFonts w:cs="Calibri"/>
                <w:b/>
                <w:bCs/>
                <w:color w:val="000000"/>
                <w:sz w:val="12"/>
                <w:szCs w:val="18"/>
              </w:rPr>
              <w:t>export</w:t>
            </w:r>
          </w:p>
        </w:tc>
        <w:tc>
          <w:tcPr>
            <w:tcW w:w="850" w:type="dxa"/>
            <w:tcBorders>
              <w:top w:val="nil"/>
              <w:left w:val="nil"/>
              <w:bottom w:val="single" w:sz="4" w:space="0" w:color="5B9BD5"/>
              <w:right w:val="single" w:sz="4" w:space="0" w:color="5B9BD5"/>
            </w:tcBorders>
            <w:shd w:val="clear" w:color="000000" w:fill="BDD7EE"/>
            <w:vAlign w:val="center"/>
            <w:hideMark/>
          </w:tcPr>
          <w:p w:rsidR="003860A3" w:rsidRPr="00EB7184" w:rsidRDefault="003860A3" w:rsidP="00E0677A">
            <w:pPr>
              <w:jc w:val="center"/>
              <w:rPr>
                <w:rFonts w:cs="Calibri"/>
                <w:b/>
                <w:bCs/>
                <w:color w:val="000000"/>
                <w:sz w:val="12"/>
                <w:szCs w:val="18"/>
              </w:rPr>
            </w:pPr>
            <w:r w:rsidRPr="00EB7184">
              <w:rPr>
                <w:rFonts w:cs="Calibri"/>
                <w:b/>
                <w:bCs/>
                <w:color w:val="000000"/>
                <w:sz w:val="12"/>
                <w:szCs w:val="18"/>
              </w:rPr>
              <w:t>import</w:t>
            </w:r>
          </w:p>
        </w:tc>
        <w:tc>
          <w:tcPr>
            <w:tcW w:w="851" w:type="dxa"/>
            <w:tcBorders>
              <w:top w:val="nil"/>
              <w:left w:val="nil"/>
              <w:bottom w:val="single" w:sz="4" w:space="0" w:color="5B9BD5"/>
              <w:right w:val="single" w:sz="4" w:space="0" w:color="5B9BD5"/>
            </w:tcBorders>
            <w:shd w:val="clear" w:color="000000" w:fill="BDD7EE"/>
            <w:vAlign w:val="center"/>
            <w:hideMark/>
          </w:tcPr>
          <w:p w:rsidR="003860A3" w:rsidRPr="00EB7184" w:rsidRDefault="003860A3" w:rsidP="00E0677A">
            <w:pPr>
              <w:jc w:val="center"/>
              <w:rPr>
                <w:rFonts w:cs="Calibri"/>
                <w:b/>
                <w:bCs/>
                <w:color w:val="000000"/>
                <w:sz w:val="12"/>
                <w:szCs w:val="18"/>
              </w:rPr>
            </w:pPr>
            <w:r w:rsidRPr="00EB7184">
              <w:rPr>
                <w:rFonts w:cs="Calibri"/>
                <w:b/>
                <w:bCs/>
                <w:color w:val="000000"/>
                <w:sz w:val="12"/>
                <w:szCs w:val="18"/>
              </w:rPr>
              <w:t>export</w:t>
            </w:r>
          </w:p>
        </w:tc>
        <w:tc>
          <w:tcPr>
            <w:tcW w:w="709" w:type="dxa"/>
            <w:tcBorders>
              <w:top w:val="nil"/>
              <w:left w:val="nil"/>
              <w:bottom w:val="single" w:sz="4" w:space="0" w:color="5B9BD5"/>
              <w:right w:val="single" w:sz="4" w:space="0" w:color="5B9BD5"/>
            </w:tcBorders>
            <w:shd w:val="clear" w:color="000000" w:fill="BDD7EE"/>
            <w:vAlign w:val="center"/>
            <w:hideMark/>
          </w:tcPr>
          <w:p w:rsidR="003860A3" w:rsidRPr="00EB7184" w:rsidRDefault="003860A3" w:rsidP="00E0677A">
            <w:pPr>
              <w:jc w:val="center"/>
              <w:rPr>
                <w:rFonts w:cs="Calibri"/>
                <w:b/>
                <w:bCs/>
                <w:color w:val="000000"/>
                <w:sz w:val="12"/>
                <w:szCs w:val="18"/>
              </w:rPr>
            </w:pPr>
            <w:r w:rsidRPr="00EB7184">
              <w:rPr>
                <w:rFonts w:cs="Calibri"/>
                <w:b/>
                <w:bCs/>
                <w:color w:val="000000"/>
                <w:sz w:val="12"/>
                <w:szCs w:val="18"/>
              </w:rPr>
              <w:t>%</w:t>
            </w:r>
          </w:p>
        </w:tc>
        <w:tc>
          <w:tcPr>
            <w:tcW w:w="850" w:type="dxa"/>
            <w:tcBorders>
              <w:top w:val="nil"/>
              <w:left w:val="nil"/>
              <w:bottom w:val="single" w:sz="4" w:space="0" w:color="5B9BD5"/>
              <w:right w:val="single" w:sz="4" w:space="0" w:color="5B9BD5"/>
            </w:tcBorders>
            <w:shd w:val="clear" w:color="000000" w:fill="BDD7EE"/>
            <w:vAlign w:val="center"/>
            <w:hideMark/>
          </w:tcPr>
          <w:p w:rsidR="003860A3" w:rsidRPr="00EB7184" w:rsidRDefault="003860A3" w:rsidP="00E0677A">
            <w:pPr>
              <w:jc w:val="center"/>
              <w:rPr>
                <w:rFonts w:cs="Calibri"/>
                <w:b/>
                <w:bCs/>
                <w:color w:val="000000"/>
                <w:sz w:val="12"/>
                <w:szCs w:val="18"/>
              </w:rPr>
            </w:pPr>
            <w:r w:rsidRPr="00EB7184">
              <w:rPr>
                <w:rFonts w:cs="Calibri"/>
                <w:b/>
                <w:bCs/>
                <w:color w:val="000000"/>
                <w:sz w:val="12"/>
                <w:szCs w:val="18"/>
              </w:rPr>
              <w:t>import</w:t>
            </w:r>
          </w:p>
        </w:tc>
        <w:tc>
          <w:tcPr>
            <w:tcW w:w="709" w:type="dxa"/>
            <w:tcBorders>
              <w:top w:val="nil"/>
              <w:left w:val="nil"/>
              <w:bottom w:val="single" w:sz="4" w:space="0" w:color="5B9BD5"/>
              <w:right w:val="single" w:sz="4" w:space="0" w:color="5B9BD5"/>
            </w:tcBorders>
            <w:shd w:val="clear" w:color="000000" w:fill="BDD7EE"/>
            <w:vAlign w:val="center"/>
            <w:hideMark/>
          </w:tcPr>
          <w:p w:rsidR="003860A3" w:rsidRPr="00EB7184" w:rsidRDefault="003860A3" w:rsidP="00E0677A">
            <w:pPr>
              <w:jc w:val="center"/>
              <w:rPr>
                <w:rFonts w:cs="Calibri"/>
                <w:b/>
                <w:bCs/>
                <w:color w:val="000000"/>
                <w:sz w:val="12"/>
                <w:szCs w:val="18"/>
              </w:rPr>
            </w:pPr>
            <w:r w:rsidRPr="00EB7184">
              <w:rPr>
                <w:rFonts w:cs="Calibri"/>
                <w:b/>
                <w:bCs/>
                <w:color w:val="000000"/>
                <w:sz w:val="12"/>
                <w:szCs w:val="18"/>
              </w:rPr>
              <w:t>%</w:t>
            </w:r>
          </w:p>
        </w:tc>
        <w:tc>
          <w:tcPr>
            <w:tcW w:w="849" w:type="dxa"/>
            <w:tcBorders>
              <w:top w:val="nil"/>
              <w:left w:val="nil"/>
              <w:bottom w:val="single" w:sz="4" w:space="0" w:color="5B9BD5"/>
              <w:right w:val="single" w:sz="4" w:space="0" w:color="5B9BD5"/>
            </w:tcBorders>
            <w:shd w:val="clear" w:color="000000" w:fill="BDD7EE"/>
            <w:vAlign w:val="center"/>
            <w:hideMark/>
          </w:tcPr>
          <w:p w:rsidR="003860A3" w:rsidRPr="00EB7184" w:rsidRDefault="003860A3" w:rsidP="00E0677A">
            <w:pPr>
              <w:jc w:val="center"/>
              <w:rPr>
                <w:rFonts w:cs="Calibri"/>
                <w:b/>
                <w:bCs/>
                <w:color w:val="000000"/>
                <w:sz w:val="12"/>
                <w:szCs w:val="18"/>
              </w:rPr>
            </w:pPr>
            <w:r w:rsidRPr="00EB7184">
              <w:rPr>
                <w:rFonts w:cs="Calibri"/>
                <w:b/>
                <w:bCs/>
                <w:color w:val="000000"/>
                <w:sz w:val="12"/>
                <w:szCs w:val="18"/>
              </w:rPr>
              <w:t>commodity circulation</w:t>
            </w:r>
          </w:p>
        </w:tc>
        <w:tc>
          <w:tcPr>
            <w:tcW w:w="710" w:type="dxa"/>
            <w:tcBorders>
              <w:top w:val="nil"/>
              <w:left w:val="nil"/>
              <w:bottom w:val="single" w:sz="4" w:space="0" w:color="5B9BD5"/>
              <w:right w:val="single" w:sz="4" w:space="0" w:color="5B9BD5"/>
            </w:tcBorders>
            <w:shd w:val="clear" w:color="000000" w:fill="BDD7EE"/>
            <w:vAlign w:val="center"/>
            <w:hideMark/>
          </w:tcPr>
          <w:p w:rsidR="003860A3" w:rsidRPr="00EB7184" w:rsidRDefault="003860A3" w:rsidP="00E0677A">
            <w:pPr>
              <w:jc w:val="center"/>
              <w:rPr>
                <w:rFonts w:cs="Calibri"/>
                <w:b/>
                <w:bCs/>
                <w:color w:val="000000"/>
                <w:sz w:val="12"/>
                <w:szCs w:val="18"/>
              </w:rPr>
            </w:pPr>
            <w:r w:rsidRPr="00EB7184">
              <w:rPr>
                <w:rFonts w:cs="Calibri"/>
                <w:b/>
                <w:bCs/>
                <w:color w:val="000000"/>
                <w:sz w:val="12"/>
                <w:szCs w:val="18"/>
              </w:rPr>
              <w:t>%</w:t>
            </w:r>
          </w:p>
        </w:tc>
        <w:tc>
          <w:tcPr>
            <w:tcW w:w="838" w:type="dxa"/>
            <w:tcBorders>
              <w:top w:val="nil"/>
              <w:left w:val="nil"/>
              <w:bottom w:val="single" w:sz="4" w:space="0" w:color="5B9BD5"/>
              <w:right w:val="single" w:sz="4" w:space="0" w:color="5B9BD5"/>
            </w:tcBorders>
            <w:shd w:val="clear" w:color="000000" w:fill="BDD7EE"/>
            <w:vAlign w:val="center"/>
            <w:hideMark/>
          </w:tcPr>
          <w:p w:rsidR="003860A3" w:rsidRPr="00EB7184" w:rsidRDefault="003860A3" w:rsidP="00E0677A">
            <w:pPr>
              <w:jc w:val="center"/>
              <w:rPr>
                <w:rFonts w:cs="Calibri"/>
                <w:b/>
                <w:bCs/>
                <w:color w:val="000000"/>
                <w:sz w:val="12"/>
                <w:szCs w:val="18"/>
              </w:rPr>
            </w:pPr>
            <w:r w:rsidRPr="00EB7184">
              <w:rPr>
                <w:rFonts w:cs="Calibri"/>
                <w:b/>
                <w:bCs/>
                <w:color w:val="000000"/>
                <w:sz w:val="12"/>
                <w:szCs w:val="18"/>
              </w:rPr>
              <w:t>export</w:t>
            </w:r>
          </w:p>
        </w:tc>
        <w:tc>
          <w:tcPr>
            <w:tcW w:w="721" w:type="dxa"/>
            <w:tcBorders>
              <w:top w:val="nil"/>
              <w:left w:val="nil"/>
              <w:bottom w:val="single" w:sz="4" w:space="0" w:color="5B9BD5"/>
              <w:right w:val="single" w:sz="4" w:space="0" w:color="5B9BD5"/>
            </w:tcBorders>
            <w:shd w:val="clear" w:color="000000" w:fill="BDD7EE"/>
            <w:vAlign w:val="center"/>
            <w:hideMark/>
          </w:tcPr>
          <w:p w:rsidR="003860A3" w:rsidRPr="00EB7184" w:rsidRDefault="003860A3" w:rsidP="00E0677A">
            <w:pPr>
              <w:jc w:val="center"/>
              <w:rPr>
                <w:rFonts w:cs="Calibri"/>
                <w:b/>
                <w:bCs/>
                <w:color w:val="000000"/>
                <w:sz w:val="12"/>
                <w:szCs w:val="18"/>
              </w:rPr>
            </w:pPr>
            <w:r w:rsidRPr="00EB7184">
              <w:rPr>
                <w:rFonts w:cs="Calibri"/>
                <w:b/>
                <w:bCs/>
                <w:color w:val="000000"/>
                <w:sz w:val="12"/>
                <w:szCs w:val="18"/>
              </w:rPr>
              <w:t>%</w:t>
            </w:r>
          </w:p>
        </w:tc>
        <w:tc>
          <w:tcPr>
            <w:tcW w:w="850" w:type="dxa"/>
            <w:tcBorders>
              <w:top w:val="nil"/>
              <w:left w:val="nil"/>
              <w:bottom w:val="single" w:sz="4" w:space="0" w:color="5B9BD5"/>
              <w:right w:val="single" w:sz="4" w:space="0" w:color="5B9BD5"/>
            </w:tcBorders>
            <w:shd w:val="clear" w:color="000000" w:fill="BDD7EE"/>
            <w:vAlign w:val="center"/>
            <w:hideMark/>
          </w:tcPr>
          <w:p w:rsidR="003860A3" w:rsidRPr="00EB7184" w:rsidRDefault="003860A3" w:rsidP="00E0677A">
            <w:pPr>
              <w:jc w:val="center"/>
              <w:rPr>
                <w:rFonts w:cs="Calibri"/>
                <w:b/>
                <w:bCs/>
                <w:color w:val="000000"/>
                <w:sz w:val="12"/>
                <w:szCs w:val="18"/>
              </w:rPr>
            </w:pPr>
            <w:r w:rsidRPr="00EB7184">
              <w:rPr>
                <w:rFonts w:cs="Calibri"/>
                <w:b/>
                <w:bCs/>
                <w:color w:val="000000"/>
                <w:sz w:val="12"/>
                <w:szCs w:val="18"/>
              </w:rPr>
              <w:t>import</w:t>
            </w:r>
          </w:p>
        </w:tc>
        <w:tc>
          <w:tcPr>
            <w:tcW w:w="719" w:type="dxa"/>
            <w:tcBorders>
              <w:top w:val="nil"/>
              <w:left w:val="nil"/>
              <w:bottom w:val="single" w:sz="4" w:space="0" w:color="5B9BD5"/>
              <w:right w:val="single" w:sz="4" w:space="0" w:color="5B9BD5"/>
            </w:tcBorders>
            <w:shd w:val="clear" w:color="000000" w:fill="BDD7EE"/>
            <w:vAlign w:val="center"/>
            <w:hideMark/>
          </w:tcPr>
          <w:p w:rsidR="003860A3" w:rsidRPr="00EB7184" w:rsidRDefault="003860A3" w:rsidP="00E0677A">
            <w:pPr>
              <w:jc w:val="center"/>
              <w:rPr>
                <w:rFonts w:cs="Calibri"/>
                <w:b/>
                <w:bCs/>
                <w:color w:val="000000"/>
                <w:sz w:val="12"/>
                <w:szCs w:val="18"/>
              </w:rPr>
            </w:pPr>
            <w:r w:rsidRPr="00EB7184">
              <w:rPr>
                <w:rFonts w:cs="Calibri"/>
                <w:b/>
                <w:bCs/>
                <w:color w:val="000000"/>
                <w:sz w:val="12"/>
                <w:szCs w:val="18"/>
              </w:rPr>
              <w:t>%</w:t>
            </w:r>
          </w:p>
        </w:tc>
        <w:tc>
          <w:tcPr>
            <w:tcW w:w="851" w:type="dxa"/>
            <w:tcBorders>
              <w:top w:val="nil"/>
              <w:left w:val="nil"/>
              <w:bottom w:val="single" w:sz="4" w:space="0" w:color="5B9BD5"/>
              <w:right w:val="single" w:sz="4" w:space="0" w:color="5B9BD5"/>
            </w:tcBorders>
            <w:shd w:val="clear" w:color="000000" w:fill="BDD7EE"/>
            <w:vAlign w:val="center"/>
            <w:hideMark/>
          </w:tcPr>
          <w:p w:rsidR="003860A3" w:rsidRPr="00EB7184" w:rsidRDefault="003860A3" w:rsidP="00E0677A">
            <w:pPr>
              <w:jc w:val="center"/>
              <w:rPr>
                <w:rFonts w:cs="Calibri"/>
                <w:b/>
                <w:bCs/>
                <w:color w:val="000000"/>
                <w:sz w:val="12"/>
                <w:szCs w:val="18"/>
              </w:rPr>
            </w:pPr>
            <w:r w:rsidRPr="00EB7184">
              <w:rPr>
                <w:rFonts w:cs="Calibri"/>
                <w:b/>
                <w:bCs/>
                <w:color w:val="000000"/>
                <w:sz w:val="12"/>
                <w:szCs w:val="18"/>
              </w:rPr>
              <w:t>commodity circulation</w:t>
            </w:r>
          </w:p>
        </w:tc>
        <w:tc>
          <w:tcPr>
            <w:tcW w:w="699" w:type="dxa"/>
            <w:tcBorders>
              <w:top w:val="nil"/>
              <w:left w:val="nil"/>
              <w:bottom w:val="single" w:sz="4" w:space="0" w:color="5B9BD5"/>
              <w:right w:val="single" w:sz="4" w:space="0" w:color="5B9BD5"/>
            </w:tcBorders>
            <w:shd w:val="clear" w:color="000000" w:fill="BDD7EE"/>
            <w:vAlign w:val="center"/>
            <w:hideMark/>
          </w:tcPr>
          <w:p w:rsidR="003860A3" w:rsidRPr="00EB7184" w:rsidRDefault="003860A3" w:rsidP="00E0677A">
            <w:pPr>
              <w:jc w:val="center"/>
              <w:rPr>
                <w:rFonts w:cs="Calibri"/>
                <w:b/>
                <w:bCs/>
                <w:color w:val="000000"/>
                <w:sz w:val="12"/>
                <w:szCs w:val="18"/>
              </w:rPr>
            </w:pPr>
            <w:r w:rsidRPr="00EB7184">
              <w:rPr>
                <w:rFonts w:cs="Calibri"/>
                <w:b/>
                <w:bCs/>
                <w:color w:val="000000"/>
                <w:sz w:val="12"/>
                <w:szCs w:val="18"/>
              </w:rPr>
              <w:t>%</w:t>
            </w:r>
          </w:p>
        </w:tc>
      </w:tr>
      <w:tr w:rsidR="003860A3" w:rsidRPr="006E1A9F" w:rsidTr="003B4C2F">
        <w:trPr>
          <w:trHeight w:val="283"/>
        </w:trPr>
        <w:tc>
          <w:tcPr>
            <w:tcW w:w="4536" w:type="dxa"/>
            <w:gridSpan w:val="2"/>
            <w:tcBorders>
              <w:top w:val="single" w:sz="4" w:space="0" w:color="5B9BD5"/>
              <w:left w:val="single" w:sz="4" w:space="0" w:color="5B9BD5"/>
              <w:bottom w:val="single" w:sz="4" w:space="0" w:color="5B9BD5"/>
              <w:right w:val="single" w:sz="4" w:space="0" w:color="5B9BD5"/>
            </w:tcBorders>
            <w:shd w:val="clear" w:color="auto" w:fill="auto"/>
            <w:vAlign w:val="center"/>
            <w:hideMark/>
          </w:tcPr>
          <w:p w:rsidR="003860A3" w:rsidRPr="006E1A9F" w:rsidRDefault="003860A3" w:rsidP="000161BB">
            <w:pPr>
              <w:jc w:val="center"/>
              <w:rPr>
                <w:rFonts w:cs="Calibri"/>
                <w:b/>
                <w:bCs/>
                <w:color w:val="000000"/>
                <w:sz w:val="18"/>
                <w:szCs w:val="18"/>
              </w:rPr>
            </w:pPr>
            <w:r w:rsidRPr="007955C6">
              <w:rPr>
                <w:rFonts w:cs="Calibri"/>
                <w:b/>
                <w:bCs/>
                <w:color w:val="000000"/>
                <w:sz w:val="16"/>
                <w:szCs w:val="18"/>
              </w:rPr>
              <w:t>Concentration</w:t>
            </w:r>
            <w:r w:rsidRPr="006E1A9F">
              <w:rPr>
                <w:rFonts w:cs="Calibri"/>
                <w:b/>
                <w:bCs/>
                <w:color w:val="000000"/>
                <w:sz w:val="18"/>
                <w:szCs w:val="18"/>
              </w:rPr>
              <w:t xml:space="preserve"> coefficient</w:t>
            </w:r>
          </w:p>
        </w:tc>
        <w:tc>
          <w:tcPr>
            <w:tcW w:w="851" w:type="dxa"/>
            <w:tcBorders>
              <w:top w:val="nil"/>
              <w:left w:val="single" w:sz="4" w:space="0" w:color="5B9BD5"/>
              <w:bottom w:val="single" w:sz="4" w:space="0" w:color="5B9BD5"/>
              <w:right w:val="single" w:sz="4" w:space="0" w:color="5B9BD5"/>
            </w:tcBorders>
            <w:shd w:val="clear" w:color="auto" w:fill="auto"/>
            <w:vAlign w:val="center"/>
            <w:hideMark/>
          </w:tcPr>
          <w:p w:rsidR="003860A3" w:rsidRPr="007955C6" w:rsidRDefault="003860A3" w:rsidP="000161BB">
            <w:pPr>
              <w:jc w:val="center"/>
              <w:rPr>
                <w:rFonts w:cs="Calibri"/>
                <w:b/>
                <w:bCs/>
                <w:color w:val="000000"/>
                <w:sz w:val="16"/>
                <w:szCs w:val="18"/>
              </w:rPr>
            </w:pPr>
            <w:r>
              <w:rPr>
                <w:rFonts w:cs="Calibri"/>
                <w:b/>
                <w:bCs/>
                <w:color w:val="000000"/>
                <w:sz w:val="16"/>
                <w:szCs w:val="18"/>
              </w:rPr>
              <w:t>76</w:t>
            </w:r>
            <w:r w:rsidRPr="007955C6">
              <w:rPr>
                <w:rFonts w:cs="Calibri"/>
                <w:b/>
                <w:bCs/>
                <w:color w:val="000000"/>
                <w:sz w:val="16"/>
                <w:szCs w:val="18"/>
              </w:rPr>
              <w:t>%</w:t>
            </w:r>
          </w:p>
        </w:tc>
        <w:tc>
          <w:tcPr>
            <w:tcW w:w="850" w:type="dxa"/>
            <w:tcBorders>
              <w:top w:val="single" w:sz="4" w:space="0" w:color="5B9BD5" w:themeColor="accent1"/>
              <w:left w:val="nil"/>
              <w:bottom w:val="single" w:sz="4" w:space="0" w:color="5B9BD5"/>
              <w:right w:val="single" w:sz="4" w:space="0" w:color="5B9BD5"/>
            </w:tcBorders>
            <w:shd w:val="clear" w:color="auto" w:fill="auto"/>
            <w:vAlign w:val="center"/>
            <w:hideMark/>
          </w:tcPr>
          <w:p w:rsidR="003860A3" w:rsidRPr="007955C6" w:rsidRDefault="003860A3" w:rsidP="000161BB">
            <w:pPr>
              <w:jc w:val="center"/>
              <w:rPr>
                <w:rFonts w:cs="Calibri"/>
                <w:b/>
                <w:bCs/>
                <w:color w:val="000000"/>
                <w:sz w:val="16"/>
                <w:szCs w:val="18"/>
              </w:rPr>
            </w:pPr>
            <w:r w:rsidRPr="007955C6">
              <w:rPr>
                <w:rFonts w:cs="Calibri"/>
                <w:b/>
                <w:bCs/>
                <w:color w:val="000000"/>
                <w:sz w:val="16"/>
                <w:szCs w:val="18"/>
              </w:rPr>
              <w:t>33%</w:t>
            </w:r>
          </w:p>
        </w:tc>
        <w:tc>
          <w:tcPr>
            <w:tcW w:w="851" w:type="dxa"/>
            <w:tcBorders>
              <w:top w:val="nil"/>
              <w:left w:val="nil"/>
              <w:bottom w:val="nil"/>
              <w:right w:val="single" w:sz="4" w:space="0" w:color="5B9BD5"/>
            </w:tcBorders>
            <w:shd w:val="clear" w:color="auto" w:fill="auto"/>
            <w:vAlign w:val="center"/>
            <w:hideMark/>
          </w:tcPr>
          <w:p w:rsidR="003860A3" w:rsidRPr="007955C6" w:rsidRDefault="003860A3" w:rsidP="000161BB">
            <w:pPr>
              <w:jc w:val="center"/>
              <w:rPr>
                <w:rFonts w:cs="Calibri"/>
                <w:b/>
                <w:bCs/>
                <w:color w:val="000000"/>
                <w:sz w:val="16"/>
                <w:szCs w:val="18"/>
              </w:rPr>
            </w:pPr>
          </w:p>
        </w:tc>
        <w:tc>
          <w:tcPr>
            <w:tcW w:w="709" w:type="dxa"/>
            <w:tcBorders>
              <w:top w:val="nil"/>
              <w:left w:val="nil"/>
              <w:bottom w:val="nil"/>
              <w:right w:val="single" w:sz="4" w:space="0" w:color="5B9BD5"/>
            </w:tcBorders>
            <w:shd w:val="clear" w:color="auto" w:fill="auto"/>
            <w:vAlign w:val="center"/>
            <w:hideMark/>
          </w:tcPr>
          <w:p w:rsidR="003860A3" w:rsidRPr="007955C6" w:rsidRDefault="003860A3" w:rsidP="000161BB">
            <w:pPr>
              <w:jc w:val="center"/>
              <w:rPr>
                <w:rFonts w:cs="Calibri"/>
                <w:b/>
                <w:bCs/>
                <w:color w:val="000000"/>
                <w:sz w:val="16"/>
                <w:szCs w:val="18"/>
              </w:rPr>
            </w:pPr>
            <w:r w:rsidRPr="007955C6">
              <w:rPr>
                <w:rFonts w:cs="Calibri"/>
                <w:b/>
                <w:bCs/>
                <w:color w:val="000000"/>
                <w:sz w:val="16"/>
                <w:szCs w:val="18"/>
              </w:rPr>
              <w:t>75%</w:t>
            </w:r>
          </w:p>
        </w:tc>
        <w:tc>
          <w:tcPr>
            <w:tcW w:w="850" w:type="dxa"/>
            <w:tcBorders>
              <w:top w:val="nil"/>
              <w:left w:val="nil"/>
              <w:bottom w:val="nil"/>
              <w:right w:val="single" w:sz="4" w:space="0" w:color="5B9BD5"/>
            </w:tcBorders>
            <w:shd w:val="clear" w:color="auto" w:fill="auto"/>
            <w:vAlign w:val="center"/>
            <w:hideMark/>
          </w:tcPr>
          <w:p w:rsidR="003860A3" w:rsidRPr="007955C6" w:rsidRDefault="003860A3" w:rsidP="000161BB">
            <w:pPr>
              <w:jc w:val="center"/>
              <w:rPr>
                <w:rFonts w:cs="Calibri"/>
                <w:b/>
                <w:bCs/>
                <w:color w:val="000000"/>
                <w:sz w:val="16"/>
                <w:szCs w:val="18"/>
              </w:rPr>
            </w:pPr>
          </w:p>
        </w:tc>
        <w:tc>
          <w:tcPr>
            <w:tcW w:w="709" w:type="dxa"/>
            <w:tcBorders>
              <w:top w:val="nil"/>
              <w:left w:val="nil"/>
              <w:bottom w:val="nil"/>
              <w:right w:val="single" w:sz="4" w:space="0" w:color="5B9BD5"/>
            </w:tcBorders>
            <w:shd w:val="clear" w:color="auto" w:fill="auto"/>
            <w:vAlign w:val="center"/>
            <w:hideMark/>
          </w:tcPr>
          <w:p w:rsidR="003860A3" w:rsidRPr="007955C6" w:rsidRDefault="003860A3" w:rsidP="000161BB">
            <w:pPr>
              <w:jc w:val="center"/>
              <w:rPr>
                <w:rFonts w:cs="Calibri"/>
                <w:b/>
                <w:bCs/>
                <w:color w:val="000000"/>
                <w:sz w:val="16"/>
                <w:szCs w:val="18"/>
              </w:rPr>
            </w:pPr>
            <w:r w:rsidRPr="007955C6">
              <w:rPr>
                <w:rFonts w:cs="Calibri"/>
                <w:b/>
                <w:bCs/>
                <w:color w:val="000000"/>
                <w:sz w:val="16"/>
                <w:szCs w:val="18"/>
              </w:rPr>
              <w:t>32%</w:t>
            </w:r>
          </w:p>
        </w:tc>
        <w:tc>
          <w:tcPr>
            <w:tcW w:w="849" w:type="dxa"/>
            <w:tcBorders>
              <w:top w:val="nil"/>
              <w:left w:val="nil"/>
              <w:bottom w:val="nil"/>
              <w:right w:val="single" w:sz="4" w:space="0" w:color="5B9BD5"/>
            </w:tcBorders>
            <w:shd w:val="clear" w:color="auto" w:fill="auto"/>
            <w:vAlign w:val="center"/>
            <w:hideMark/>
          </w:tcPr>
          <w:p w:rsidR="003860A3" w:rsidRPr="007955C6" w:rsidRDefault="003860A3" w:rsidP="000161BB">
            <w:pPr>
              <w:jc w:val="center"/>
              <w:rPr>
                <w:rFonts w:cs="Calibri"/>
                <w:b/>
                <w:bCs/>
                <w:color w:val="000000"/>
                <w:sz w:val="16"/>
                <w:szCs w:val="18"/>
              </w:rPr>
            </w:pPr>
          </w:p>
        </w:tc>
        <w:tc>
          <w:tcPr>
            <w:tcW w:w="710" w:type="dxa"/>
            <w:tcBorders>
              <w:top w:val="nil"/>
              <w:left w:val="nil"/>
              <w:bottom w:val="nil"/>
              <w:right w:val="single" w:sz="4" w:space="0" w:color="5B9BD5"/>
            </w:tcBorders>
            <w:shd w:val="clear" w:color="auto" w:fill="auto"/>
            <w:vAlign w:val="center"/>
            <w:hideMark/>
          </w:tcPr>
          <w:p w:rsidR="003860A3" w:rsidRPr="007955C6" w:rsidRDefault="003860A3" w:rsidP="000161BB">
            <w:pPr>
              <w:jc w:val="center"/>
              <w:rPr>
                <w:rFonts w:cs="Calibri"/>
                <w:b/>
                <w:bCs/>
                <w:color w:val="000000"/>
                <w:sz w:val="16"/>
                <w:szCs w:val="18"/>
              </w:rPr>
            </w:pPr>
            <w:r w:rsidRPr="007955C6">
              <w:rPr>
                <w:rFonts w:cs="Calibri"/>
                <w:b/>
                <w:bCs/>
                <w:color w:val="000000"/>
                <w:sz w:val="16"/>
                <w:szCs w:val="18"/>
              </w:rPr>
              <w:t>44%</w:t>
            </w:r>
          </w:p>
        </w:tc>
        <w:tc>
          <w:tcPr>
            <w:tcW w:w="838" w:type="dxa"/>
            <w:tcBorders>
              <w:top w:val="nil"/>
              <w:left w:val="nil"/>
              <w:bottom w:val="nil"/>
              <w:right w:val="single" w:sz="4" w:space="0" w:color="5B9BD5"/>
            </w:tcBorders>
            <w:shd w:val="clear" w:color="auto" w:fill="auto"/>
            <w:vAlign w:val="center"/>
            <w:hideMark/>
          </w:tcPr>
          <w:p w:rsidR="003860A3" w:rsidRPr="007955C6" w:rsidRDefault="003860A3" w:rsidP="000161BB">
            <w:pPr>
              <w:jc w:val="center"/>
              <w:rPr>
                <w:rFonts w:cs="Calibri"/>
                <w:b/>
                <w:bCs/>
                <w:color w:val="000000"/>
                <w:sz w:val="16"/>
                <w:szCs w:val="18"/>
              </w:rPr>
            </w:pPr>
          </w:p>
        </w:tc>
        <w:tc>
          <w:tcPr>
            <w:tcW w:w="721" w:type="dxa"/>
            <w:tcBorders>
              <w:top w:val="nil"/>
              <w:left w:val="nil"/>
              <w:bottom w:val="nil"/>
              <w:right w:val="single" w:sz="4" w:space="0" w:color="5B9BD5"/>
            </w:tcBorders>
            <w:shd w:val="clear" w:color="auto" w:fill="auto"/>
            <w:vAlign w:val="center"/>
            <w:hideMark/>
          </w:tcPr>
          <w:p w:rsidR="003860A3" w:rsidRPr="007955C6" w:rsidRDefault="003860A3" w:rsidP="000161BB">
            <w:pPr>
              <w:jc w:val="center"/>
              <w:rPr>
                <w:rFonts w:cs="Calibri"/>
                <w:b/>
                <w:bCs/>
                <w:color w:val="000000"/>
                <w:sz w:val="16"/>
                <w:szCs w:val="18"/>
              </w:rPr>
            </w:pPr>
            <w:r w:rsidRPr="007955C6">
              <w:rPr>
                <w:rFonts w:cs="Calibri"/>
                <w:b/>
                <w:bCs/>
                <w:color w:val="000000"/>
                <w:sz w:val="16"/>
                <w:szCs w:val="18"/>
              </w:rPr>
              <w:t>73%</w:t>
            </w:r>
          </w:p>
        </w:tc>
        <w:tc>
          <w:tcPr>
            <w:tcW w:w="850" w:type="dxa"/>
            <w:tcBorders>
              <w:top w:val="nil"/>
              <w:left w:val="nil"/>
              <w:bottom w:val="nil"/>
              <w:right w:val="single" w:sz="4" w:space="0" w:color="5B9BD5"/>
            </w:tcBorders>
            <w:shd w:val="clear" w:color="auto" w:fill="auto"/>
            <w:vAlign w:val="center"/>
            <w:hideMark/>
          </w:tcPr>
          <w:p w:rsidR="003860A3" w:rsidRPr="007955C6" w:rsidRDefault="003860A3" w:rsidP="000161BB">
            <w:pPr>
              <w:jc w:val="center"/>
              <w:rPr>
                <w:rFonts w:cs="Calibri"/>
                <w:b/>
                <w:bCs/>
                <w:color w:val="000000"/>
                <w:sz w:val="16"/>
                <w:szCs w:val="18"/>
              </w:rPr>
            </w:pPr>
          </w:p>
        </w:tc>
        <w:tc>
          <w:tcPr>
            <w:tcW w:w="719" w:type="dxa"/>
            <w:tcBorders>
              <w:top w:val="nil"/>
              <w:left w:val="nil"/>
              <w:bottom w:val="nil"/>
              <w:right w:val="single" w:sz="4" w:space="0" w:color="5B9BD5"/>
            </w:tcBorders>
            <w:shd w:val="clear" w:color="auto" w:fill="auto"/>
            <w:vAlign w:val="center"/>
            <w:hideMark/>
          </w:tcPr>
          <w:p w:rsidR="003860A3" w:rsidRPr="007955C6" w:rsidRDefault="003860A3" w:rsidP="000161BB">
            <w:pPr>
              <w:jc w:val="center"/>
              <w:rPr>
                <w:rFonts w:cs="Calibri"/>
                <w:b/>
                <w:bCs/>
                <w:color w:val="000000"/>
                <w:sz w:val="16"/>
                <w:szCs w:val="18"/>
              </w:rPr>
            </w:pPr>
            <w:r w:rsidRPr="007955C6">
              <w:rPr>
                <w:rFonts w:cs="Calibri"/>
                <w:b/>
                <w:bCs/>
                <w:color w:val="000000"/>
                <w:sz w:val="16"/>
                <w:szCs w:val="18"/>
              </w:rPr>
              <w:t>35%</w:t>
            </w:r>
          </w:p>
        </w:tc>
        <w:tc>
          <w:tcPr>
            <w:tcW w:w="851" w:type="dxa"/>
            <w:tcBorders>
              <w:top w:val="nil"/>
              <w:left w:val="nil"/>
              <w:bottom w:val="nil"/>
              <w:right w:val="single" w:sz="4" w:space="0" w:color="5B9BD5"/>
            </w:tcBorders>
            <w:shd w:val="clear" w:color="auto" w:fill="auto"/>
            <w:vAlign w:val="center"/>
            <w:hideMark/>
          </w:tcPr>
          <w:p w:rsidR="003860A3" w:rsidRPr="007955C6" w:rsidRDefault="003860A3" w:rsidP="000161BB">
            <w:pPr>
              <w:jc w:val="center"/>
              <w:rPr>
                <w:rFonts w:cs="Calibri"/>
                <w:b/>
                <w:bCs/>
                <w:color w:val="000000"/>
                <w:sz w:val="16"/>
                <w:szCs w:val="18"/>
              </w:rPr>
            </w:pPr>
            <w:r w:rsidRPr="007955C6">
              <w:rPr>
                <w:rFonts w:cs="Calibri"/>
                <w:b/>
                <w:bCs/>
                <w:color w:val="000000"/>
                <w:sz w:val="16"/>
                <w:szCs w:val="18"/>
              </w:rPr>
              <w:t> </w:t>
            </w:r>
          </w:p>
        </w:tc>
        <w:tc>
          <w:tcPr>
            <w:tcW w:w="699" w:type="dxa"/>
            <w:tcBorders>
              <w:top w:val="nil"/>
              <w:left w:val="nil"/>
              <w:bottom w:val="nil"/>
              <w:right w:val="single" w:sz="4" w:space="0" w:color="5B9BD5"/>
            </w:tcBorders>
            <w:shd w:val="clear" w:color="auto" w:fill="auto"/>
            <w:vAlign w:val="center"/>
            <w:hideMark/>
          </w:tcPr>
          <w:p w:rsidR="003860A3" w:rsidRPr="007955C6" w:rsidRDefault="003860A3" w:rsidP="000161BB">
            <w:pPr>
              <w:jc w:val="center"/>
              <w:rPr>
                <w:rFonts w:cs="Calibri"/>
                <w:b/>
                <w:bCs/>
                <w:color w:val="000000"/>
                <w:sz w:val="16"/>
                <w:szCs w:val="18"/>
              </w:rPr>
            </w:pPr>
            <w:r w:rsidRPr="007955C6">
              <w:rPr>
                <w:rFonts w:cs="Calibri"/>
                <w:b/>
                <w:bCs/>
                <w:color w:val="000000"/>
                <w:sz w:val="16"/>
                <w:szCs w:val="18"/>
              </w:rPr>
              <w:t>45%</w:t>
            </w:r>
          </w:p>
        </w:tc>
      </w:tr>
      <w:tr w:rsidR="003860A3" w:rsidRPr="006E1A9F" w:rsidTr="003B4C2F">
        <w:trPr>
          <w:trHeight w:val="323"/>
        </w:trPr>
        <w:tc>
          <w:tcPr>
            <w:tcW w:w="850" w:type="dxa"/>
            <w:tcBorders>
              <w:top w:val="nil"/>
              <w:left w:val="single" w:sz="4" w:space="0" w:color="5B9BD5"/>
              <w:bottom w:val="single" w:sz="4" w:space="0" w:color="5B9BD5"/>
              <w:right w:val="single" w:sz="4" w:space="0" w:color="5B9BD5"/>
            </w:tcBorders>
            <w:shd w:val="clear" w:color="auto" w:fill="auto"/>
            <w:noWrap/>
            <w:vAlign w:val="center"/>
            <w:hideMark/>
          </w:tcPr>
          <w:p w:rsidR="003860A3" w:rsidRPr="006E1A9F" w:rsidRDefault="003860A3" w:rsidP="00EB7184">
            <w:pPr>
              <w:jc w:val="center"/>
              <w:rPr>
                <w:rFonts w:cs="Calibri"/>
                <w:color w:val="000000"/>
                <w:sz w:val="18"/>
                <w:szCs w:val="18"/>
              </w:rPr>
            </w:pPr>
            <w:r w:rsidRPr="006E1A9F">
              <w:rPr>
                <w:rFonts w:cs="Calibri"/>
                <w:color w:val="000000"/>
                <w:sz w:val="18"/>
                <w:szCs w:val="18"/>
              </w:rPr>
              <w:t>I</w:t>
            </w:r>
          </w:p>
        </w:tc>
        <w:tc>
          <w:tcPr>
            <w:tcW w:w="3686"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rPr>
                <w:rFonts w:cs="Calibri"/>
                <w:color w:val="000000"/>
                <w:sz w:val="16"/>
                <w:szCs w:val="16"/>
                <w:lang w:val="en-US"/>
              </w:rPr>
            </w:pPr>
            <w:r w:rsidRPr="00EB7184">
              <w:rPr>
                <w:rFonts w:cs="Calibri"/>
                <w:color w:val="000000"/>
                <w:sz w:val="16"/>
                <w:szCs w:val="16"/>
                <w:lang w:val="en-US"/>
              </w:rPr>
              <w:t>Live animals and animal products</w:t>
            </w:r>
          </w:p>
        </w:tc>
        <w:tc>
          <w:tcPr>
            <w:tcW w:w="851" w:type="dxa"/>
            <w:tcBorders>
              <w:top w:val="single" w:sz="4" w:space="0" w:color="5B9BD5"/>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20,9</w:t>
            </w:r>
          </w:p>
        </w:tc>
        <w:tc>
          <w:tcPr>
            <w:tcW w:w="850" w:type="dxa"/>
            <w:tcBorders>
              <w:top w:val="single" w:sz="4" w:space="0" w:color="5B9BD5"/>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130,7</w:t>
            </w:r>
          </w:p>
        </w:tc>
        <w:tc>
          <w:tcPr>
            <w:tcW w:w="851" w:type="dxa"/>
            <w:tcBorders>
              <w:top w:val="single" w:sz="4" w:space="0" w:color="5B9BD5"/>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17,4</w:t>
            </w:r>
          </w:p>
        </w:tc>
        <w:tc>
          <w:tcPr>
            <w:tcW w:w="709" w:type="dxa"/>
            <w:tcBorders>
              <w:top w:val="single" w:sz="4" w:space="0" w:color="5B9BD5"/>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0,1%</w:t>
            </w:r>
          </w:p>
        </w:tc>
        <w:tc>
          <w:tcPr>
            <w:tcW w:w="850" w:type="dxa"/>
            <w:tcBorders>
              <w:top w:val="single" w:sz="4" w:space="0" w:color="5B9BD5"/>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228,6</w:t>
            </w:r>
          </w:p>
        </w:tc>
        <w:tc>
          <w:tcPr>
            <w:tcW w:w="709" w:type="dxa"/>
            <w:tcBorders>
              <w:top w:val="single" w:sz="4" w:space="0" w:color="5B9BD5"/>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1,0%</w:t>
            </w:r>
          </w:p>
        </w:tc>
        <w:tc>
          <w:tcPr>
            <w:tcW w:w="849" w:type="dxa"/>
            <w:tcBorders>
              <w:top w:val="single" w:sz="4" w:space="0" w:color="5B9BD5"/>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246,0</w:t>
            </w:r>
          </w:p>
        </w:tc>
        <w:tc>
          <w:tcPr>
            <w:tcW w:w="710" w:type="dxa"/>
            <w:tcBorders>
              <w:top w:val="single" w:sz="4" w:space="0" w:color="5B9BD5"/>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0,7%</w:t>
            </w:r>
          </w:p>
        </w:tc>
        <w:tc>
          <w:tcPr>
            <w:tcW w:w="838" w:type="dxa"/>
            <w:tcBorders>
              <w:top w:val="single" w:sz="4" w:space="0" w:color="5B9BD5"/>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26,3</w:t>
            </w:r>
          </w:p>
        </w:tc>
        <w:tc>
          <w:tcPr>
            <w:tcW w:w="721" w:type="dxa"/>
            <w:tcBorders>
              <w:top w:val="single" w:sz="4" w:space="0" w:color="5B9BD5"/>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0,2%</w:t>
            </w:r>
          </w:p>
        </w:tc>
        <w:tc>
          <w:tcPr>
            <w:tcW w:w="850" w:type="dxa"/>
            <w:tcBorders>
              <w:top w:val="single" w:sz="4" w:space="0" w:color="5B9BD5"/>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289,4</w:t>
            </w:r>
          </w:p>
        </w:tc>
        <w:tc>
          <w:tcPr>
            <w:tcW w:w="719" w:type="dxa"/>
            <w:tcBorders>
              <w:top w:val="single" w:sz="4" w:space="0" w:color="5B9BD5"/>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1,4%</w:t>
            </w:r>
          </w:p>
        </w:tc>
        <w:tc>
          <w:tcPr>
            <w:tcW w:w="851" w:type="dxa"/>
            <w:tcBorders>
              <w:top w:val="single" w:sz="4" w:space="0" w:color="5B9BD5"/>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315,7</w:t>
            </w:r>
          </w:p>
        </w:tc>
        <w:tc>
          <w:tcPr>
            <w:tcW w:w="699" w:type="dxa"/>
            <w:tcBorders>
              <w:top w:val="single" w:sz="4" w:space="0" w:color="5B9BD5"/>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0,9%</w:t>
            </w:r>
          </w:p>
        </w:tc>
      </w:tr>
      <w:tr w:rsidR="003860A3" w:rsidRPr="006E1A9F" w:rsidTr="003B4C2F">
        <w:trPr>
          <w:trHeight w:val="323"/>
        </w:trPr>
        <w:tc>
          <w:tcPr>
            <w:tcW w:w="850" w:type="dxa"/>
            <w:tcBorders>
              <w:top w:val="nil"/>
              <w:left w:val="single" w:sz="4" w:space="0" w:color="5B9BD5"/>
              <w:bottom w:val="single" w:sz="4" w:space="0" w:color="5B9BD5"/>
              <w:right w:val="single" w:sz="4" w:space="0" w:color="5B9BD5"/>
            </w:tcBorders>
            <w:shd w:val="clear" w:color="auto" w:fill="auto"/>
            <w:noWrap/>
            <w:vAlign w:val="center"/>
            <w:hideMark/>
          </w:tcPr>
          <w:p w:rsidR="003860A3" w:rsidRPr="006E1A9F" w:rsidRDefault="003860A3" w:rsidP="00EB7184">
            <w:pPr>
              <w:jc w:val="center"/>
              <w:rPr>
                <w:rFonts w:cs="Calibri"/>
                <w:color w:val="000000"/>
                <w:sz w:val="18"/>
                <w:szCs w:val="18"/>
              </w:rPr>
            </w:pPr>
            <w:r w:rsidRPr="006E1A9F">
              <w:rPr>
                <w:rFonts w:cs="Calibri"/>
                <w:color w:val="000000"/>
                <w:sz w:val="18"/>
                <w:szCs w:val="18"/>
              </w:rPr>
              <w:t>II</w:t>
            </w:r>
          </w:p>
        </w:tc>
        <w:tc>
          <w:tcPr>
            <w:tcW w:w="3686"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rPr>
                <w:rFonts w:cs="Calibri"/>
                <w:color w:val="000000"/>
                <w:sz w:val="16"/>
                <w:szCs w:val="16"/>
              </w:rPr>
            </w:pPr>
            <w:r w:rsidRPr="00EB7184">
              <w:rPr>
                <w:rFonts w:cs="Calibri"/>
                <w:color w:val="000000"/>
                <w:sz w:val="16"/>
                <w:szCs w:val="16"/>
              </w:rPr>
              <w:t>Vegetable products</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985,4</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697,3</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1 371,4</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10,0%</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811,2</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3,6%</w:t>
            </w:r>
          </w:p>
        </w:tc>
        <w:tc>
          <w:tcPr>
            <w:tcW w:w="84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2 182,6</w:t>
            </w:r>
          </w:p>
        </w:tc>
        <w:tc>
          <w:tcPr>
            <w:tcW w:w="71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6,0%</w:t>
            </w:r>
          </w:p>
        </w:tc>
        <w:tc>
          <w:tcPr>
            <w:tcW w:w="838"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1 218,0</w:t>
            </w:r>
          </w:p>
        </w:tc>
        <w:tc>
          <w:tcPr>
            <w:tcW w:w="72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9,5%</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887,5</w:t>
            </w:r>
          </w:p>
        </w:tc>
        <w:tc>
          <w:tcPr>
            <w:tcW w:w="71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4,3%</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2 105,6</w:t>
            </w:r>
          </w:p>
        </w:tc>
        <w:tc>
          <w:tcPr>
            <w:tcW w:w="69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6,3%</w:t>
            </w:r>
          </w:p>
        </w:tc>
      </w:tr>
      <w:tr w:rsidR="003860A3" w:rsidRPr="006E1A9F" w:rsidTr="003B4C2F">
        <w:trPr>
          <w:trHeight w:val="323"/>
        </w:trPr>
        <w:tc>
          <w:tcPr>
            <w:tcW w:w="850" w:type="dxa"/>
            <w:tcBorders>
              <w:top w:val="nil"/>
              <w:left w:val="single" w:sz="4" w:space="0" w:color="5B9BD5"/>
              <w:bottom w:val="single" w:sz="4" w:space="0" w:color="5B9BD5"/>
              <w:right w:val="single" w:sz="4" w:space="0" w:color="5B9BD5"/>
            </w:tcBorders>
            <w:shd w:val="clear" w:color="auto" w:fill="auto"/>
            <w:noWrap/>
            <w:vAlign w:val="center"/>
            <w:hideMark/>
          </w:tcPr>
          <w:p w:rsidR="003860A3" w:rsidRPr="006E1A9F" w:rsidRDefault="003860A3" w:rsidP="00EB7184">
            <w:pPr>
              <w:jc w:val="center"/>
              <w:rPr>
                <w:rFonts w:cs="Calibri"/>
                <w:color w:val="000000"/>
                <w:sz w:val="18"/>
                <w:szCs w:val="18"/>
              </w:rPr>
            </w:pPr>
            <w:r w:rsidRPr="006E1A9F">
              <w:rPr>
                <w:rFonts w:cs="Calibri"/>
                <w:color w:val="000000"/>
                <w:sz w:val="18"/>
                <w:szCs w:val="18"/>
              </w:rPr>
              <w:t>III</w:t>
            </w:r>
          </w:p>
        </w:tc>
        <w:tc>
          <w:tcPr>
            <w:tcW w:w="3686"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rPr>
                <w:rFonts w:cs="Calibri"/>
                <w:color w:val="000000"/>
                <w:sz w:val="16"/>
                <w:szCs w:val="16"/>
                <w:lang w:val="en-US"/>
              </w:rPr>
            </w:pPr>
            <w:r w:rsidRPr="00EB7184">
              <w:rPr>
                <w:rFonts w:cs="Calibri"/>
                <w:color w:val="000000"/>
                <w:sz w:val="16"/>
                <w:szCs w:val="16"/>
                <w:lang w:val="en-US"/>
              </w:rPr>
              <w:t>Fats and oils of  animal or vegetable origin</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2,3</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233,8</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21,0</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0,2%</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294,2</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1,3%</w:t>
            </w:r>
          </w:p>
        </w:tc>
        <w:tc>
          <w:tcPr>
            <w:tcW w:w="84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315,2</w:t>
            </w:r>
          </w:p>
        </w:tc>
        <w:tc>
          <w:tcPr>
            <w:tcW w:w="71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0,9%</w:t>
            </w:r>
          </w:p>
        </w:tc>
        <w:tc>
          <w:tcPr>
            <w:tcW w:w="838"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30,9</w:t>
            </w:r>
          </w:p>
        </w:tc>
        <w:tc>
          <w:tcPr>
            <w:tcW w:w="72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0,2%</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332,9</w:t>
            </w:r>
          </w:p>
        </w:tc>
        <w:tc>
          <w:tcPr>
            <w:tcW w:w="71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1,6%</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363,7</w:t>
            </w:r>
          </w:p>
        </w:tc>
        <w:tc>
          <w:tcPr>
            <w:tcW w:w="69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1,1%</w:t>
            </w:r>
          </w:p>
        </w:tc>
      </w:tr>
      <w:tr w:rsidR="003860A3" w:rsidRPr="006E1A9F" w:rsidTr="003B4C2F">
        <w:trPr>
          <w:trHeight w:val="323"/>
        </w:trPr>
        <w:tc>
          <w:tcPr>
            <w:tcW w:w="850" w:type="dxa"/>
            <w:tcBorders>
              <w:top w:val="nil"/>
              <w:left w:val="single" w:sz="4" w:space="0" w:color="5B9BD5"/>
              <w:bottom w:val="single" w:sz="4" w:space="0" w:color="5B9BD5"/>
              <w:right w:val="single" w:sz="4" w:space="0" w:color="5B9BD5"/>
            </w:tcBorders>
            <w:shd w:val="clear" w:color="auto" w:fill="auto"/>
            <w:noWrap/>
            <w:vAlign w:val="center"/>
            <w:hideMark/>
          </w:tcPr>
          <w:p w:rsidR="003860A3" w:rsidRPr="006E1A9F" w:rsidRDefault="003860A3" w:rsidP="00EB7184">
            <w:pPr>
              <w:jc w:val="center"/>
              <w:rPr>
                <w:rFonts w:cs="Calibri"/>
                <w:color w:val="000000"/>
                <w:sz w:val="18"/>
                <w:szCs w:val="18"/>
              </w:rPr>
            </w:pPr>
            <w:r w:rsidRPr="006E1A9F">
              <w:rPr>
                <w:rFonts w:cs="Calibri"/>
                <w:color w:val="000000"/>
                <w:sz w:val="18"/>
                <w:szCs w:val="18"/>
              </w:rPr>
              <w:t>IV</w:t>
            </w:r>
          </w:p>
        </w:tc>
        <w:tc>
          <w:tcPr>
            <w:tcW w:w="3686"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rPr>
                <w:rFonts w:cs="Calibri"/>
                <w:color w:val="000000"/>
                <w:sz w:val="16"/>
                <w:szCs w:val="16"/>
                <w:lang w:val="en-US"/>
              </w:rPr>
            </w:pPr>
            <w:r w:rsidRPr="00EB7184">
              <w:rPr>
                <w:rFonts w:cs="Calibri"/>
                <w:color w:val="000000"/>
                <w:sz w:val="16"/>
                <w:szCs w:val="16"/>
                <w:lang w:val="en-US"/>
              </w:rPr>
              <w:t>Products of food processing industry, alcohol, tobacco</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95,4</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671,8</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116,0</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0,8%</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717,9</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3,2%</w:t>
            </w:r>
          </w:p>
        </w:tc>
        <w:tc>
          <w:tcPr>
            <w:tcW w:w="84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833,9</w:t>
            </w:r>
          </w:p>
        </w:tc>
        <w:tc>
          <w:tcPr>
            <w:tcW w:w="71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2,3%</w:t>
            </w:r>
          </w:p>
        </w:tc>
        <w:tc>
          <w:tcPr>
            <w:tcW w:w="838"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110,5</w:t>
            </w:r>
          </w:p>
        </w:tc>
        <w:tc>
          <w:tcPr>
            <w:tcW w:w="72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0,9%</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765,5</w:t>
            </w:r>
          </w:p>
        </w:tc>
        <w:tc>
          <w:tcPr>
            <w:tcW w:w="71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3,7%</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876,0</w:t>
            </w:r>
          </w:p>
        </w:tc>
        <w:tc>
          <w:tcPr>
            <w:tcW w:w="69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2,6%</w:t>
            </w:r>
          </w:p>
        </w:tc>
      </w:tr>
      <w:tr w:rsidR="003860A3" w:rsidRPr="006E1A9F" w:rsidTr="003B4C2F">
        <w:trPr>
          <w:trHeight w:val="323"/>
        </w:trPr>
        <w:tc>
          <w:tcPr>
            <w:tcW w:w="850" w:type="dxa"/>
            <w:tcBorders>
              <w:top w:val="nil"/>
              <w:left w:val="single" w:sz="4" w:space="0" w:color="5B9BD5"/>
              <w:bottom w:val="single" w:sz="4" w:space="0" w:color="5B9BD5"/>
              <w:right w:val="single" w:sz="4" w:space="0" w:color="5B9BD5"/>
            </w:tcBorders>
            <w:shd w:val="clear" w:color="auto" w:fill="auto"/>
            <w:noWrap/>
            <w:vAlign w:val="center"/>
            <w:hideMark/>
          </w:tcPr>
          <w:p w:rsidR="003860A3" w:rsidRPr="006E1A9F" w:rsidRDefault="003860A3" w:rsidP="00EB7184">
            <w:pPr>
              <w:jc w:val="center"/>
              <w:rPr>
                <w:rFonts w:cs="Calibri"/>
                <w:color w:val="000000"/>
                <w:sz w:val="18"/>
                <w:szCs w:val="18"/>
              </w:rPr>
            </w:pPr>
            <w:r w:rsidRPr="006E1A9F">
              <w:rPr>
                <w:rFonts w:cs="Calibri"/>
                <w:color w:val="000000"/>
                <w:sz w:val="18"/>
                <w:szCs w:val="18"/>
              </w:rPr>
              <w:t>V</w:t>
            </w:r>
          </w:p>
        </w:tc>
        <w:tc>
          <w:tcPr>
            <w:tcW w:w="3686"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rPr>
                <w:rFonts w:cs="Calibri"/>
                <w:color w:val="000000"/>
                <w:sz w:val="16"/>
                <w:szCs w:val="16"/>
              </w:rPr>
            </w:pPr>
            <w:r w:rsidRPr="00EB7184">
              <w:rPr>
                <w:rFonts w:cs="Calibri"/>
                <w:color w:val="000000"/>
                <w:sz w:val="16"/>
                <w:szCs w:val="16"/>
              </w:rPr>
              <w:t>Mineral products</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3 082,3</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1 102,5</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2 481,7</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18,2%</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1 481,6</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6,6%</w:t>
            </w:r>
          </w:p>
        </w:tc>
        <w:tc>
          <w:tcPr>
            <w:tcW w:w="84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3 963,2</w:t>
            </w:r>
          </w:p>
        </w:tc>
        <w:tc>
          <w:tcPr>
            <w:tcW w:w="71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11,0%</w:t>
            </w:r>
          </w:p>
        </w:tc>
        <w:tc>
          <w:tcPr>
            <w:tcW w:w="838"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714,4</w:t>
            </w:r>
          </w:p>
        </w:tc>
        <w:tc>
          <w:tcPr>
            <w:tcW w:w="72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5,6%</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1 305,6</w:t>
            </w:r>
          </w:p>
        </w:tc>
        <w:tc>
          <w:tcPr>
            <w:tcW w:w="71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6,4%</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2 020,0</w:t>
            </w:r>
          </w:p>
        </w:tc>
        <w:tc>
          <w:tcPr>
            <w:tcW w:w="69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6,1%</w:t>
            </w:r>
          </w:p>
        </w:tc>
      </w:tr>
      <w:tr w:rsidR="003860A3" w:rsidRPr="006E1A9F" w:rsidTr="003B4C2F">
        <w:trPr>
          <w:trHeight w:val="323"/>
        </w:trPr>
        <w:tc>
          <w:tcPr>
            <w:tcW w:w="850" w:type="dxa"/>
            <w:tcBorders>
              <w:top w:val="nil"/>
              <w:left w:val="single" w:sz="4" w:space="0" w:color="5B9BD5"/>
              <w:bottom w:val="single" w:sz="4" w:space="0" w:color="5B9BD5"/>
              <w:right w:val="single" w:sz="4" w:space="0" w:color="5B9BD5"/>
            </w:tcBorders>
            <w:shd w:val="clear" w:color="auto" w:fill="auto"/>
            <w:noWrap/>
            <w:vAlign w:val="center"/>
            <w:hideMark/>
          </w:tcPr>
          <w:p w:rsidR="003860A3" w:rsidRPr="006E1A9F" w:rsidRDefault="003860A3" w:rsidP="00EB7184">
            <w:pPr>
              <w:jc w:val="center"/>
              <w:rPr>
                <w:rFonts w:cs="Calibri"/>
                <w:color w:val="000000"/>
                <w:sz w:val="18"/>
                <w:szCs w:val="18"/>
              </w:rPr>
            </w:pPr>
            <w:r w:rsidRPr="006E1A9F">
              <w:rPr>
                <w:rFonts w:cs="Calibri"/>
                <w:color w:val="000000"/>
                <w:sz w:val="18"/>
                <w:szCs w:val="18"/>
              </w:rPr>
              <w:t>VI</w:t>
            </w:r>
          </w:p>
        </w:tc>
        <w:tc>
          <w:tcPr>
            <w:tcW w:w="3686"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rPr>
                <w:rFonts w:cs="Calibri"/>
                <w:color w:val="000000"/>
                <w:sz w:val="16"/>
                <w:szCs w:val="16"/>
              </w:rPr>
            </w:pPr>
            <w:r w:rsidRPr="00EB7184">
              <w:rPr>
                <w:rFonts w:cs="Calibri"/>
                <w:color w:val="000000"/>
                <w:sz w:val="16"/>
                <w:szCs w:val="16"/>
              </w:rPr>
              <w:t xml:space="preserve">Products of chemical industry. </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431,6</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1 654,9</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454,9</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3,3%</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2 088,3</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9,3%</w:t>
            </w:r>
          </w:p>
        </w:tc>
        <w:tc>
          <w:tcPr>
            <w:tcW w:w="84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2 543,2</w:t>
            </w:r>
          </w:p>
        </w:tc>
        <w:tc>
          <w:tcPr>
            <w:tcW w:w="71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7,0%</w:t>
            </w:r>
          </w:p>
        </w:tc>
        <w:tc>
          <w:tcPr>
            <w:tcW w:w="838"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506,0</w:t>
            </w:r>
          </w:p>
        </w:tc>
        <w:tc>
          <w:tcPr>
            <w:tcW w:w="72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4,0%</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2 421,9</w:t>
            </w:r>
          </w:p>
        </w:tc>
        <w:tc>
          <w:tcPr>
            <w:tcW w:w="71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11,8%</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2 927,9</w:t>
            </w:r>
          </w:p>
        </w:tc>
        <w:tc>
          <w:tcPr>
            <w:tcW w:w="69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8,8%</w:t>
            </w:r>
          </w:p>
        </w:tc>
      </w:tr>
      <w:tr w:rsidR="003860A3" w:rsidRPr="006E1A9F" w:rsidTr="003B4C2F">
        <w:trPr>
          <w:trHeight w:val="323"/>
        </w:trPr>
        <w:tc>
          <w:tcPr>
            <w:tcW w:w="850" w:type="dxa"/>
            <w:tcBorders>
              <w:top w:val="nil"/>
              <w:left w:val="single" w:sz="4" w:space="0" w:color="5B9BD5"/>
              <w:bottom w:val="single" w:sz="4" w:space="0" w:color="5B9BD5"/>
              <w:right w:val="single" w:sz="4" w:space="0" w:color="5B9BD5"/>
            </w:tcBorders>
            <w:shd w:val="clear" w:color="auto" w:fill="auto"/>
            <w:noWrap/>
            <w:vAlign w:val="center"/>
            <w:hideMark/>
          </w:tcPr>
          <w:p w:rsidR="003860A3" w:rsidRPr="006E1A9F" w:rsidRDefault="003860A3" w:rsidP="00EB7184">
            <w:pPr>
              <w:jc w:val="center"/>
              <w:rPr>
                <w:rFonts w:cs="Calibri"/>
                <w:color w:val="000000"/>
                <w:sz w:val="18"/>
                <w:szCs w:val="18"/>
              </w:rPr>
            </w:pPr>
            <w:r w:rsidRPr="006E1A9F">
              <w:rPr>
                <w:rFonts w:cs="Calibri"/>
                <w:color w:val="000000"/>
                <w:sz w:val="18"/>
                <w:szCs w:val="18"/>
              </w:rPr>
              <w:t>VII</w:t>
            </w:r>
          </w:p>
        </w:tc>
        <w:tc>
          <w:tcPr>
            <w:tcW w:w="3686"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rPr>
                <w:rFonts w:cs="Calibri"/>
                <w:color w:val="000000"/>
                <w:sz w:val="16"/>
                <w:szCs w:val="16"/>
                <w:lang w:val="en-US"/>
              </w:rPr>
            </w:pPr>
            <w:r w:rsidRPr="00EB7184">
              <w:rPr>
                <w:rFonts w:cs="Calibri"/>
                <w:color w:val="000000"/>
                <w:sz w:val="16"/>
                <w:szCs w:val="16"/>
                <w:lang w:val="en-US"/>
              </w:rPr>
              <w:t>Plastic materials and products: rubber</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458,4</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1 016,5</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409,9</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3,0%</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1 219,7</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5,4%</w:t>
            </w:r>
          </w:p>
        </w:tc>
        <w:tc>
          <w:tcPr>
            <w:tcW w:w="84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1 629,6</w:t>
            </w:r>
          </w:p>
        </w:tc>
        <w:tc>
          <w:tcPr>
            <w:tcW w:w="71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4,5%</w:t>
            </w:r>
          </w:p>
        </w:tc>
        <w:tc>
          <w:tcPr>
            <w:tcW w:w="838"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340,7</w:t>
            </w:r>
          </w:p>
        </w:tc>
        <w:tc>
          <w:tcPr>
            <w:tcW w:w="72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2,7%</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1 080,0</w:t>
            </w:r>
          </w:p>
        </w:tc>
        <w:tc>
          <w:tcPr>
            <w:tcW w:w="71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5,3%</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1 420,7</w:t>
            </w:r>
          </w:p>
        </w:tc>
        <w:tc>
          <w:tcPr>
            <w:tcW w:w="69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4,3%</w:t>
            </w:r>
          </w:p>
        </w:tc>
      </w:tr>
      <w:tr w:rsidR="003860A3" w:rsidRPr="006E1A9F" w:rsidTr="003B4C2F">
        <w:trPr>
          <w:trHeight w:val="323"/>
        </w:trPr>
        <w:tc>
          <w:tcPr>
            <w:tcW w:w="850" w:type="dxa"/>
            <w:tcBorders>
              <w:top w:val="nil"/>
              <w:left w:val="single" w:sz="4" w:space="0" w:color="5B9BD5"/>
              <w:bottom w:val="single" w:sz="4" w:space="0" w:color="5B9BD5"/>
              <w:right w:val="single" w:sz="4" w:space="0" w:color="5B9BD5"/>
            </w:tcBorders>
            <w:shd w:val="clear" w:color="auto" w:fill="auto"/>
            <w:noWrap/>
            <w:vAlign w:val="center"/>
            <w:hideMark/>
          </w:tcPr>
          <w:p w:rsidR="003860A3" w:rsidRPr="006E1A9F" w:rsidRDefault="003860A3" w:rsidP="00EB7184">
            <w:pPr>
              <w:jc w:val="center"/>
              <w:rPr>
                <w:rFonts w:cs="Calibri"/>
                <w:color w:val="000000"/>
                <w:sz w:val="18"/>
                <w:szCs w:val="18"/>
              </w:rPr>
            </w:pPr>
            <w:r w:rsidRPr="006E1A9F">
              <w:rPr>
                <w:rFonts w:cs="Calibri"/>
                <w:color w:val="000000"/>
                <w:sz w:val="18"/>
                <w:szCs w:val="18"/>
              </w:rPr>
              <w:t>VIII</w:t>
            </w:r>
          </w:p>
        </w:tc>
        <w:tc>
          <w:tcPr>
            <w:tcW w:w="3686"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rPr>
                <w:rFonts w:cs="Calibri"/>
                <w:color w:val="000000"/>
                <w:sz w:val="16"/>
                <w:szCs w:val="16"/>
                <w:lang w:val="en-US"/>
              </w:rPr>
            </w:pPr>
            <w:r w:rsidRPr="00EB7184">
              <w:rPr>
                <w:rFonts w:cs="Calibri"/>
                <w:color w:val="000000"/>
                <w:sz w:val="16"/>
                <w:szCs w:val="16"/>
                <w:lang w:val="en-US"/>
              </w:rPr>
              <w:t>Raw hide, leather, raw fur and fur products</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124,5</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7,9</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51,0</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0,4%</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7,7</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0,0%</w:t>
            </w:r>
          </w:p>
        </w:tc>
        <w:tc>
          <w:tcPr>
            <w:tcW w:w="84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58,7</w:t>
            </w:r>
          </w:p>
        </w:tc>
        <w:tc>
          <w:tcPr>
            <w:tcW w:w="71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0,2%</w:t>
            </w:r>
          </w:p>
        </w:tc>
        <w:tc>
          <w:tcPr>
            <w:tcW w:w="838"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34,6</w:t>
            </w:r>
          </w:p>
        </w:tc>
        <w:tc>
          <w:tcPr>
            <w:tcW w:w="72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0,3%</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26,3</w:t>
            </w:r>
          </w:p>
        </w:tc>
        <w:tc>
          <w:tcPr>
            <w:tcW w:w="71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0,1%</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60,9</w:t>
            </w:r>
          </w:p>
        </w:tc>
        <w:tc>
          <w:tcPr>
            <w:tcW w:w="69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0,2%</w:t>
            </w:r>
          </w:p>
        </w:tc>
      </w:tr>
      <w:tr w:rsidR="003860A3" w:rsidRPr="006E1A9F" w:rsidTr="003B4C2F">
        <w:trPr>
          <w:trHeight w:val="323"/>
        </w:trPr>
        <w:tc>
          <w:tcPr>
            <w:tcW w:w="850" w:type="dxa"/>
            <w:tcBorders>
              <w:top w:val="nil"/>
              <w:left w:val="single" w:sz="4" w:space="0" w:color="5B9BD5"/>
              <w:bottom w:val="single" w:sz="4" w:space="0" w:color="5B9BD5"/>
              <w:right w:val="single" w:sz="4" w:space="0" w:color="5B9BD5"/>
            </w:tcBorders>
            <w:shd w:val="clear" w:color="auto" w:fill="auto"/>
            <w:noWrap/>
            <w:vAlign w:val="center"/>
            <w:hideMark/>
          </w:tcPr>
          <w:p w:rsidR="003860A3" w:rsidRPr="006E1A9F" w:rsidRDefault="003860A3" w:rsidP="00EB7184">
            <w:pPr>
              <w:jc w:val="center"/>
              <w:rPr>
                <w:rFonts w:cs="Calibri"/>
                <w:color w:val="000000"/>
                <w:sz w:val="18"/>
                <w:szCs w:val="18"/>
              </w:rPr>
            </w:pPr>
            <w:r w:rsidRPr="006E1A9F">
              <w:rPr>
                <w:rFonts w:cs="Calibri"/>
                <w:color w:val="000000"/>
                <w:sz w:val="18"/>
                <w:szCs w:val="18"/>
              </w:rPr>
              <w:t>IX</w:t>
            </w:r>
          </w:p>
        </w:tc>
        <w:tc>
          <w:tcPr>
            <w:tcW w:w="3686"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rPr>
                <w:rFonts w:cs="Calibri"/>
                <w:color w:val="000000"/>
                <w:sz w:val="16"/>
                <w:szCs w:val="16"/>
              </w:rPr>
            </w:pPr>
            <w:r w:rsidRPr="00EB7184">
              <w:rPr>
                <w:rFonts w:cs="Calibri"/>
                <w:color w:val="000000"/>
                <w:sz w:val="16"/>
                <w:szCs w:val="16"/>
              </w:rPr>
              <w:t>Wood and wood products</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1,7</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620,1</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2,3</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0,0%</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620,5</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2,8%</w:t>
            </w:r>
          </w:p>
        </w:tc>
        <w:tc>
          <w:tcPr>
            <w:tcW w:w="84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622,8</w:t>
            </w:r>
          </w:p>
        </w:tc>
        <w:tc>
          <w:tcPr>
            <w:tcW w:w="71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1,7%</w:t>
            </w:r>
          </w:p>
        </w:tc>
        <w:tc>
          <w:tcPr>
            <w:tcW w:w="838"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4,5</w:t>
            </w:r>
          </w:p>
        </w:tc>
        <w:tc>
          <w:tcPr>
            <w:tcW w:w="72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0,0%</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546,9</w:t>
            </w:r>
          </w:p>
        </w:tc>
        <w:tc>
          <w:tcPr>
            <w:tcW w:w="71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2,7%</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551,3</w:t>
            </w:r>
          </w:p>
        </w:tc>
        <w:tc>
          <w:tcPr>
            <w:tcW w:w="69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1,7%</w:t>
            </w:r>
          </w:p>
        </w:tc>
      </w:tr>
      <w:tr w:rsidR="003860A3" w:rsidRPr="006E1A9F" w:rsidTr="003B4C2F">
        <w:trPr>
          <w:trHeight w:val="323"/>
        </w:trPr>
        <w:tc>
          <w:tcPr>
            <w:tcW w:w="850" w:type="dxa"/>
            <w:tcBorders>
              <w:top w:val="nil"/>
              <w:left w:val="single" w:sz="4" w:space="0" w:color="5B9BD5"/>
              <w:bottom w:val="single" w:sz="4" w:space="0" w:color="5B9BD5"/>
              <w:right w:val="single" w:sz="4" w:space="0" w:color="5B9BD5"/>
            </w:tcBorders>
            <w:shd w:val="clear" w:color="auto" w:fill="auto"/>
            <w:noWrap/>
            <w:vAlign w:val="center"/>
            <w:hideMark/>
          </w:tcPr>
          <w:p w:rsidR="003860A3" w:rsidRPr="006E1A9F" w:rsidRDefault="003860A3" w:rsidP="00EB7184">
            <w:pPr>
              <w:jc w:val="center"/>
              <w:rPr>
                <w:rFonts w:cs="Calibri"/>
                <w:color w:val="000000"/>
                <w:sz w:val="18"/>
                <w:szCs w:val="18"/>
              </w:rPr>
            </w:pPr>
            <w:r w:rsidRPr="006E1A9F">
              <w:rPr>
                <w:rFonts w:cs="Calibri"/>
                <w:color w:val="000000"/>
                <w:sz w:val="18"/>
                <w:szCs w:val="18"/>
              </w:rPr>
              <w:t>X</w:t>
            </w:r>
          </w:p>
        </w:tc>
        <w:tc>
          <w:tcPr>
            <w:tcW w:w="3686"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rPr>
                <w:rFonts w:cs="Calibri"/>
                <w:color w:val="000000"/>
                <w:sz w:val="16"/>
                <w:szCs w:val="16"/>
              </w:rPr>
            </w:pPr>
            <w:r w:rsidRPr="00EB7184">
              <w:rPr>
                <w:rFonts w:cs="Calibri"/>
                <w:color w:val="000000"/>
                <w:sz w:val="16"/>
                <w:szCs w:val="16"/>
              </w:rPr>
              <w:t>Paper pulp</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33,7</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239,8</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34,6</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0,3%</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289,1</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1,3%</w:t>
            </w:r>
          </w:p>
        </w:tc>
        <w:tc>
          <w:tcPr>
            <w:tcW w:w="84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323,7</w:t>
            </w:r>
          </w:p>
        </w:tc>
        <w:tc>
          <w:tcPr>
            <w:tcW w:w="71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0,9%</w:t>
            </w:r>
          </w:p>
        </w:tc>
        <w:tc>
          <w:tcPr>
            <w:tcW w:w="838"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38,5</w:t>
            </w:r>
          </w:p>
        </w:tc>
        <w:tc>
          <w:tcPr>
            <w:tcW w:w="72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0,3%</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260,2</w:t>
            </w:r>
          </w:p>
        </w:tc>
        <w:tc>
          <w:tcPr>
            <w:tcW w:w="71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1,3%</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298,7</w:t>
            </w:r>
          </w:p>
        </w:tc>
        <w:tc>
          <w:tcPr>
            <w:tcW w:w="69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0,9%</w:t>
            </w:r>
          </w:p>
        </w:tc>
      </w:tr>
      <w:tr w:rsidR="003860A3" w:rsidRPr="006E1A9F" w:rsidTr="003B4C2F">
        <w:trPr>
          <w:trHeight w:val="323"/>
        </w:trPr>
        <w:tc>
          <w:tcPr>
            <w:tcW w:w="850" w:type="dxa"/>
            <w:tcBorders>
              <w:top w:val="nil"/>
              <w:left w:val="single" w:sz="4" w:space="0" w:color="5B9BD5"/>
              <w:bottom w:val="single" w:sz="4" w:space="0" w:color="5B9BD5"/>
              <w:right w:val="single" w:sz="4" w:space="0" w:color="5B9BD5"/>
            </w:tcBorders>
            <w:shd w:val="clear" w:color="auto" w:fill="auto"/>
            <w:noWrap/>
            <w:vAlign w:val="center"/>
            <w:hideMark/>
          </w:tcPr>
          <w:p w:rsidR="003860A3" w:rsidRPr="006E1A9F" w:rsidRDefault="003860A3" w:rsidP="00EB7184">
            <w:pPr>
              <w:jc w:val="center"/>
              <w:rPr>
                <w:rFonts w:cs="Calibri"/>
                <w:color w:val="000000"/>
                <w:sz w:val="18"/>
                <w:szCs w:val="18"/>
              </w:rPr>
            </w:pPr>
            <w:r w:rsidRPr="006E1A9F">
              <w:rPr>
                <w:rFonts w:cs="Calibri"/>
                <w:color w:val="000000"/>
                <w:sz w:val="18"/>
                <w:szCs w:val="18"/>
              </w:rPr>
              <w:t>XI</w:t>
            </w:r>
          </w:p>
        </w:tc>
        <w:tc>
          <w:tcPr>
            <w:tcW w:w="3686"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rPr>
                <w:rFonts w:cs="Calibri"/>
                <w:color w:val="000000"/>
                <w:sz w:val="16"/>
                <w:szCs w:val="16"/>
              </w:rPr>
            </w:pPr>
            <w:r w:rsidRPr="00EB7184">
              <w:rPr>
                <w:rFonts w:cs="Calibri"/>
                <w:color w:val="000000"/>
                <w:sz w:val="16"/>
                <w:szCs w:val="16"/>
              </w:rPr>
              <w:t>Textiles and textile product</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1 678,9</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310,5</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1 983,7</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14,5%</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355,4</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1,6%</w:t>
            </w:r>
          </w:p>
        </w:tc>
        <w:tc>
          <w:tcPr>
            <w:tcW w:w="84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2 339,1</w:t>
            </w:r>
          </w:p>
        </w:tc>
        <w:tc>
          <w:tcPr>
            <w:tcW w:w="71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6,5%</w:t>
            </w:r>
          </w:p>
        </w:tc>
        <w:tc>
          <w:tcPr>
            <w:tcW w:w="838"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2 130,8</w:t>
            </w:r>
          </w:p>
        </w:tc>
        <w:tc>
          <w:tcPr>
            <w:tcW w:w="72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16,7%</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384,0</w:t>
            </w:r>
          </w:p>
        </w:tc>
        <w:tc>
          <w:tcPr>
            <w:tcW w:w="71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1,9%</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2 514,8</w:t>
            </w:r>
          </w:p>
        </w:tc>
        <w:tc>
          <w:tcPr>
            <w:tcW w:w="69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7,6%</w:t>
            </w:r>
          </w:p>
        </w:tc>
      </w:tr>
      <w:tr w:rsidR="003860A3" w:rsidRPr="006E1A9F" w:rsidTr="003B4C2F">
        <w:trPr>
          <w:trHeight w:val="323"/>
        </w:trPr>
        <w:tc>
          <w:tcPr>
            <w:tcW w:w="850" w:type="dxa"/>
            <w:tcBorders>
              <w:top w:val="nil"/>
              <w:left w:val="single" w:sz="4" w:space="0" w:color="5B9BD5"/>
              <w:bottom w:val="single" w:sz="4" w:space="0" w:color="5B9BD5"/>
              <w:right w:val="single" w:sz="4" w:space="0" w:color="5B9BD5"/>
            </w:tcBorders>
            <w:shd w:val="clear" w:color="auto" w:fill="auto"/>
            <w:noWrap/>
            <w:vAlign w:val="center"/>
            <w:hideMark/>
          </w:tcPr>
          <w:p w:rsidR="003860A3" w:rsidRPr="006E1A9F" w:rsidRDefault="003860A3" w:rsidP="00EB7184">
            <w:pPr>
              <w:jc w:val="center"/>
              <w:rPr>
                <w:rFonts w:cs="Calibri"/>
                <w:color w:val="000000"/>
                <w:sz w:val="18"/>
                <w:szCs w:val="18"/>
              </w:rPr>
            </w:pPr>
            <w:r w:rsidRPr="006E1A9F">
              <w:rPr>
                <w:rFonts w:cs="Calibri"/>
                <w:color w:val="000000"/>
                <w:sz w:val="18"/>
                <w:szCs w:val="18"/>
              </w:rPr>
              <w:t>XII</w:t>
            </w:r>
          </w:p>
        </w:tc>
        <w:tc>
          <w:tcPr>
            <w:tcW w:w="3686"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rPr>
                <w:rFonts w:cs="Calibri"/>
                <w:color w:val="000000"/>
                <w:sz w:val="16"/>
                <w:szCs w:val="16"/>
                <w:lang w:val="en-US"/>
              </w:rPr>
            </w:pPr>
            <w:r w:rsidRPr="00EB7184">
              <w:rPr>
                <w:rFonts w:cs="Calibri"/>
                <w:color w:val="000000"/>
                <w:sz w:val="16"/>
                <w:szCs w:val="16"/>
                <w:lang w:val="en-US"/>
              </w:rPr>
              <w:t>Footwear and headwear, umbrellas, canes</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15,1</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24,4</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37,5</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0,3%</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22,1</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0,1%</w:t>
            </w:r>
          </w:p>
        </w:tc>
        <w:tc>
          <w:tcPr>
            <w:tcW w:w="84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59,6</w:t>
            </w:r>
          </w:p>
        </w:tc>
        <w:tc>
          <w:tcPr>
            <w:tcW w:w="71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0,2%</w:t>
            </w:r>
          </w:p>
        </w:tc>
        <w:tc>
          <w:tcPr>
            <w:tcW w:w="838"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41,1</w:t>
            </w:r>
          </w:p>
        </w:tc>
        <w:tc>
          <w:tcPr>
            <w:tcW w:w="72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0,3%</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16,4</w:t>
            </w:r>
          </w:p>
        </w:tc>
        <w:tc>
          <w:tcPr>
            <w:tcW w:w="71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0,1%</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57,5</w:t>
            </w:r>
          </w:p>
        </w:tc>
        <w:tc>
          <w:tcPr>
            <w:tcW w:w="69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0,2%</w:t>
            </w:r>
          </w:p>
        </w:tc>
      </w:tr>
      <w:tr w:rsidR="003860A3" w:rsidRPr="006E1A9F" w:rsidTr="003B4C2F">
        <w:trPr>
          <w:trHeight w:val="323"/>
        </w:trPr>
        <w:tc>
          <w:tcPr>
            <w:tcW w:w="850" w:type="dxa"/>
            <w:tcBorders>
              <w:top w:val="nil"/>
              <w:left w:val="single" w:sz="4" w:space="0" w:color="5B9BD5"/>
              <w:bottom w:val="single" w:sz="4" w:space="0" w:color="5B9BD5"/>
              <w:right w:val="single" w:sz="4" w:space="0" w:color="5B9BD5"/>
            </w:tcBorders>
            <w:shd w:val="clear" w:color="auto" w:fill="auto"/>
            <w:noWrap/>
            <w:vAlign w:val="center"/>
            <w:hideMark/>
          </w:tcPr>
          <w:p w:rsidR="003860A3" w:rsidRPr="006E1A9F" w:rsidRDefault="003860A3" w:rsidP="00EB7184">
            <w:pPr>
              <w:jc w:val="center"/>
              <w:rPr>
                <w:rFonts w:cs="Calibri"/>
                <w:color w:val="000000"/>
                <w:sz w:val="18"/>
                <w:szCs w:val="18"/>
              </w:rPr>
            </w:pPr>
            <w:r w:rsidRPr="006E1A9F">
              <w:rPr>
                <w:rFonts w:cs="Calibri"/>
                <w:color w:val="000000"/>
                <w:sz w:val="18"/>
                <w:szCs w:val="18"/>
              </w:rPr>
              <w:t>XIII</w:t>
            </w:r>
          </w:p>
        </w:tc>
        <w:tc>
          <w:tcPr>
            <w:tcW w:w="3686"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rPr>
                <w:rFonts w:cs="Calibri"/>
                <w:color w:val="000000"/>
                <w:sz w:val="16"/>
                <w:szCs w:val="16"/>
                <w:lang w:val="en-US"/>
              </w:rPr>
            </w:pPr>
            <w:r w:rsidRPr="00EB7184">
              <w:rPr>
                <w:rFonts w:cs="Calibri"/>
                <w:color w:val="000000"/>
                <w:sz w:val="16"/>
                <w:szCs w:val="16"/>
                <w:lang w:val="en-US"/>
              </w:rPr>
              <w:t>Products of stone, gypsum, cement, and asbestos</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27,0</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174,7</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41,4</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0,3%</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274,9</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1,2%</w:t>
            </w:r>
          </w:p>
        </w:tc>
        <w:tc>
          <w:tcPr>
            <w:tcW w:w="84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316,3</w:t>
            </w:r>
          </w:p>
        </w:tc>
        <w:tc>
          <w:tcPr>
            <w:tcW w:w="71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0,9%</w:t>
            </w:r>
          </w:p>
        </w:tc>
        <w:tc>
          <w:tcPr>
            <w:tcW w:w="838"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74,7</w:t>
            </w:r>
          </w:p>
        </w:tc>
        <w:tc>
          <w:tcPr>
            <w:tcW w:w="72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0,6%</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209,4</w:t>
            </w:r>
          </w:p>
        </w:tc>
        <w:tc>
          <w:tcPr>
            <w:tcW w:w="71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1,0%</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284,1</w:t>
            </w:r>
          </w:p>
        </w:tc>
        <w:tc>
          <w:tcPr>
            <w:tcW w:w="69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0,9%</w:t>
            </w:r>
          </w:p>
        </w:tc>
      </w:tr>
      <w:tr w:rsidR="003860A3" w:rsidRPr="006E1A9F" w:rsidTr="003B4C2F">
        <w:trPr>
          <w:trHeight w:val="323"/>
        </w:trPr>
        <w:tc>
          <w:tcPr>
            <w:tcW w:w="850" w:type="dxa"/>
            <w:tcBorders>
              <w:top w:val="nil"/>
              <w:left w:val="single" w:sz="4" w:space="0" w:color="5B9BD5"/>
              <w:bottom w:val="single" w:sz="4" w:space="0" w:color="5B9BD5"/>
              <w:right w:val="single" w:sz="4" w:space="0" w:color="5B9BD5"/>
            </w:tcBorders>
            <w:shd w:val="clear" w:color="auto" w:fill="auto"/>
            <w:noWrap/>
            <w:vAlign w:val="center"/>
            <w:hideMark/>
          </w:tcPr>
          <w:p w:rsidR="003860A3" w:rsidRPr="006E1A9F" w:rsidRDefault="003860A3" w:rsidP="00EB7184">
            <w:pPr>
              <w:jc w:val="center"/>
              <w:rPr>
                <w:rFonts w:cs="Calibri"/>
                <w:color w:val="000000"/>
                <w:sz w:val="18"/>
                <w:szCs w:val="18"/>
              </w:rPr>
            </w:pPr>
            <w:r w:rsidRPr="006E1A9F">
              <w:rPr>
                <w:rFonts w:cs="Calibri"/>
                <w:color w:val="000000"/>
                <w:sz w:val="18"/>
                <w:szCs w:val="18"/>
              </w:rPr>
              <w:t>XIV</w:t>
            </w:r>
          </w:p>
        </w:tc>
        <w:tc>
          <w:tcPr>
            <w:tcW w:w="3686" w:type="dxa"/>
            <w:tcBorders>
              <w:top w:val="nil"/>
              <w:left w:val="nil"/>
              <w:bottom w:val="single" w:sz="4" w:space="0" w:color="5B9BD5"/>
              <w:right w:val="single" w:sz="4" w:space="0" w:color="5B9BD5"/>
            </w:tcBorders>
            <w:shd w:val="clear" w:color="auto" w:fill="auto"/>
            <w:vAlign w:val="center"/>
            <w:hideMark/>
          </w:tcPr>
          <w:p w:rsidR="003860A3" w:rsidRPr="00EB7184" w:rsidRDefault="003860A3" w:rsidP="00EB7184">
            <w:pPr>
              <w:rPr>
                <w:rFonts w:cs="Calibri"/>
                <w:color w:val="000000"/>
                <w:sz w:val="16"/>
                <w:szCs w:val="16"/>
                <w:lang w:val="en-US"/>
              </w:rPr>
            </w:pPr>
            <w:r w:rsidRPr="00EB7184">
              <w:rPr>
                <w:rFonts w:cs="Calibri"/>
                <w:color w:val="000000"/>
                <w:sz w:val="16"/>
                <w:szCs w:val="16"/>
                <w:lang w:val="en-US"/>
              </w:rPr>
              <w:t>Precious metals, precious and semiprecious stones</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3 037,0</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40,7</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5 099,6</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37,3%</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33,5</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0,1%</w:t>
            </w:r>
          </w:p>
        </w:tc>
        <w:tc>
          <w:tcPr>
            <w:tcW w:w="84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5 133,1</w:t>
            </w:r>
          </w:p>
        </w:tc>
        <w:tc>
          <w:tcPr>
            <w:tcW w:w="71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14,2%</w:t>
            </w:r>
          </w:p>
        </w:tc>
        <w:tc>
          <w:tcPr>
            <w:tcW w:w="838"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5 929,5</w:t>
            </w:r>
          </w:p>
        </w:tc>
        <w:tc>
          <w:tcPr>
            <w:tcW w:w="72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46,4%</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47,0</w:t>
            </w:r>
          </w:p>
        </w:tc>
        <w:tc>
          <w:tcPr>
            <w:tcW w:w="71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0,2%</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5 976,6</w:t>
            </w:r>
          </w:p>
        </w:tc>
        <w:tc>
          <w:tcPr>
            <w:tcW w:w="69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17,9%</w:t>
            </w:r>
          </w:p>
        </w:tc>
      </w:tr>
      <w:tr w:rsidR="003860A3" w:rsidRPr="006E1A9F" w:rsidTr="003B4C2F">
        <w:trPr>
          <w:trHeight w:val="323"/>
        </w:trPr>
        <w:tc>
          <w:tcPr>
            <w:tcW w:w="850" w:type="dxa"/>
            <w:tcBorders>
              <w:top w:val="nil"/>
              <w:left w:val="single" w:sz="4" w:space="0" w:color="5B9BD5"/>
              <w:bottom w:val="single" w:sz="4" w:space="0" w:color="5B9BD5"/>
              <w:right w:val="single" w:sz="4" w:space="0" w:color="5B9BD5"/>
            </w:tcBorders>
            <w:shd w:val="clear" w:color="auto" w:fill="auto"/>
            <w:noWrap/>
            <w:vAlign w:val="center"/>
            <w:hideMark/>
          </w:tcPr>
          <w:p w:rsidR="003860A3" w:rsidRPr="006E1A9F" w:rsidRDefault="003860A3" w:rsidP="00EB7184">
            <w:pPr>
              <w:jc w:val="center"/>
              <w:rPr>
                <w:rFonts w:cs="Calibri"/>
                <w:color w:val="000000"/>
                <w:sz w:val="18"/>
                <w:szCs w:val="18"/>
              </w:rPr>
            </w:pPr>
            <w:r w:rsidRPr="006E1A9F">
              <w:rPr>
                <w:rFonts w:cs="Calibri"/>
                <w:color w:val="000000"/>
                <w:sz w:val="18"/>
                <w:szCs w:val="18"/>
              </w:rPr>
              <w:t>XV</w:t>
            </w:r>
          </w:p>
        </w:tc>
        <w:tc>
          <w:tcPr>
            <w:tcW w:w="3686"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rPr>
                <w:rFonts w:cs="Calibri"/>
                <w:color w:val="000000"/>
                <w:sz w:val="16"/>
                <w:szCs w:val="16"/>
                <w:lang w:val="en-US"/>
              </w:rPr>
            </w:pPr>
            <w:r w:rsidRPr="00EB7184">
              <w:rPr>
                <w:rFonts w:cs="Calibri"/>
                <w:color w:val="000000"/>
                <w:sz w:val="16"/>
                <w:szCs w:val="16"/>
                <w:lang w:val="en-US"/>
              </w:rPr>
              <w:t>Nonprecious metals and products of them</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799,8</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2 422,7</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1 093,7</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8,0%</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2 895,4</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12,9%</w:t>
            </w:r>
          </w:p>
        </w:tc>
        <w:tc>
          <w:tcPr>
            <w:tcW w:w="84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3 989,1</w:t>
            </w:r>
          </w:p>
        </w:tc>
        <w:tc>
          <w:tcPr>
            <w:tcW w:w="71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11,0%</w:t>
            </w:r>
          </w:p>
        </w:tc>
        <w:tc>
          <w:tcPr>
            <w:tcW w:w="838"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1 119,4</w:t>
            </w:r>
          </w:p>
        </w:tc>
        <w:tc>
          <w:tcPr>
            <w:tcW w:w="72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8,8%</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2 431,1</w:t>
            </w:r>
          </w:p>
        </w:tc>
        <w:tc>
          <w:tcPr>
            <w:tcW w:w="71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11,8%</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3 550,5</w:t>
            </w:r>
          </w:p>
        </w:tc>
        <w:tc>
          <w:tcPr>
            <w:tcW w:w="69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10,7%</w:t>
            </w:r>
          </w:p>
        </w:tc>
      </w:tr>
      <w:tr w:rsidR="003860A3" w:rsidRPr="006E1A9F" w:rsidTr="003B4C2F">
        <w:trPr>
          <w:trHeight w:val="323"/>
        </w:trPr>
        <w:tc>
          <w:tcPr>
            <w:tcW w:w="850" w:type="dxa"/>
            <w:tcBorders>
              <w:top w:val="nil"/>
              <w:left w:val="single" w:sz="4" w:space="0" w:color="5B9BD5"/>
              <w:bottom w:val="single" w:sz="4" w:space="0" w:color="5B9BD5"/>
              <w:right w:val="single" w:sz="4" w:space="0" w:color="5B9BD5"/>
            </w:tcBorders>
            <w:shd w:val="clear" w:color="auto" w:fill="auto"/>
            <w:noWrap/>
            <w:vAlign w:val="center"/>
            <w:hideMark/>
          </w:tcPr>
          <w:p w:rsidR="003860A3" w:rsidRPr="006E1A9F" w:rsidRDefault="003860A3" w:rsidP="00EB7184">
            <w:pPr>
              <w:jc w:val="center"/>
              <w:rPr>
                <w:rFonts w:cs="Calibri"/>
                <w:color w:val="000000"/>
                <w:sz w:val="18"/>
                <w:szCs w:val="18"/>
              </w:rPr>
            </w:pPr>
            <w:r w:rsidRPr="006E1A9F">
              <w:rPr>
                <w:rFonts w:cs="Calibri"/>
                <w:color w:val="000000"/>
                <w:sz w:val="18"/>
                <w:szCs w:val="18"/>
              </w:rPr>
              <w:t>XVI</w:t>
            </w:r>
          </w:p>
        </w:tc>
        <w:tc>
          <w:tcPr>
            <w:tcW w:w="3686" w:type="dxa"/>
            <w:tcBorders>
              <w:top w:val="nil"/>
              <w:left w:val="nil"/>
              <w:bottom w:val="single" w:sz="4" w:space="0" w:color="5B9BD5"/>
              <w:right w:val="single" w:sz="4" w:space="0" w:color="5B9BD5"/>
            </w:tcBorders>
            <w:shd w:val="clear" w:color="auto" w:fill="auto"/>
            <w:vAlign w:val="center"/>
            <w:hideMark/>
          </w:tcPr>
          <w:p w:rsidR="003860A3" w:rsidRPr="00EB7184" w:rsidRDefault="003860A3" w:rsidP="00EB7184">
            <w:pPr>
              <w:rPr>
                <w:rFonts w:cs="Calibri"/>
                <w:color w:val="000000"/>
                <w:sz w:val="16"/>
                <w:szCs w:val="16"/>
                <w:lang w:val="en-US"/>
              </w:rPr>
            </w:pPr>
            <w:r w:rsidRPr="00EB7184">
              <w:rPr>
                <w:rFonts w:cs="Calibri"/>
                <w:color w:val="000000"/>
                <w:sz w:val="16"/>
                <w:szCs w:val="16"/>
                <w:lang w:val="en-US"/>
              </w:rPr>
              <w:t>Machines, equipment, machinery, electrical equipment</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166,1</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6 249,1</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214,9</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1,6%</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7 056,5</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31,4%</w:t>
            </w:r>
          </w:p>
        </w:tc>
        <w:tc>
          <w:tcPr>
            <w:tcW w:w="84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7 271,4</w:t>
            </w:r>
          </w:p>
        </w:tc>
        <w:tc>
          <w:tcPr>
            <w:tcW w:w="71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20,1%</w:t>
            </w:r>
          </w:p>
        </w:tc>
        <w:tc>
          <w:tcPr>
            <w:tcW w:w="838"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211,0</w:t>
            </w:r>
          </w:p>
        </w:tc>
        <w:tc>
          <w:tcPr>
            <w:tcW w:w="72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1,7%</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6 030,2</w:t>
            </w:r>
          </w:p>
        </w:tc>
        <w:tc>
          <w:tcPr>
            <w:tcW w:w="71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29,4%</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6 241,2</w:t>
            </w:r>
          </w:p>
        </w:tc>
        <w:tc>
          <w:tcPr>
            <w:tcW w:w="69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18,7%</w:t>
            </w:r>
          </w:p>
        </w:tc>
      </w:tr>
      <w:tr w:rsidR="003860A3" w:rsidRPr="006E1A9F" w:rsidTr="003B4C2F">
        <w:trPr>
          <w:trHeight w:val="323"/>
        </w:trPr>
        <w:tc>
          <w:tcPr>
            <w:tcW w:w="850" w:type="dxa"/>
            <w:tcBorders>
              <w:top w:val="nil"/>
              <w:left w:val="single" w:sz="4" w:space="0" w:color="5B9BD5"/>
              <w:bottom w:val="single" w:sz="4" w:space="0" w:color="5B9BD5"/>
              <w:right w:val="single" w:sz="4" w:space="0" w:color="5B9BD5"/>
            </w:tcBorders>
            <w:shd w:val="clear" w:color="auto" w:fill="auto"/>
            <w:noWrap/>
            <w:vAlign w:val="center"/>
            <w:hideMark/>
          </w:tcPr>
          <w:p w:rsidR="003860A3" w:rsidRPr="006E1A9F" w:rsidRDefault="003860A3" w:rsidP="00EB7184">
            <w:pPr>
              <w:jc w:val="center"/>
              <w:rPr>
                <w:rFonts w:cs="Calibri"/>
                <w:color w:val="000000"/>
                <w:sz w:val="18"/>
                <w:szCs w:val="18"/>
              </w:rPr>
            </w:pPr>
            <w:r w:rsidRPr="006E1A9F">
              <w:rPr>
                <w:rFonts w:cs="Calibri"/>
                <w:color w:val="000000"/>
                <w:sz w:val="18"/>
                <w:szCs w:val="18"/>
              </w:rPr>
              <w:t>XVII</w:t>
            </w:r>
          </w:p>
        </w:tc>
        <w:tc>
          <w:tcPr>
            <w:tcW w:w="3686"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rPr>
                <w:rFonts w:cs="Calibri"/>
                <w:color w:val="000000"/>
                <w:sz w:val="16"/>
                <w:szCs w:val="16"/>
                <w:lang w:val="en-US"/>
              </w:rPr>
            </w:pPr>
            <w:r w:rsidRPr="00EB7184">
              <w:rPr>
                <w:rFonts w:cs="Calibri"/>
                <w:color w:val="000000"/>
                <w:sz w:val="16"/>
                <w:szCs w:val="16"/>
                <w:lang w:val="en-US"/>
              </w:rPr>
              <w:t>Means of land, air, and water transport</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113,3</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2 614,8</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205,4</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1,5%</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2 798,9</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12,4%</w:t>
            </w:r>
          </w:p>
        </w:tc>
        <w:tc>
          <w:tcPr>
            <w:tcW w:w="84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3 004,3</w:t>
            </w:r>
          </w:p>
        </w:tc>
        <w:tc>
          <w:tcPr>
            <w:tcW w:w="71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8,3%</w:t>
            </w:r>
          </w:p>
        </w:tc>
        <w:tc>
          <w:tcPr>
            <w:tcW w:w="838"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210,8</w:t>
            </w:r>
          </w:p>
        </w:tc>
        <w:tc>
          <w:tcPr>
            <w:tcW w:w="72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1,6%</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2 230,5</w:t>
            </w:r>
          </w:p>
        </w:tc>
        <w:tc>
          <w:tcPr>
            <w:tcW w:w="71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10,9%</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2 441,4</w:t>
            </w:r>
          </w:p>
        </w:tc>
        <w:tc>
          <w:tcPr>
            <w:tcW w:w="69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7,3%</w:t>
            </w:r>
          </w:p>
        </w:tc>
      </w:tr>
      <w:tr w:rsidR="003860A3" w:rsidRPr="006E1A9F" w:rsidTr="003B4C2F">
        <w:trPr>
          <w:trHeight w:val="323"/>
        </w:trPr>
        <w:tc>
          <w:tcPr>
            <w:tcW w:w="850" w:type="dxa"/>
            <w:tcBorders>
              <w:top w:val="nil"/>
              <w:left w:val="single" w:sz="4" w:space="0" w:color="5B9BD5"/>
              <w:bottom w:val="single" w:sz="4" w:space="0" w:color="5B9BD5"/>
              <w:right w:val="single" w:sz="4" w:space="0" w:color="5B9BD5"/>
            </w:tcBorders>
            <w:shd w:val="clear" w:color="auto" w:fill="auto"/>
            <w:noWrap/>
            <w:vAlign w:val="center"/>
            <w:hideMark/>
          </w:tcPr>
          <w:p w:rsidR="003860A3" w:rsidRPr="006E1A9F" w:rsidRDefault="003860A3" w:rsidP="00EB7184">
            <w:pPr>
              <w:jc w:val="center"/>
              <w:rPr>
                <w:rFonts w:cs="Calibri"/>
                <w:color w:val="000000"/>
                <w:sz w:val="18"/>
                <w:szCs w:val="18"/>
              </w:rPr>
            </w:pPr>
            <w:r w:rsidRPr="006E1A9F">
              <w:rPr>
                <w:rFonts w:cs="Calibri"/>
                <w:color w:val="000000"/>
                <w:sz w:val="18"/>
                <w:szCs w:val="18"/>
              </w:rPr>
              <w:t>XVIII</w:t>
            </w:r>
          </w:p>
        </w:tc>
        <w:tc>
          <w:tcPr>
            <w:tcW w:w="3686"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rPr>
                <w:rFonts w:cs="Calibri"/>
                <w:color w:val="000000"/>
                <w:sz w:val="16"/>
                <w:szCs w:val="16"/>
                <w:lang w:val="en-US"/>
              </w:rPr>
            </w:pPr>
            <w:r w:rsidRPr="00EB7184">
              <w:rPr>
                <w:rFonts w:cs="Calibri"/>
                <w:color w:val="000000"/>
                <w:sz w:val="16"/>
                <w:szCs w:val="16"/>
                <w:lang w:val="en-US"/>
              </w:rPr>
              <w:t>Optical instruments and equipment, photographic</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12,7</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360,6</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12,9</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0,1%</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621,7</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2,8%</w:t>
            </w:r>
          </w:p>
        </w:tc>
        <w:tc>
          <w:tcPr>
            <w:tcW w:w="84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634,6</w:t>
            </w:r>
          </w:p>
        </w:tc>
        <w:tc>
          <w:tcPr>
            <w:tcW w:w="71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1,8%</w:t>
            </w:r>
          </w:p>
        </w:tc>
        <w:tc>
          <w:tcPr>
            <w:tcW w:w="838"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7,9</w:t>
            </w:r>
          </w:p>
        </w:tc>
        <w:tc>
          <w:tcPr>
            <w:tcW w:w="72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0,1%</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673,6</w:t>
            </w:r>
          </w:p>
        </w:tc>
        <w:tc>
          <w:tcPr>
            <w:tcW w:w="71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3,3%</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681,5</w:t>
            </w:r>
          </w:p>
        </w:tc>
        <w:tc>
          <w:tcPr>
            <w:tcW w:w="69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2,0%</w:t>
            </w:r>
          </w:p>
        </w:tc>
      </w:tr>
      <w:tr w:rsidR="003860A3" w:rsidRPr="006E1A9F" w:rsidTr="003B4C2F">
        <w:trPr>
          <w:trHeight w:val="323"/>
        </w:trPr>
        <w:tc>
          <w:tcPr>
            <w:tcW w:w="850" w:type="dxa"/>
            <w:tcBorders>
              <w:top w:val="nil"/>
              <w:left w:val="single" w:sz="4" w:space="0" w:color="5B9BD5"/>
              <w:bottom w:val="single" w:sz="4" w:space="0" w:color="5B9BD5"/>
              <w:right w:val="single" w:sz="4" w:space="0" w:color="5B9BD5"/>
            </w:tcBorders>
            <w:shd w:val="clear" w:color="auto" w:fill="auto"/>
            <w:noWrap/>
            <w:vAlign w:val="center"/>
            <w:hideMark/>
          </w:tcPr>
          <w:p w:rsidR="003860A3" w:rsidRPr="006E1A9F" w:rsidRDefault="003860A3" w:rsidP="00EB7184">
            <w:pPr>
              <w:jc w:val="center"/>
              <w:rPr>
                <w:rFonts w:cs="Calibri"/>
                <w:color w:val="000000"/>
                <w:sz w:val="18"/>
                <w:szCs w:val="18"/>
              </w:rPr>
            </w:pPr>
            <w:r w:rsidRPr="006E1A9F">
              <w:rPr>
                <w:rFonts w:cs="Calibri"/>
                <w:color w:val="000000"/>
                <w:sz w:val="18"/>
                <w:szCs w:val="18"/>
              </w:rPr>
              <w:t>XX</w:t>
            </w:r>
          </w:p>
        </w:tc>
        <w:tc>
          <w:tcPr>
            <w:tcW w:w="3686"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rPr>
                <w:rFonts w:cs="Calibri"/>
                <w:color w:val="000000"/>
                <w:sz w:val="16"/>
                <w:szCs w:val="16"/>
              </w:rPr>
            </w:pPr>
            <w:r w:rsidRPr="00EB7184">
              <w:rPr>
                <w:rFonts w:cs="Calibri"/>
                <w:color w:val="000000"/>
                <w:sz w:val="16"/>
                <w:szCs w:val="16"/>
              </w:rPr>
              <w:t>Miscellaneous manufactured goods</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8,7</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327,8</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15,4</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0,1%</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661,7</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2,9%</w:t>
            </w:r>
          </w:p>
        </w:tc>
        <w:tc>
          <w:tcPr>
            <w:tcW w:w="84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677,2</w:t>
            </w:r>
          </w:p>
        </w:tc>
        <w:tc>
          <w:tcPr>
            <w:tcW w:w="71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1,9%</w:t>
            </w:r>
          </w:p>
        </w:tc>
        <w:tc>
          <w:tcPr>
            <w:tcW w:w="838"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29,7</w:t>
            </w:r>
          </w:p>
        </w:tc>
        <w:tc>
          <w:tcPr>
            <w:tcW w:w="72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0,2%</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497,7</w:t>
            </w:r>
          </w:p>
        </w:tc>
        <w:tc>
          <w:tcPr>
            <w:tcW w:w="71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2,4%</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527,4</w:t>
            </w:r>
          </w:p>
        </w:tc>
        <w:tc>
          <w:tcPr>
            <w:tcW w:w="69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1,6%</w:t>
            </w:r>
          </w:p>
        </w:tc>
      </w:tr>
      <w:tr w:rsidR="003860A3" w:rsidRPr="006E1A9F" w:rsidTr="003B4C2F">
        <w:trPr>
          <w:trHeight w:val="323"/>
        </w:trPr>
        <w:tc>
          <w:tcPr>
            <w:tcW w:w="850" w:type="dxa"/>
            <w:tcBorders>
              <w:top w:val="nil"/>
              <w:left w:val="single" w:sz="4" w:space="0" w:color="5B9BD5"/>
              <w:bottom w:val="nil"/>
              <w:right w:val="single" w:sz="4" w:space="0" w:color="5B9BD5"/>
            </w:tcBorders>
            <w:shd w:val="clear" w:color="auto" w:fill="auto"/>
            <w:noWrap/>
            <w:vAlign w:val="center"/>
            <w:hideMark/>
          </w:tcPr>
          <w:p w:rsidR="003860A3" w:rsidRPr="006E1A9F" w:rsidRDefault="003860A3" w:rsidP="00EB7184">
            <w:pPr>
              <w:jc w:val="center"/>
              <w:rPr>
                <w:rFonts w:cs="Calibri"/>
                <w:color w:val="000000"/>
                <w:sz w:val="18"/>
                <w:szCs w:val="18"/>
              </w:rPr>
            </w:pPr>
            <w:r w:rsidRPr="006E1A9F">
              <w:rPr>
                <w:rFonts w:cs="Calibri"/>
                <w:color w:val="000000"/>
                <w:sz w:val="18"/>
                <w:szCs w:val="18"/>
              </w:rPr>
              <w:t>XXI</w:t>
            </w:r>
          </w:p>
        </w:tc>
        <w:tc>
          <w:tcPr>
            <w:tcW w:w="3686" w:type="dxa"/>
            <w:tcBorders>
              <w:top w:val="nil"/>
              <w:left w:val="nil"/>
              <w:bottom w:val="nil"/>
              <w:right w:val="single" w:sz="4" w:space="0" w:color="5B9BD5"/>
            </w:tcBorders>
            <w:shd w:val="clear" w:color="auto" w:fill="auto"/>
            <w:noWrap/>
            <w:vAlign w:val="center"/>
            <w:hideMark/>
          </w:tcPr>
          <w:p w:rsidR="003860A3" w:rsidRPr="00EB7184" w:rsidRDefault="003860A3" w:rsidP="00EB7184">
            <w:pPr>
              <w:rPr>
                <w:rFonts w:cs="Calibri"/>
                <w:color w:val="000000"/>
                <w:sz w:val="16"/>
                <w:szCs w:val="16"/>
              </w:rPr>
            </w:pPr>
            <w:r w:rsidRPr="00EB7184">
              <w:rPr>
                <w:rFonts w:cs="Calibri"/>
                <w:color w:val="000000"/>
                <w:sz w:val="16"/>
                <w:szCs w:val="16"/>
              </w:rPr>
              <w:t>Works of art, antique</w:t>
            </w:r>
          </w:p>
        </w:tc>
        <w:tc>
          <w:tcPr>
            <w:tcW w:w="851" w:type="dxa"/>
            <w:tcBorders>
              <w:top w:val="nil"/>
              <w:left w:val="nil"/>
              <w:bottom w:val="nil"/>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0,0</w:t>
            </w:r>
          </w:p>
        </w:tc>
        <w:tc>
          <w:tcPr>
            <w:tcW w:w="850" w:type="dxa"/>
            <w:tcBorders>
              <w:top w:val="nil"/>
              <w:left w:val="nil"/>
              <w:bottom w:val="nil"/>
              <w:right w:val="single" w:sz="4" w:space="0" w:color="5B9BD5"/>
            </w:tcBorders>
            <w:shd w:val="clear" w:color="auto" w:fill="auto"/>
            <w:noWrap/>
            <w:vAlign w:val="center"/>
            <w:hideMark/>
          </w:tcPr>
          <w:p w:rsidR="003860A3" w:rsidRPr="00EB7184" w:rsidRDefault="003860A3" w:rsidP="00EB7184">
            <w:pPr>
              <w:jc w:val="center"/>
              <w:rPr>
                <w:rFonts w:cs="Calibri"/>
                <w:color w:val="000000"/>
                <w:sz w:val="16"/>
                <w:szCs w:val="16"/>
              </w:rPr>
            </w:pPr>
            <w:r w:rsidRPr="00EB7184">
              <w:rPr>
                <w:rFonts w:cs="Calibri"/>
                <w:color w:val="000000"/>
                <w:sz w:val="16"/>
                <w:szCs w:val="16"/>
              </w:rPr>
              <w:t>0,1</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0,0</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0,0%</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7,7</w:t>
            </w:r>
          </w:p>
        </w:tc>
        <w:tc>
          <w:tcPr>
            <w:tcW w:w="70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0,0%</w:t>
            </w:r>
          </w:p>
        </w:tc>
        <w:tc>
          <w:tcPr>
            <w:tcW w:w="84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7,7</w:t>
            </w:r>
          </w:p>
        </w:tc>
        <w:tc>
          <w:tcPr>
            <w:tcW w:w="71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0,0%</w:t>
            </w:r>
          </w:p>
        </w:tc>
        <w:tc>
          <w:tcPr>
            <w:tcW w:w="838"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0,0</w:t>
            </w:r>
          </w:p>
        </w:tc>
        <w:tc>
          <w:tcPr>
            <w:tcW w:w="72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0,0%</w:t>
            </w:r>
          </w:p>
        </w:tc>
        <w:tc>
          <w:tcPr>
            <w:tcW w:w="850"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2,6</w:t>
            </w:r>
          </w:p>
        </w:tc>
        <w:tc>
          <w:tcPr>
            <w:tcW w:w="71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0,0%</w:t>
            </w:r>
          </w:p>
        </w:tc>
        <w:tc>
          <w:tcPr>
            <w:tcW w:w="851"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2,6</w:t>
            </w:r>
          </w:p>
        </w:tc>
        <w:tc>
          <w:tcPr>
            <w:tcW w:w="699" w:type="dxa"/>
            <w:tcBorders>
              <w:top w:val="nil"/>
              <w:left w:val="nil"/>
              <w:bottom w:val="single" w:sz="4" w:space="0" w:color="5B9BD5"/>
              <w:right w:val="single" w:sz="4" w:space="0" w:color="5B9BD5"/>
            </w:tcBorders>
            <w:shd w:val="clear" w:color="auto" w:fill="auto"/>
            <w:noWrap/>
            <w:vAlign w:val="center"/>
            <w:hideMark/>
          </w:tcPr>
          <w:p w:rsidR="003860A3" w:rsidRPr="00EB7184" w:rsidRDefault="003860A3" w:rsidP="00EB7184">
            <w:pPr>
              <w:jc w:val="center"/>
              <w:rPr>
                <w:rFonts w:cs="Calibri"/>
                <w:i/>
                <w:iCs/>
                <w:color w:val="000000"/>
                <w:sz w:val="16"/>
                <w:szCs w:val="16"/>
              </w:rPr>
            </w:pPr>
            <w:r w:rsidRPr="00EB7184">
              <w:rPr>
                <w:rFonts w:cs="Calibri"/>
                <w:i/>
                <w:iCs/>
                <w:color w:val="000000"/>
                <w:sz w:val="16"/>
                <w:szCs w:val="16"/>
              </w:rPr>
              <w:t>0,0%</w:t>
            </w:r>
          </w:p>
        </w:tc>
      </w:tr>
      <w:tr w:rsidR="003860A3" w:rsidRPr="006E1A9F" w:rsidTr="003B4C2F">
        <w:trPr>
          <w:trHeight w:val="283"/>
        </w:trPr>
        <w:tc>
          <w:tcPr>
            <w:tcW w:w="4536" w:type="dxa"/>
            <w:gridSpan w:val="2"/>
            <w:tcBorders>
              <w:top w:val="single" w:sz="4" w:space="0" w:color="5B9BD5"/>
              <w:left w:val="single" w:sz="4" w:space="0" w:color="5B9BD5"/>
              <w:bottom w:val="single" w:sz="4" w:space="0" w:color="5B9BD5"/>
              <w:right w:val="single" w:sz="4" w:space="0" w:color="5B9BD5"/>
            </w:tcBorders>
            <w:shd w:val="clear" w:color="000000" w:fill="BDD7EE"/>
            <w:noWrap/>
            <w:vAlign w:val="center"/>
            <w:hideMark/>
          </w:tcPr>
          <w:p w:rsidR="003860A3" w:rsidRPr="006E1A9F" w:rsidRDefault="003860A3" w:rsidP="00EB7184">
            <w:pPr>
              <w:jc w:val="center"/>
              <w:rPr>
                <w:rFonts w:cs="Calibri"/>
                <w:b/>
                <w:bCs/>
                <w:color w:val="000000"/>
                <w:sz w:val="18"/>
                <w:szCs w:val="18"/>
              </w:rPr>
            </w:pPr>
            <w:r w:rsidRPr="006E1A9F">
              <w:rPr>
                <w:rFonts w:cs="Calibri"/>
                <w:b/>
                <w:bCs/>
                <w:color w:val="000000"/>
                <w:sz w:val="18"/>
                <w:szCs w:val="18"/>
              </w:rPr>
              <w:t>Total</w:t>
            </w:r>
          </w:p>
        </w:tc>
        <w:tc>
          <w:tcPr>
            <w:tcW w:w="851" w:type="dxa"/>
            <w:tcBorders>
              <w:top w:val="single" w:sz="4" w:space="0" w:color="5B9BD5"/>
              <w:left w:val="nil"/>
              <w:bottom w:val="single" w:sz="4" w:space="0" w:color="5B9BD5"/>
              <w:right w:val="single" w:sz="4" w:space="0" w:color="5B9BD5"/>
            </w:tcBorders>
            <w:shd w:val="clear" w:color="000000" w:fill="BDD7EE"/>
            <w:noWrap/>
            <w:vAlign w:val="center"/>
            <w:hideMark/>
          </w:tcPr>
          <w:p w:rsidR="003860A3" w:rsidRPr="003860A3" w:rsidRDefault="003860A3" w:rsidP="003860A3">
            <w:pPr>
              <w:jc w:val="center"/>
              <w:rPr>
                <w:rFonts w:cs="Calibri"/>
                <w:b/>
                <w:bCs/>
                <w:color w:val="000000"/>
                <w:sz w:val="16"/>
                <w:lang w:val="en-US"/>
              </w:rPr>
            </w:pPr>
            <w:r w:rsidRPr="00EB7184">
              <w:rPr>
                <w:rFonts w:cs="Calibri"/>
                <w:b/>
                <w:bCs/>
                <w:color w:val="000000"/>
                <w:sz w:val="16"/>
              </w:rPr>
              <w:t>11 09</w:t>
            </w:r>
            <w:r>
              <w:rPr>
                <w:rFonts w:cs="Calibri"/>
                <w:b/>
                <w:bCs/>
                <w:color w:val="000000"/>
                <w:sz w:val="16"/>
                <w:lang w:val="en-US"/>
              </w:rPr>
              <w:t>5</w:t>
            </w:r>
            <w:r w:rsidRPr="00EB7184">
              <w:rPr>
                <w:rFonts w:cs="Calibri"/>
                <w:b/>
                <w:bCs/>
                <w:color w:val="000000"/>
                <w:sz w:val="16"/>
              </w:rPr>
              <w:t>,</w:t>
            </w:r>
            <w:r>
              <w:rPr>
                <w:rFonts w:cs="Calibri"/>
                <w:b/>
                <w:bCs/>
                <w:color w:val="000000"/>
                <w:sz w:val="16"/>
                <w:lang w:val="en-US"/>
              </w:rPr>
              <w:t>4</w:t>
            </w:r>
          </w:p>
        </w:tc>
        <w:tc>
          <w:tcPr>
            <w:tcW w:w="850" w:type="dxa"/>
            <w:tcBorders>
              <w:top w:val="single" w:sz="4" w:space="0" w:color="5B9BD5"/>
              <w:left w:val="nil"/>
              <w:bottom w:val="single" w:sz="4" w:space="0" w:color="5B9BD5"/>
              <w:right w:val="single" w:sz="4" w:space="0" w:color="5B9BD5"/>
            </w:tcBorders>
            <w:shd w:val="clear" w:color="000000" w:fill="BDD7EE"/>
            <w:noWrap/>
            <w:vAlign w:val="center"/>
            <w:hideMark/>
          </w:tcPr>
          <w:p w:rsidR="003860A3" w:rsidRPr="00EB7184" w:rsidRDefault="003860A3" w:rsidP="00EB7184">
            <w:pPr>
              <w:jc w:val="center"/>
              <w:rPr>
                <w:rFonts w:cs="Calibri"/>
                <w:b/>
                <w:bCs/>
                <w:color w:val="000000"/>
                <w:sz w:val="16"/>
              </w:rPr>
            </w:pPr>
            <w:r w:rsidRPr="00EB7184">
              <w:rPr>
                <w:rFonts w:cs="Calibri"/>
                <w:b/>
                <w:bCs/>
                <w:color w:val="000000"/>
                <w:sz w:val="16"/>
              </w:rPr>
              <w:t>18 900,8</w:t>
            </w:r>
          </w:p>
        </w:tc>
        <w:tc>
          <w:tcPr>
            <w:tcW w:w="851" w:type="dxa"/>
            <w:tcBorders>
              <w:top w:val="nil"/>
              <w:left w:val="nil"/>
              <w:bottom w:val="single" w:sz="4" w:space="0" w:color="5B9BD5"/>
              <w:right w:val="single" w:sz="4" w:space="0" w:color="5B9BD5"/>
            </w:tcBorders>
            <w:shd w:val="clear" w:color="000000" w:fill="BDD7EE"/>
            <w:noWrap/>
            <w:vAlign w:val="center"/>
            <w:hideMark/>
          </w:tcPr>
          <w:p w:rsidR="003860A3" w:rsidRPr="00EB7184" w:rsidRDefault="003860A3" w:rsidP="00EB7184">
            <w:pPr>
              <w:jc w:val="center"/>
              <w:rPr>
                <w:rFonts w:cs="Calibri"/>
                <w:b/>
                <w:bCs/>
                <w:color w:val="000000"/>
                <w:sz w:val="16"/>
              </w:rPr>
            </w:pPr>
            <w:r w:rsidRPr="00EB7184">
              <w:rPr>
                <w:rFonts w:cs="Calibri"/>
                <w:b/>
                <w:bCs/>
                <w:color w:val="000000"/>
                <w:sz w:val="16"/>
              </w:rPr>
              <w:t>13 664,6</w:t>
            </w:r>
          </w:p>
        </w:tc>
        <w:tc>
          <w:tcPr>
            <w:tcW w:w="709" w:type="dxa"/>
            <w:tcBorders>
              <w:top w:val="nil"/>
              <w:left w:val="nil"/>
              <w:bottom w:val="single" w:sz="4" w:space="0" w:color="5B9BD5"/>
              <w:right w:val="single" w:sz="4" w:space="0" w:color="5B9BD5"/>
            </w:tcBorders>
            <w:shd w:val="clear" w:color="000000" w:fill="BDD7EE"/>
            <w:noWrap/>
            <w:vAlign w:val="center"/>
            <w:hideMark/>
          </w:tcPr>
          <w:p w:rsidR="003860A3" w:rsidRPr="00EB7184" w:rsidRDefault="003860A3" w:rsidP="00EB7184">
            <w:pPr>
              <w:jc w:val="center"/>
              <w:rPr>
                <w:rFonts w:cs="Calibri"/>
                <w:b/>
                <w:bCs/>
                <w:color w:val="000000"/>
                <w:sz w:val="16"/>
              </w:rPr>
            </w:pPr>
            <w:r w:rsidRPr="00EB7184">
              <w:rPr>
                <w:rFonts w:cs="Calibri"/>
                <w:b/>
                <w:bCs/>
                <w:color w:val="000000"/>
                <w:sz w:val="16"/>
              </w:rPr>
              <w:t>100%</w:t>
            </w:r>
          </w:p>
        </w:tc>
        <w:tc>
          <w:tcPr>
            <w:tcW w:w="850" w:type="dxa"/>
            <w:tcBorders>
              <w:top w:val="nil"/>
              <w:left w:val="nil"/>
              <w:bottom w:val="single" w:sz="4" w:space="0" w:color="5B9BD5"/>
              <w:right w:val="single" w:sz="4" w:space="0" w:color="5B9BD5"/>
            </w:tcBorders>
            <w:shd w:val="clear" w:color="000000" w:fill="BDD7EE"/>
            <w:noWrap/>
            <w:vAlign w:val="center"/>
            <w:hideMark/>
          </w:tcPr>
          <w:p w:rsidR="003860A3" w:rsidRPr="00EB7184" w:rsidRDefault="003860A3" w:rsidP="00EB7184">
            <w:pPr>
              <w:jc w:val="center"/>
              <w:rPr>
                <w:rFonts w:cs="Calibri"/>
                <w:b/>
                <w:bCs/>
                <w:color w:val="000000"/>
                <w:sz w:val="16"/>
              </w:rPr>
            </w:pPr>
            <w:r w:rsidRPr="00EB7184">
              <w:rPr>
                <w:rFonts w:cs="Calibri"/>
                <w:b/>
                <w:bCs/>
                <w:color w:val="000000"/>
                <w:sz w:val="16"/>
              </w:rPr>
              <w:t>22 487,3</w:t>
            </w:r>
          </w:p>
        </w:tc>
        <w:tc>
          <w:tcPr>
            <w:tcW w:w="709" w:type="dxa"/>
            <w:tcBorders>
              <w:top w:val="nil"/>
              <w:left w:val="nil"/>
              <w:bottom w:val="single" w:sz="4" w:space="0" w:color="5B9BD5"/>
              <w:right w:val="single" w:sz="4" w:space="0" w:color="5B9BD5"/>
            </w:tcBorders>
            <w:shd w:val="clear" w:color="000000" w:fill="BDD7EE"/>
            <w:noWrap/>
            <w:vAlign w:val="center"/>
            <w:hideMark/>
          </w:tcPr>
          <w:p w:rsidR="003860A3" w:rsidRPr="00EB7184" w:rsidRDefault="003860A3" w:rsidP="00EB7184">
            <w:pPr>
              <w:jc w:val="center"/>
              <w:rPr>
                <w:rFonts w:cs="Calibri"/>
                <w:b/>
                <w:bCs/>
                <w:color w:val="000000"/>
                <w:sz w:val="16"/>
              </w:rPr>
            </w:pPr>
            <w:r w:rsidRPr="00EB7184">
              <w:rPr>
                <w:rFonts w:cs="Calibri"/>
                <w:b/>
                <w:bCs/>
                <w:color w:val="000000"/>
                <w:sz w:val="16"/>
              </w:rPr>
              <w:t>100%</w:t>
            </w:r>
          </w:p>
        </w:tc>
        <w:tc>
          <w:tcPr>
            <w:tcW w:w="849" w:type="dxa"/>
            <w:tcBorders>
              <w:top w:val="nil"/>
              <w:left w:val="nil"/>
              <w:bottom w:val="single" w:sz="4" w:space="0" w:color="5B9BD5"/>
              <w:right w:val="single" w:sz="4" w:space="0" w:color="5B9BD5"/>
            </w:tcBorders>
            <w:shd w:val="clear" w:color="000000" w:fill="BDD7EE"/>
            <w:noWrap/>
            <w:vAlign w:val="center"/>
            <w:hideMark/>
          </w:tcPr>
          <w:p w:rsidR="003860A3" w:rsidRPr="00EB7184" w:rsidRDefault="003860A3" w:rsidP="00EB7184">
            <w:pPr>
              <w:jc w:val="center"/>
              <w:rPr>
                <w:rFonts w:cs="Calibri"/>
                <w:b/>
                <w:bCs/>
                <w:color w:val="000000"/>
                <w:sz w:val="16"/>
              </w:rPr>
            </w:pPr>
            <w:r w:rsidRPr="00EB7184">
              <w:rPr>
                <w:rFonts w:cs="Calibri"/>
                <w:b/>
                <w:bCs/>
                <w:color w:val="000000"/>
                <w:sz w:val="16"/>
              </w:rPr>
              <w:t>36 151,9</w:t>
            </w:r>
          </w:p>
        </w:tc>
        <w:tc>
          <w:tcPr>
            <w:tcW w:w="710" w:type="dxa"/>
            <w:tcBorders>
              <w:top w:val="nil"/>
              <w:left w:val="nil"/>
              <w:bottom w:val="single" w:sz="4" w:space="0" w:color="5B9BD5"/>
              <w:right w:val="single" w:sz="4" w:space="0" w:color="5B9BD5"/>
            </w:tcBorders>
            <w:shd w:val="clear" w:color="000000" w:fill="BDD7EE"/>
            <w:noWrap/>
            <w:vAlign w:val="center"/>
            <w:hideMark/>
          </w:tcPr>
          <w:p w:rsidR="003860A3" w:rsidRPr="00EB7184" w:rsidRDefault="003860A3" w:rsidP="00EB7184">
            <w:pPr>
              <w:jc w:val="center"/>
              <w:rPr>
                <w:rFonts w:cs="Calibri"/>
                <w:b/>
                <w:bCs/>
                <w:color w:val="000000"/>
                <w:sz w:val="16"/>
              </w:rPr>
            </w:pPr>
            <w:r w:rsidRPr="00EB7184">
              <w:rPr>
                <w:rFonts w:cs="Calibri"/>
                <w:b/>
                <w:bCs/>
                <w:color w:val="000000"/>
                <w:sz w:val="16"/>
              </w:rPr>
              <w:t>100%</w:t>
            </w:r>
          </w:p>
        </w:tc>
        <w:tc>
          <w:tcPr>
            <w:tcW w:w="838" w:type="dxa"/>
            <w:tcBorders>
              <w:top w:val="nil"/>
              <w:left w:val="nil"/>
              <w:bottom w:val="single" w:sz="4" w:space="0" w:color="5B9BD5"/>
              <w:right w:val="single" w:sz="4" w:space="0" w:color="5B9BD5"/>
            </w:tcBorders>
            <w:shd w:val="clear" w:color="000000" w:fill="BDD7EE"/>
            <w:noWrap/>
            <w:vAlign w:val="center"/>
            <w:hideMark/>
          </w:tcPr>
          <w:p w:rsidR="003860A3" w:rsidRPr="00EB7184" w:rsidRDefault="003860A3" w:rsidP="00EB7184">
            <w:pPr>
              <w:jc w:val="center"/>
              <w:rPr>
                <w:rFonts w:cs="Calibri"/>
                <w:b/>
                <w:bCs/>
                <w:color w:val="000000"/>
                <w:sz w:val="16"/>
              </w:rPr>
            </w:pPr>
            <w:r w:rsidRPr="00EB7184">
              <w:rPr>
                <w:rFonts w:cs="Calibri"/>
                <w:b/>
                <w:bCs/>
                <w:color w:val="000000"/>
                <w:sz w:val="16"/>
              </w:rPr>
              <w:t>12 779,2</w:t>
            </w:r>
          </w:p>
        </w:tc>
        <w:tc>
          <w:tcPr>
            <w:tcW w:w="721" w:type="dxa"/>
            <w:tcBorders>
              <w:top w:val="nil"/>
              <w:left w:val="nil"/>
              <w:bottom w:val="single" w:sz="4" w:space="0" w:color="5B9BD5"/>
              <w:right w:val="single" w:sz="4" w:space="0" w:color="5B9BD5"/>
            </w:tcBorders>
            <w:shd w:val="clear" w:color="000000" w:fill="BDD7EE"/>
            <w:noWrap/>
            <w:vAlign w:val="center"/>
            <w:hideMark/>
          </w:tcPr>
          <w:p w:rsidR="003860A3" w:rsidRPr="00EB7184" w:rsidRDefault="003860A3" w:rsidP="00EB7184">
            <w:pPr>
              <w:jc w:val="center"/>
              <w:rPr>
                <w:rFonts w:cs="Calibri"/>
                <w:b/>
                <w:bCs/>
                <w:color w:val="000000"/>
                <w:sz w:val="16"/>
              </w:rPr>
            </w:pPr>
            <w:r w:rsidRPr="00EB7184">
              <w:rPr>
                <w:rFonts w:cs="Calibri"/>
                <w:b/>
                <w:bCs/>
                <w:color w:val="000000"/>
                <w:sz w:val="16"/>
              </w:rPr>
              <w:t>100%</w:t>
            </w:r>
          </w:p>
        </w:tc>
        <w:tc>
          <w:tcPr>
            <w:tcW w:w="850" w:type="dxa"/>
            <w:tcBorders>
              <w:top w:val="nil"/>
              <w:left w:val="nil"/>
              <w:bottom w:val="single" w:sz="4" w:space="0" w:color="5B9BD5"/>
              <w:right w:val="single" w:sz="4" w:space="0" w:color="5B9BD5"/>
            </w:tcBorders>
            <w:shd w:val="clear" w:color="000000" w:fill="BDD7EE"/>
            <w:noWrap/>
            <w:vAlign w:val="center"/>
            <w:hideMark/>
          </w:tcPr>
          <w:p w:rsidR="003860A3" w:rsidRPr="00EB7184" w:rsidRDefault="003860A3" w:rsidP="00EB7184">
            <w:pPr>
              <w:jc w:val="center"/>
              <w:rPr>
                <w:rFonts w:cs="Calibri"/>
                <w:b/>
                <w:bCs/>
                <w:color w:val="000000"/>
                <w:sz w:val="16"/>
              </w:rPr>
            </w:pPr>
            <w:r w:rsidRPr="00EB7184">
              <w:rPr>
                <w:rFonts w:cs="Calibri"/>
                <w:b/>
                <w:bCs/>
                <w:color w:val="000000"/>
                <w:sz w:val="16"/>
              </w:rPr>
              <w:t>20 520,6</w:t>
            </w:r>
          </w:p>
        </w:tc>
        <w:tc>
          <w:tcPr>
            <w:tcW w:w="719" w:type="dxa"/>
            <w:tcBorders>
              <w:top w:val="nil"/>
              <w:left w:val="nil"/>
              <w:bottom w:val="single" w:sz="4" w:space="0" w:color="5B9BD5"/>
              <w:right w:val="single" w:sz="4" w:space="0" w:color="5B9BD5"/>
            </w:tcBorders>
            <w:shd w:val="clear" w:color="000000" w:fill="BDD7EE"/>
            <w:noWrap/>
            <w:vAlign w:val="center"/>
            <w:hideMark/>
          </w:tcPr>
          <w:p w:rsidR="003860A3" w:rsidRPr="00EB7184" w:rsidRDefault="003860A3" w:rsidP="00EB7184">
            <w:pPr>
              <w:jc w:val="center"/>
              <w:rPr>
                <w:rFonts w:cs="Calibri"/>
                <w:b/>
                <w:bCs/>
                <w:color w:val="000000"/>
                <w:sz w:val="16"/>
              </w:rPr>
            </w:pPr>
            <w:r w:rsidRPr="00EB7184">
              <w:rPr>
                <w:rFonts w:cs="Calibri"/>
                <w:b/>
                <w:bCs/>
                <w:color w:val="000000"/>
                <w:sz w:val="16"/>
              </w:rPr>
              <w:t>100%</w:t>
            </w:r>
          </w:p>
        </w:tc>
        <w:tc>
          <w:tcPr>
            <w:tcW w:w="851" w:type="dxa"/>
            <w:tcBorders>
              <w:top w:val="nil"/>
              <w:left w:val="nil"/>
              <w:bottom w:val="single" w:sz="4" w:space="0" w:color="5B9BD5"/>
              <w:right w:val="single" w:sz="4" w:space="0" w:color="5B9BD5"/>
            </w:tcBorders>
            <w:shd w:val="clear" w:color="000000" w:fill="BDD7EE"/>
            <w:noWrap/>
            <w:vAlign w:val="center"/>
            <w:hideMark/>
          </w:tcPr>
          <w:p w:rsidR="003860A3" w:rsidRPr="00EB7184" w:rsidRDefault="003860A3" w:rsidP="00EB7184">
            <w:pPr>
              <w:jc w:val="center"/>
              <w:rPr>
                <w:rFonts w:cs="Calibri"/>
                <w:b/>
                <w:bCs/>
                <w:color w:val="000000"/>
                <w:sz w:val="16"/>
              </w:rPr>
            </w:pPr>
            <w:r w:rsidRPr="00EB7184">
              <w:rPr>
                <w:rFonts w:cs="Calibri"/>
                <w:b/>
                <w:bCs/>
                <w:color w:val="000000"/>
                <w:sz w:val="16"/>
              </w:rPr>
              <w:t>33 299,8</w:t>
            </w:r>
          </w:p>
        </w:tc>
        <w:tc>
          <w:tcPr>
            <w:tcW w:w="699" w:type="dxa"/>
            <w:tcBorders>
              <w:top w:val="nil"/>
              <w:left w:val="nil"/>
              <w:bottom w:val="single" w:sz="4" w:space="0" w:color="5B9BD5"/>
              <w:right w:val="single" w:sz="4" w:space="0" w:color="5B9BD5"/>
            </w:tcBorders>
            <w:shd w:val="clear" w:color="000000" w:fill="BDD7EE"/>
            <w:noWrap/>
            <w:vAlign w:val="center"/>
            <w:hideMark/>
          </w:tcPr>
          <w:p w:rsidR="003860A3" w:rsidRPr="00EB7184" w:rsidRDefault="003860A3" w:rsidP="00EB7184">
            <w:pPr>
              <w:jc w:val="center"/>
              <w:rPr>
                <w:rFonts w:cs="Calibri"/>
                <w:b/>
                <w:bCs/>
                <w:color w:val="000000"/>
                <w:sz w:val="16"/>
              </w:rPr>
            </w:pPr>
            <w:r w:rsidRPr="00EB7184">
              <w:rPr>
                <w:rFonts w:cs="Calibri"/>
                <w:b/>
                <w:bCs/>
                <w:color w:val="000000"/>
                <w:sz w:val="16"/>
              </w:rPr>
              <w:t>100%</w:t>
            </w:r>
          </w:p>
        </w:tc>
      </w:tr>
    </w:tbl>
    <w:p w:rsidR="009B676C" w:rsidRPr="00F45A80" w:rsidRDefault="00840920" w:rsidP="009B676C">
      <w:pPr>
        <w:tabs>
          <w:tab w:val="left" w:pos="1428"/>
        </w:tabs>
        <w:rPr>
          <w:i/>
          <w:sz w:val="20"/>
          <w:szCs w:val="20"/>
          <w:lang w:val="en-US"/>
        </w:rPr>
      </w:pPr>
      <w:r w:rsidRPr="00F45A80">
        <w:rPr>
          <w:rFonts w:cs="Calibri"/>
          <w:i/>
          <w:sz w:val="20"/>
          <w:szCs w:val="20"/>
          <w:lang w:val="en-US"/>
        </w:rPr>
        <w:t xml:space="preserve"> </w:t>
      </w:r>
      <w:r w:rsidR="008634C9" w:rsidRPr="00F45A80">
        <w:rPr>
          <w:rFonts w:cs="Calibri"/>
          <w:i/>
          <w:sz w:val="20"/>
          <w:szCs w:val="20"/>
          <w:lang w:val="en-US"/>
        </w:rPr>
        <w:t>*</w:t>
      </w:r>
      <w:r w:rsidR="008634C9" w:rsidRPr="00F45A80">
        <w:rPr>
          <w:rFonts w:cs="Calibri"/>
          <w:i/>
          <w:iCs/>
          <w:color w:val="000000"/>
          <w:sz w:val="20"/>
          <w:szCs w:val="20"/>
          <w:lang w:val="en-US"/>
        </w:rPr>
        <w:t>Concentration coefficient is calculated as square root of the sum of the squares of exports/imports ratios of individual product groups to their total volumes. Coefficient growth means increase of certain product groups in total volume</w:t>
      </w:r>
      <w:r w:rsidR="008634C9" w:rsidRPr="00F45A80">
        <w:rPr>
          <w:rFonts w:cs="Calibri"/>
          <w:i/>
          <w:sz w:val="20"/>
          <w:szCs w:val="20"/>
          <w:lang w:val="en-US"/>
        </w:rPr>
        <w:t>.</w:t>
      </w:r>
    </w:p>
    <w:p w:rsidR="007D34F7" w:rsidRPr="00F45A80" w:rsidRDefault="007D34F7" w:rsidP="00AE3756">
      <w:pPr>
        <w:jc w:val="right"/>
        <w:rPr>
          <w:rFonts w:cs="Arial"/>
          <w:lang w:val="en-US"/>
        </w:rPr>
        <w:sectPr w:rsidR="007D34F7" w:rsidRPr="00F45A80" w:rsidSect="00EC0010">
          <w:pgSz w:w="16838" w:h="11906" w:orient="landscape"/>
          <w:pgMar w:top="1134" w:right="1134" w:bottom="1134" w:left="1134" w:header="709" w:footer="709" w:gutter="0"/>
          <w:cols w:space="708"/>
          <w:docGrid w:linePitch="360"/>
        </w:sectPr>
      </w:pPr>
    </w:p>
    <w:p w:rsidR="002F3AD6" w:rsidRPr="001D337D" w:rsidRDefault="008634C9" w:rsidP="003B4C2F">
      <w:pPr>
        <w:spacing w:before="120" w:after="240" w:line="360" w:lineRule="auto"/>
        <w:ind w:right="-59"/>
        <w:jc w:val="right"/>
        <w:rPr>
          <w:i/>
          <w:sz w:val="22"/>
          <w:szCs w:val="22"/>
          <w:lang w:val="en-US"/>
        </w:rPr>
      </w:pPr>
      <w:r w:rsidRPr="001D337D">
        <w:rPr>
          <w:i/>
          <w:sz w:val="22"/>
          <w:szCs w:val="22"/>
          <w:lang w:val="en-US"/>
        </w:rPr>
        <w:lastRenderedPageBreak/>
        <w:t>Addenda</w:t>
      </w:r>
      <w:r w:rsidR="002F3AD6" w:rsidRPr="001D337D">
        <w:rPr>
          <w:i/>
          <w:sz w:val="22"/>
          <w:szCs w:val="22"/>
          <w:lang w:val="en-US"/>
        </w:rPr>
        <w:t xml:space="preserve"> </w:t>
      </w:r>
      <w:r w:rsidR="000161BB">
        <w:rPr>
          <w:i/>
          <w:sz w:val="22"/>
          <w:szCs w:val="22"/>
          <w:lang w:val="en-US"/>
        </w:rPr>
        <w:t>6</w:t>
      </w:r>
      <w:r w:rsidR="00AE3756" w:rsidRPr="001D337D">
        <w:rPr>
          <w:i/>
          <w:sz w:val="22"/>
          <w:szCs w:val="22"/>
          <w:lang w:val="en-US"/>
        </w:rPr>
        <w:t>.1</w:t>
      </w:r>
    </w:p>
    <w:p w:rsidR="00AE3756" w:rsidRPr="005D7492" w:rsidRDefault="008634C9" w:rsidP="00A977FE">
      <w:pPr>
        <w:pStyle w:val="1"/>
        <w:ind w:left="0"/>
        <w:jc w:val="center"/>
        <w:rPr>
          <w:rFonts w:ascii="Calibri" w:hAnsi="Calibri" w:cs="Calibri"/>
          <w:sz w:val="24"/>
          <w:szCs w:val="24"/>
          <w:lang w:val="en-US"/>
        </w:rPr>
      </w:pPr>
      <w:bookmarkStart w:id="27" w:name="_Toc67050805"/>
      <w:r w:rsidRPr="003B4C2F">
        <w:rPr>
          <w:rFonts w:ascii="Calibri" w:hAnsi="Calibri" w:cs="Calibri"/>
          <w:sz w:val="24"/>
          <w:szCs w:val="24"/>
          <w:lang w:val="en-US"/>
        </w:rPr>
        <w:t xml:space="preserve">EXPORTED GOODS WITH HIGH COEFFICIENT OF PRODUCT CONCENTRATION </w:t>
      </w:r>
      <w:r w:rsidR="00066516" w:rsidRPr="003B4C2F">
        <w:rPr>
          <w:rFonts w:ascii="Calibri" w:hAnsi="Calibri" w:cs="Calibri"/>
          <w:sz w:val="24"/>
          <w:szCs w:val="24"/>
          <w:lang w:val="en-US"/>
        </w:rPr>
        <w:br/>
      </w:r>
      <w:r w:rsidR="00FE4E34" w:rsidRPr="003B4C2F">
        <w:rPr>
          <w:rFonts w:ascii="Calibri" w:hAnsi="Calibri" w:cs="Calibri"/>
          <w:sz w:val="24"/>
          <w:szCs w:val="24"/>
          <w:lang w:val="en-US"/>
        </w:rPr>
        <w:t xml:space="preserve">FOR </w:t>
      </w:r>
      <w:r w:rsidR="00320FFF" w:rsidRPr="003B4C2F">
        <w:rPr>
          <w:rFonts w:ascii="Calibri" w:hAnsi="Calibri" w:cs="Calibri"/>
          <w:sz w:val="24"/>
          <w:szCs w:val="24"/>
          <w:lang w:val="en-US"/>
        </w:rPr>
        <w:t>201</w:t>
      </w:r>
      <w:r w:rsidR="00793D44" w:rsidRPr="003B4C2F">
        <w:rPr>
          <w:rFonts w:ascii="Calibri" w:hAnsi="Calibri" w:cs="Calibri"/>
          <w:sz w:val="24"/>
          <w:szCs w:val="24"/>
          <w:lang w:val="en-US"/>
        </w:rPr>
        <w:t>8</w:t>
      </w:r>
      <w:r w:rsidR="003B4C2F" w:rsidRPr="003B4C2F">
        <w:rPr>
          <w:rFonts w:ascii="Calibri" w:hAnsi="Calibri" w:cs="Calibri"/>
          <w:sz w:val="24"/>
          <w:szCs w:val="24"/>
          <w:lang w:val="en-US"/>
        </w:rPr>
        <w:t xml:space="preserve"> </w:t>
      </w:r>
      <w:r w:rsidR="00B33C6E">
        <w:rPr>
          <w:rFonts w:ascii="Calibri" w:hAnsi="Calibri" w:cs="Calibri"/>
          <w:sz w:val="24"/>
          <w:szCs w:val="24"/>
          <w:lang w:val="en-US"/>
        </w:rPr>
        <w:t>AND</w:t>
      </w:r>
      <w:r w:rsidR="003B4C2F" w:rsidRPr="003B4C2F">
        <w:rPr>
          <w:rFonts w:ascii="Calibri" w:hAnsi="Calibri" w:cs="Calibri"/>
          <w:sz w:val="24"/>
          <w:szCs w:val="24"/>
          <w:lang w:val="en-US"/>
        </w:rPr>
        <w:t xml:space="preserve"> </w:t>
      </w:r>
      <w:r w:rsidR="005D7492" w:rsidRPr="003B4C2F">
        <w:rPr>
          <w:rFonts w:ascii="Calibri" w:hAnsi="Calibri" w:cs="Calibri"/>
          <w:sz w:val="24"/>
          <w:szCs w:val="24"/>
          <w:lang w:val="en-US"/>
        </w:rPr>
        <w:t>2020</w:t>
      </w:r>
      <w:bookmarkEnd w:id="27"/>
    </w:p>
    <w:p w:rsidR="00AE3756" w:rsidRPr="00F45A80" w:rsidRDefault="00585EBB" w:rsidP="003B4C2F">
      <w:pPr>
        <w:tabs>
          <w:tab w:val="left" w:pos="1428"/>
        </w:tabs>
        <w:ind w:right="-59"/>
        <w:jc w:val="right"/>
        <w:rPr>
          <w:i/>
          <w:sz w:val="20"/>
          <w:szCs w:val="20"/>
          <w:lang w:val="en-US"/>
        </w:rPr>
      </w:pPr>
      <w:r w:rsidRPr="00F45A80">
        <w:rPr>
          <w:i/>
          <w:sz w:val="20"/>
          <w:szCs w:val="20"/>
          <w:lang w:val="en-US"/>
        </w:rPr>
        <w:t>(</w:t>
      </w:r>
      <w:r w:rsidR="008634C9" w:rsidRPr="00F45A80">
        <w:rPr>
          <w:i/>
          <w:sz w:val="20"/>
          <w:szCs w:val="20"/>
          <w:lang w:val="en-US"/>
        </w:rPr>
        <w:t>mln</w:t>
      </w:r>
      <w:r w:rsidR="00AE3756" w:rsidRPr="00F45A80">
        <w:rPr>
          <w:i/>
          <w:sz w:val="20"/>
          <w:szCs w:val="20"/>
          <w:lang w:val="en-US"/>
        </w:rPr>
        <w:t xml:space="preserve">. </w:t>
      </w:r>
      <w:r w:rsidR="008634C9" w:rsidRPr="00F45A80">
        <w:rPr>
          <w:i/>
          <w:sz w:val="20"/>
          <w:szCs w:val="20"/>
          <w:lang w:val="en-US"/>
        </w:rPr>
        <w:t>USD</w:t>
      </w:r>
      <w:r w:rsidRPr="00F45A80">
        <w:rPr>
          <w:i/>
          <w:sz w:val="20"/>
          <w:szCs w:val="20"/>
          <w:lang w:val="en-US"/>
        </w:rPr>
        <w:t>)</w:t>
      </w:r>
    </w:p>
    <w:tbl>
      <w:tblPr>
        <w:tblW w:w="15024" w:type="dxa"/>
        <w:tblInd w:w="-147" w:type="dxa"/>
        <w:tblLook w:val="04A0" w:firstRow="1" w:lastRow="0" w:firstColumn="1" w:lastColumn="0" w:noHBand="0" w:noVBand="1"/>
      </w:tblPr>
      <w:tblGrid>
        <w:gridCol w:w="767"/>
        <w:gridCol w:w="4473"/>
        <w:gridCol w:w="981"/>
        <w:gridCol w:w="978"/>
        <w:gridCol w:w="879"/>
        <w:gridCol w:w="822"/>
        <w:gridCol w:w="850"/>
        <w:gridCol w:w="851"/>
        <w:gridCol w:w="1023"/>
        <w:gridCol w:w="850"/>
        <w:gridCol w:w="850"/>
        <w:gridCol w:w="850"/>
        <w:gridCol w:w="850"/>
      </w:tblGrid>
      <w:tr w:rsidR="003B4C2F" w:rsidRPr="00793D44" w:rsidTr="00CB3A9B">
        <w:trPr>
          <w:trHeight w:val="315"/>
          <w:tblHeader/>
        </w:trPr>
        <w:tc>
          <w:tcPr>
            <w:tcW w:w="767" w:type="dxa"/>
            <w:vMerge w:val="restart"/>
            <w:tcBorders>
              <w:top w:val="single" w:sz="4" w:space="0" w:color="5B9BD5"/>
              <w:left w:val="single" w:sz="4" w:space="0" w:color="5B9BD5"/>
              <w:bottom w:val="single" w:sz="4" w:space="0" w:color="5B9BD5"/>
              <w:right w:val="single" w:sz="4" w:space="0" w:color="5B9BD5"/>
            </w:tcBorders>
            <w:shd w:val="clear" w:color="auto" w:fill="auto"/>
            <w:vAlign w:val="center"/>
            <w:hideMark/>
          </w:tcPr>
          <w:p w:rsidR="003B4C2F" w:rsidRPr="00793D44" w:rsidRDefault="003B4C2F" w:rsidP="00793D44">
            <w:pPr>
              <w:jc w:val="center"/>
              <w:rPr>
                <w:rFonts w:cs="Calibri"/>
                <w:b/>
                <w:bCs/>
                <w:color w:val="000000"/>
                <w:sz w:val="18"/>
                <w:szCs w:val="18"/>
              </w:rPr>
            </w:pPr>
            <w:r w:rsidRPr="00793D44">
              <w:rPr>
                <w:rFonts w:cs="Calibri"/>
                <w:b/>
                <w:bCs/>
                <w:color w:val="000000"/>
                <w:sz w:val="18"/>
                <w:szCs w:val="18"/>
              </w:rPr>
              <w:t>Section</w:t>
            </w:r>
          </w:p>
        </w:tc>
        <w:tc>
          <w:tcPr>
            <w:tcW w:w="4473" w:type="dxa"/>
            <w:vMerge w:val="restart"/>
            <w:tcBorders>
              <w:top w:val="single" w:sz="4" w:space="0" w:color="5B9BD5"/>
              <w:left w:val="single" w:sz="4" w:space="0" w:color="5B9BD5"/>
              <w:bottom w:val="single" w:sz="4" w:space="0" w:color="5B9BD5"/>
              <w:right w:val="single" w:sz="4" w:space="0" w:color="5B9BD5"/>
            </w:tcBorders>
            <w:shd w:val="clear" w:color="auto" w:fill="auto"/>
            <w:vAlign w:val="center"/>
            <w:hideMark/>
          </w:tcPr>
          <w:p w:rsidR="003B4C2F" w:rsidRPr="00793D44" w:rsidRDefault="003B4C2F" w:rsidP="00793D44">
            <w:pPr>
              <w:jc w:val="center"/>
              <w:rPr>
                <w:rFonts w:cs="Calibri"/>
                <w:b/>
                <w:bCs/>
                <w:color w:val="000000"/>
                <w:sz w:val="18"/>
                <w:szCs w:val="18"/>
              </w:rPr>
            </w:pPr>
            <w:r w:rsidRPr="00793D44">
              <w:rPr>
                <w:rFonts w:cs="Calibri"/>
                <w:b/>
                <w:bCs/>
                <w:color w:val="000000"/>
                <w:sz w:val="18"/>
                <w:szCs w:val="18"/>
              </w:rPr>
              <w:t>Name of product groups</w:t>
            </w:r>
          </w:p>
        </w:tc>
        <w:tc>
          <w:tcPr>
            <w:tcW w:w="981" w:type="dxa"/>
            <w:vMerge w:val="restart"/>
            <w:tcBorders>
              <w:top w:val="single" w:sz="4" w:space="0" w:color="5B9BD5"/>
              <w:left w:val="single" w:sz="4" w:space="0" w:color="5B9BD5"/>
              <w:bottom w:val="single" w:sz="4" w:space="0" w:color="5B9BD5"/>
              <w:right w:val="single" w:sz="4" w:space="0" w:color="5B9BD5"/>
            </w:tcBorders>
            <w:shd w:val="clear" w:color="auto" w:fill="auto"/>
            <w:vAlign w:val="center"/>
            <w:hideMark/>
          </w:tcPr>
          <w:p w:rsidR="003B4C2F" w:rsidRPr="00793D44" w:rsidRDefault="003B4C2F" w:rsidP="00793D44">
            <w:pPr>
              <w:jc w:val="center"/>
              <w:rPr>
                <w:rFonts w:cs="Calibri"/>
                <w:b/>
                <w:bCs/>
                <w:color w:val="000000"/>
                <w:sz w:val="18"/>
                <w:szCs w:val="18"/>
              </w:rPr>
            </w:pPr>
            <w:r w:rsidRPr="00793D44">
              <w:rPr>
                <w:rFonts w:cs="Calibri"/>
                <w:b/>
                <w:bCs/>
                <w:color w:val="000000"/>
                <w:sz w:val="18"/>
                <w:szCs w:val="18"/>
              </w:rPr>
              <w:t>For 2018</w:t>
            </w:r>
          </w:p>
        </w:tc>
        <w:tc>
          <w:tcPr>
            <w:tcW w:w="978" w:type="dxa"/>
            <w:vMerge w:val="restart"/>
            <w:tcBorders>
              <w:top w:val="single" w:sz="4" w:space="0" w:color="5B9BD5"/>
              <w:left w:val="single" w:sz="4" w:space="0" w:color="5B9BD5"/>
              <w:bottom w:val="single" w:sz="4" w:space="0" w:color="5B9BD5"/>
              <w:right w:val="single" w:sz="4" w:space="0" w:color="5B9BD5"/>
            </w:tcBorders>
            <w:shd w:val="clear" w:color="auto" w:fill="auto"/>
            <w:vAlign w:val="center"/>
            <w:hideMark/>
          </w:tcPr>
          <w:p w:rsidR="003B4C2F" w:rsidRPr="00793D44" w:rsidRDefault="003B4C2F" w:rsidP="00793D44">
            <w:pPr>
              <w:jc w:val="center"/>
              <w:rPr>
                <w:rFonts w:cs="Calibri"/>
                <w:b/>
                <w:bCs/>
                <w:color w:val="000000"/>
                <w:sz w:val="18"/>
                <w:szCs w:val="18"/>
              </w:rPr>
            </w:pPr>
            <w:r w:rsidRPr="00793D44">
              <w:rPr>
                <w:rFonts w:cs="Calibri"/>
                <w:b/>
                <w:bCs/>
                <w:color w:val="000000"/>
                <w:sz w:val="18"/>
                <w:szCs w:val="18"/>
              </w:rPr>
              <w:t>For 2019</w:t>
            </w:r>
          </w:p>
        </w:tc>
        <w:tc>
          <w:tcPr>
            <w:tcW w:w="3402" w:type="dxa"/>
            <w:gridSpan w:val="4"/>
            <w:tcBorders>
              <w:top w:val="single" w:sz="4" w:space="0" w:color="5B9BD5"/>
              <w:left w:val="nil"/>
              <w:bottom w:val="single" w:sz="4" w:space="0" w:color="5B9BD5"/>
              <w:right w:val="single" w:sz="4" w:space="0" w:color="5B9BD5"/>
            </w:tcBorders>
            <w:shd w:val="clear" w:color="auto" w:fill="auto"/>
            <w:noWrap/>
            <w:vAlign w:val="center"/>
            <w:hideMark/>
          </w:tcPr>
          <w:p w:rsidR="003B4C2F" w:rsidRPr="00793D44" w:rsidRDefault="003B4C2F" w:rsidP="00793D44">
            <w:pPr>
              <w:jc w:val="center"/>
              <w:rPr>
                <w:rFonts w:cs="Calibri"/>
                <w:b/>
                <w:bCs/>
                <w:color w:val="000000"/>
                <w:sz w:val="18"/>
                <w:szCs w:val="18"/>
              </w:rPr>
            </w:pPr>
            <w:r w:rsidRPr="00793D44">
              <w:rPr>
                <w:rFonts w:cs="Calibri"/>
                <w:b/>
                <w:bCs/>
                <w:color w:val="000000"/>
                <w:sz w:val="18"/>
                <w:szCs w:val="18"/>
              </w:rPr>
              <w:t>2019</w:t>
            </w:r>
          </w:p>
        </w:tc>
        <w:tc>
          <w:tcPr>
            <w:tcW w:w="1023" w:type="dxa"/>
            <w:vMerge w:val="restart"/>
            <w:tcBorders>
              <w:top w:val="single" w:sz="4" w:space="0" w:color="5B9BD5"/>
              <w:left w:val="single" w:sz="4" w:space="0" w:color="5B9BD5"/>
              <w:right w:val="single" w:sz="4" w:space="0" w:color="5B9BD5"/>
            </w:tcBorders>
            <w:shd w:val="clear" w:color="auto" w:fill="auto"/>
            <w:vAlign w:val="center"/>
            <w:hideMark/>
          </w:tcPr>
          <w:p w:rsidR="003B4C2F" w:rsidRPr="00793D44" w:rsidRDefault="003B4C2F" w:rsidP="00793D44">
            <w:pPr>
              <w:jc w:val="center"/>
              <w:rPr>
                <w:rFonts w:cs="Calibri"/>
                <w:b/>
                <w:bCs/>
                <w:color w:val="000000"/>
                <w:sz w:val="18"/>
                <w:szCs w:val="18"/>
              </w:rPr>
            </w:pPr>
            <w:r w:rsidRPr="00793D44">
              <w:rPr>
                <w:rFonts w:cs="Calibri"/>
                <w:b/>
                <w:bCs/>
                <w:color w:val="000000"/>
                <w:sz w:val="18"/>
                <w:szCs w:val="18"/>
              </w:rPr>
              <w:t>For 2020</w:t>
            </w:r>
          </w:p>
        </w:tc>
        <w:tc>
          <w:tcPr>
            <w:tcW w:w="3400" w:type="dxa"/>
            <w:gridSpan w:val="4"/>
            <w:tcBorders>
              <w:top w:val="single" w:sz="4" w:space="0" w:color="5B9BD5"/>
              <w:left w:val="nil"/>
              <w:bottom w:val="single" w:sz="4" w:space="0" w:color="5B9BD5"/>
              <w:right w:val="single" w:sz="4" w:space="0" w:color="5B9BD5"/>
            </w:tcBorders>
            <w:shd w:val="clear" w:color="auto" w:fill="auto"/>
            <w:noWrap/>
            <w:vAlign w:val="center"/>
            <w:hideMark/>
          </w:tcPr>
          <w:p w:rsidR="003B4C2F" w:rsidRPr="00793D44" w:rsidRDefault="003B4C2F" w:rsidP="00793D44">
            <w:pPr>
              <w:jc w:val="center"/>
              <w:rPr>
                <w:rFonts w:cs="Calibri"/>
                <w:b/>
                <w:bCs/>
                <w:color w:val="000000"/>
                <w:sz w:val="18"/>
                <w:szCs w:val="18"/>
              </w:rPr>
            </w:pPr>
            <w:r w:rsidRPr="00793D44">
              <w:rPr>
                <w:rFonts w:cs="Calibri"/>
                <w:b/>
                <w:bCs/>
                <w:color w:val="000000"/>
                <w:sz w:val="18"/>
                <w:szCs w:val="18"/>
              </w:rPr>
              <w:t>2020</w:t>
            </w:r>
          </w:p>
        </w:tc>
      </w:tr>
      <w:tr w:rsidR="003B4C2F" w:rsidRPr="00793D44" w:rsidTr="00CB3A9B">
        <w:trPr>
          <w:trHeight w:val="272"/>
          <w:tblHeader/>
        </w:trPr>
        <w:tc>
          <w:tcPr>
            <w:tcW w:w="767" w:type="dxa"/>
            <w:vMerge/>
            <w:tcBorders>
              <w:top w:val="single" w:sz="4" w:space="0" w:color="5B9BD5"/>
              <w:left w:val="single" w:sz="4" w:space="0" w:color="5B9BD5"/>
              <w:bottom w:val="single" w:sz="4" w:space="0" w:color="5B9BD5"/>
              <w:right w:val="single" w:sz="4" w:space="0" w:color="5B9BD5"/>
            </w:tcBorders>
            <w:vAlign w:val="center"/>
            <w:hideMark/>
          </w:tcPr>
          <w:p w:rsidR="003B4C2F" w:rsidRPr="00793D44" w:rsidRDefault="003B4C2F" w:rsidP="003B4C2F">
            <w:pPr>
              <w:rPr>
                <w:rFonts w:cs="Calibri"/>
                <w:b/>
                <w:bCs/>
                <w:color w:val="000000"/>
                <w:sz w:val="18"/>
                <w:szCs w:val="18"/>
              </w:rPr>
            </w:pPr>
          </w:p>
        </w:tc>
        <w:tc>
          <w:tcPr>
            <w:tcW w:w="4473" w:type="dxa"/>
            <w:vMerge/>
            <w:tcBorders>
              <w:top w:val="single" w:sz="4" w:space="0" w:color="5B9BD5"/>
              <w:left w:val="single" w:sz="4" w:space="0" w:color="5B9BD5"/>
              <w:bottom w:val="single" w:sz="4" w:space="0" w:color="5B9BD5"/>
              <w:right w:val="single" w:sz="4" w:space="0" w:color="5B9BD5"/>
            </w:tcBorders>
            <w:vAlign w:val="center"/>
            <w:hideMark/>
          </w:tcPr>
          <w:p w:rsidR="003B4C2F" w:rsidRPr="00793D44" w:rsidRDefault="003B4C2F" w:rsidP="003B4C2F">
            <w:pPr>
              <w:rPr>
                <w:rFonts w:cs="Calibri"/>
                <w:b/>
                <w:bCs/>
                <w:color w:val="000000"/>
                <w:sz w:val="18"/>
                <w:szCs w:val="18"/>
              </w:rPr>
            </w:pPr>
          </w:p>
        </w:tc>
        <w:tc>
          <w:tcPr>
            <w:tcW w:w="981" w:type="dxa"/>
            <w:vMerge/>
            <w:tcBorders>
              <w:top w:val="single" w:sz="4" w:space="0" w:color="5B9BD5"/>
              <w:left w:val="single" w:sz="4" w:space="0" w:color="5B9BD5"/>
              <w:bottom w:val="single" w:sz="4" w:space="0" w:color="5B9BD5"/>
              <w:right w:val="single" w:sz="4" w:space="0" w:color="5B9BD5"/>
            </w:tcBorders>
            <w:vAlign w:val="center"/>
            <w:hideMark/>
          </w:tcPr>
          <w:p w:rsidR="003B4C2F" w:rsidRPr="00793D44" w:rsidRDefault="003B4C2F" w:rsidP="003B4C2F">
            <w:pPr>
              <w:rPr>
                <w:rFonts w:cs="Calibri"/>
                <w:b/>
                <w:bCs/>
                <w:color w:val="000000"/>
                <w:sz w:val="18"/>
                <w:szCs w:val="18"/>
              </w:rPr>
            </w:pPr>
          </w:p>
        </w:tc>
        <w:tc>
          <w:tcPr>
            <w:tcW w:w="978" w:type="dxa"/>
            <w:vMerge/>
            <w:tcBorders>
              <w:top w:val="single" w:sz="4" w:space="0" w:color="5B9BD5"/>
              <w:left w:val="single" w:sz="4" w:space="0" w:color="5B9BD5"/>
              <w:bottom w:val="single" w:sz="4" w:space="0" w:color="5B9BD5"/>
              <w:right w:val="single" w:sz="4" w:space="0" w:color="5B9BD5"/>
            </w:tcBorders>
            <w:vAlign w:val="center"/>
            <w:hideMark/>
          </w:tcPr>
          <w:p w:rsidR="003B4C2F" w:rsidRPr="00793D44" w:rsidRDefault="003B4C2F" w:rsidP="003B4C2F">
            <w:pPr>
              <w:rPr>
                <w:rFonts w:cs="Calibri"/>
                <w:b/>
                <w:bCs/>
                <w:color w:val="000000"/>
                <w:sz w:val="18"/>
                <w:szCs w:val="18"/>
              </w:rPr>
            </w:pPr>
          </w:p>
        </w:tc>
        <w:tc>
          <w:tcPr>
            <w:tcW w:w="879" w:type="dxa"/>
            <w:tcBorders>
              <w:top w:val="nil"/>
              <w:left w:val="nil"/>
              <w:bottom w:val="single" w:sz="4" w:space="0" w:color="5B9BD5"/>
              <w:right w:val="single" w:sz="4" w:space="0" w:color="5B9BD5"/>
            </w:tcBorders>
            <w:shd w:val="clear" w:color="auto" w:fill="auto"/>
            <w:vAlign w:val="center"/>
            <w:hideMark/>
          </w:tcPr>
          <w:p w:rsidR="003B4C2F" w:rsidRPr="003B4C2F" w:rsidRDefault="003B4C2F" w:rsidP="003B4C2F">
            <w:pPr>
              <w:jc w:val="center"/>
              <w:rPr>
                <w:rFonts w:cs="Calibri"/>
                <w:bCs/>
                <w:color w:val="000000"/>
                <w:sz w:val="18"/>
                <w:szCs w:val="18"/>
                <w:lang w:val="en-US"/>
              </w:rPr>
            </w:pPr>
            <w:r w:rsidRPr="003B4C2F">
              <w:rPr>
                <w:rFonts w:cs="Calibri"/>
                <w:bCs/>
                <w:color w:val="000000"/>
                <w:sz w:val="18"/>
                <w:szCs w:val="18"/>
                <w:lang w:val="en-US"/>
              </w:rPr>
              <w:t>Q1</w:t>
            </w:r>
          </w:p>
        </w:tc>
        <w:tc>
          <w:tcPr>
            <w:tcW w:w="822" w:type="dxa"/>
            <w:tcBorders>
              <w:top w:val="nil"/>
              <w:left w:val="nil"/>
              <w:bottom w:val="single" w:sz="4" w:space="0" w:color="5B9BD5"/>
              <w:right w:val="single" w:sz="4" w:space="0" w:color="5B9BD5"/>
            </w:tcBorders>
            <w:shd w:val="clear" w:color="auto" w:fill="auto"/>
            <w:vAlign w:val="center"/>
            <w:hideMark/>
          </w:tcPr>
          <w:p w:rsidR="003B4C2F" w:rsidRPr="003B4C2F" w:rsidRDefault="003B4C2F" w:rsidP="003B4C2F">
            <w:pPr>
              <w:jc w:val="center"/>
              <w:rPr>
                <w:rFonts w:cs="Calibri"/>
                <w:bCs/>
                <w:color w:val="000000"/>
                <w:sz w:val="18"/>
                <w:szCs w:val="18"/>
                <w:lang w:val="en-US"/>
              </w:rPr>
            </w:pPr>
            <w:r w:rsidRPr="003B4C2F">
              <w:rPr>
                <w:rFonts w:cs="Calibri"/>
                <w:bCs/>
                <w:color w:val="000000"/>
                <w:sz w:val="18"/>
                <w:szCs w:val="18"/>
                <w:lang w:val="en-US"/>
              </w:rPr>
              <w:t>Q2</w:t>
            </w:r>
          </w:p>
        </w:tc>
        <w:tc>
          <w:tcPr>
            <w:tcW w:w="850" w:type="dxa"/>
            <w:tcBorders>
              <w:top w:val="nil"/>
              <w:left w:val="nil"/>
              <w:bottom w:val="single" w:sz="4" w:space="0" w:color="5B9BD5"/>
              <w:right w:val="single" w:sz="4" w:space="0" w:color="5B9BD5"/>
            </w:tcBorders>
            <w:shd w:val="clear" w:color="auto" w:fill="auto"/>
            <w:vAlign w:val="center"/>
            <w:hideMark/>
          </w:tcPr>
          <w:p w:rsidR="003B4C2F" w:rsidRPr="003B4C2F" w:rsidRDefault="003B4C2F" w:rsidP="003B4C2F">
            <w:pPr>
              <w:jc w:val="center"/>
              <w:rPr>
                <w:rFonts w:cs="Calibri"/>
                <w:bCs/>
                <w:color w:val="000000"/>
                <w:sz w:val="18"/>
                <w:szCs w:val="18"/>
                <w:lang w:val="en-US"/>
              </w:rPr>
            </w:pPr>
            <w:r w:rsidRPr="003B4C2F">
              <w:rPr>
                <w:rFonts w:cs="Calibri"/>
                <w:bCs/>
                <w:color w:val="000000"/>
                <w:sz w:val="18"/>
                <w:szCs w:val="18"/>
                <w:lang w:val="en-US"/>
              </w:rPr>
              <w:t>Q3</w:t>
            </w:r>
          </w:p>
        </w:tc>
        <w:tc>
          <w:tcPr>
            <w:tcW w:w="851" w:type="dxa"/>
            <w:tcBorders>
              <w:top w:val="nil"/>
              <w:left w:val="nil"/>
              <w:bottom w:val="single" w:sz="4" w:space="0" w:color="5B9BD5"/>
              <w:right w:val="single" w:sz="4" w:space="0" w:color="5B9BD5"/>
            </w:tcBorders>
            <w:shd w:val="clear" w:color="auto" w:fill="auto"/>
            <w:vAlign w:val="center"/>
            <w:hideMark/>
          </w:tcPr>
          <w:p w:rsidR="003B4C2F" w:rsidRPr="003B4C2F" w:rsidRDefault="003B4C2F" w:rsidP="003B4C2F">
            <w:pPr>
              <w:jc w:val="center"/>
              <w:rPr>
                <w:rFonts w:cs="Calibri"/>
                <w:bCs/>
                <w:color w:val="000000"/>
                <w:sz w:val="18"/>
                <w:szCs w:val="18"/>
                <w:lang w:val="en-US"/>
              </w:rPr>
            </w:pPr>
            <w:r w:rsidRPr="003B4C2F">
              <w:rPr>
                <w:rFonts w:cs="Calibri"/>
                <w:bCs/>
                <w:color w:val="000000"/>
                <w:sz w:val="18"/>
                <w:szCs w:val="18"/>
                <w:lang w:val="en-US"/>
              </w:rPr>
              <w:t>Q4</w:t>
            </w:r>
          </w:p>
        </w:tc>
        <w:tc>
          <w:tcPr>
            <w:tcW w:w="1023" w:type="dxa"/>
            <w:vMerge/>
            <w:tcBorders>
              <w:left w:val="single" w:sz="4" w:space="0" w:color="5B9BD5"/>
              <w:bottom w:val="single" w:sz="4" w:space="0" w:color="5B9BD5"/>
              <w:right w:val="single" w:sz="4" w:space="0" w:color="5B9BD5"/>
            </w:tcBorders>
            <w:vAlign w:val="center"/>
            <w:hideMark/>
          </w:tcPr>
          <w:p w:rsidR="003B4C2F" w:rsidRPr="00793D44" w:rsidRDefault="003B4C2F" w:rsidP="003B4C2F">
            <w:pPr>
              <w:rPr>
                <w:rFonts w:cs="Calibri"/>
                <w:b/>
                <w:bCs/>
                <w:color w:val="000000"/>
                <w:sz w:val="18"/>
                <w:szCs w:val="18"/>
              </w:rPr>
            </w:pPr>
          </w:p>
        </w:tc>
        <w:tc>
          <w:tcPr>
            <w:tcW w:w="850" w:type="dxa"/>
            <w:tcBorders>
              <w:top w:val="nil"/>
              <w:left w:val="nil"/>
              <w:bottom w:val="single" w:sz="4" w:space="0" w:color="5B9BD5"/>
              <w:right w:val="single" w:sz="4" w:space="0" w:color="5B9BD5"/>
            </w:tcBorders>
            <w:shd w:val="clear" w:color="auto" w:fill="auto"/>
            <w:vAlign w:val="center"/>
            <w:hideMark/>
          </w:tcPr>
          <w:p w:rsidR="003B4C2F" w:rsidRPr="003B4C2F" w:rsidRDefault="003B4C2F" w:rsidP="003B4C2F">
            <w:pPr>
              <w:jc w:val="center"/>
              <w:rPr>
                <w:rFonts w:cs="Calibri"/>
                <w:bCs/>
                <w:color w:val="000000"/>
                <w:sz w:val="18"/>
                <w:szCs w:val="18"/>
                <w:lang w:val="en-US"/>
              </w:rPr>
            </w:pPr>
            <w:r w:rsidRPr="003B4C2F">
              <w:rPr>
                <w:rFonts w:cs="Calibri"/>
                <w:bCs/>
                <w:color w:val="000000"/>
                <w:sz w:val="18"/>
                <w:szCs w:val="18"/>
                <w:lang w:val="en-US"/>
              </w:rPr>
              <w:t>Q1</w:t>
            </w:r>
          </w:p>
        </w:tc>
        <w:tc>
          <w:tcPr>
            <w:tcW w:w="850" w:type="dxa"/>
            <w:tcBorders>
              <w:top w:val="nil"/>
              <w:left w:val="nil"/>
              <w:bottom w:val="single" w:sz="4" w:space="0" w:color="5B9BD5"/>
              <w:right w:val="single" w:sz="4" w:space="0" w:color="5B9BD5"/>
            </w:tcBorders>
            <w:shd w:val="clear" w:color="auto" w:fill="auto"/>
            <w:vAlign w:val="center"/>
            <w:hideMark/>
          </w:tcPr>
          <w:p w:rsidR="003B4C2F" w:rsidRPr="003B4C2F" w:rsidRDefault="003B4C2F" w:rsidP="003B4C2F">
            <w:pPr>
              <w:jc w:val="center"/>
              <w:rPr>
                <w:rFonts w:cs="Calibri"/>
                <w:bCs/>
                <w:color w:val="000000"/>
                <w:sz w:val="18"/>
                <w:szCs w:val="18"/>
                <w:lang w:val="en-US"/>
              </w:rPr>
            </w:pPr>
            <w:r w:rsidRPr="003B4C2F">
              <w:rPr>
                <w:rFonts w:cs="Calibri"/>
                <w:bCs/>
                <w:color w:val="000000"/>
                <w:sz w:val="18"/>
                <w:szCs w:val="18"/>
                <w:lang w:val="en-US"/>
              </w:rPr>
              <w:t>Q2</w:t>
            </w:r>
          </w:p>
        </w:tc>
        <w:tc>
          <w:tcPr>
            <w:tcW w:w="850" w:type="dxa"/>
            <w:tcBorders>
              <w:top w:val="nil"/>
              <w:left w:val="nil"/>
              <w:bottom w:val="single" w:sz="4" w:space="0" w:color="5B9BD5"/>
              <w:right w:val="single" w:sz="4" w:space="0" w:color="5B9BD5"/>
            </w:tcBorders>
            <w:shd w:val="clear" w:color="auto" w:fill="auto"/>
            <w:vAlign w:val="center"/>
            <w:hideMark/>
          </w:tcPr>
          <w:p w:rsidR="003B4C2F" w:rsidRPr="003B4C2F" w:rsidRDefault="003B4C2F" w:rsidP="003B4C2F">
            <w:pPr>
              <w:jc w:val="center"/>
              <w:rPr>
                <w:rFonts w:cs="Calibri"/>
                <w:bCs/>
                <w:color w:val="000000"/>
                <w:sz w:val="18"/>
                <w:szCs w:val="18"/>
                <w:lang w:val="en-US"/>
              </w:rPr>
            </w:pPr>
            <w:r w:rsidRPr="003B4C2F">
              <w:rPr>
                <w:rFonts w:cs="Calibri"/>
                <w:bCs/>
                <w:color w:val="000000"/>
                <w:sz w:val="18"/>
                <w:szCs w:val="18"/>
                <w:lang w:val="en-US"/>
              </w:rPr>
              <w:t>Q3</w:t>
            </w:r>
          </w:p>
        </w:tc>
        <w:tc>
          <w:tcPr>
            <w:tcW w:w="850" w:type="dxa"/>
            <w:tcBorders>
              <w:top w:val="nil"/>
              <w:left w:val="nil"/>
              <w:bottom w:val="single" w:sz="4" w:space="0" w:color="5B9BD5"/>
              <w:right w:val="single" w:sz="4" w:space="0" w:color="5B9BD5"/>
            </w:tcBorders>
            <w:shd w:val="clear" w:color="auto" w:fill="auto"/>
            <w:vAlign w:val="center"/>
            <w:hideMark/>
          </w:tcPr>
          <w:p w:rsidR="003B4C2F" w:rsidRPr="003B4C2F" w:rsidRDefault="003B4C2F" w:rsidP="003B4C2F">
            <w:pPr>
              <w:jc w:val="center"/>
              <w:rPr>
                <w:rFonts w:cs="Calibri"/>
                <w:bCs/>
                <w:color w:val="000000"/>
                <w:sz w:val="18"/>
                <w:szCs w:val="18"/>
                <w:lang w:val="en-US"/>
              </w:rPr>
            </w:pPr>
            <w:r w:rsidRPr="003B4C2F">
              <w:rPr>
                <w:rFonts w:cs="Calibri"/>
                <w:bCs/>
                <w:color w:val="000000"/>
                <w:sz w:val="18"/>
                <w:szCs w:val="18"/>
                <w:lang w:val="en-US"/>
              </w:rPr>
              <w:t>Q4</w:t>
            </w:r>
          </w:p>
        </w:tc>
      </w:tr>
      <w:tr w:rsidR="00AE0CB1" w:rsidRPr="00793D44" w:rsidTr="00CB3A9B">
        <w:trPr>
          <w:trHeight w:val="227"/>
        </w:trPr>
        <w:tc>
          <w:tcPr>
            <w:tcW w:w="767" w:type="dxa"/>
            <w:tcBorders>
              <w:top w:val="nil"/>
              <w:left w:val="single" w:sz="4" w:space="0" w:color="5B9BD5"/>
              <w:bottom w:val="single" w:sz="4" w:space="0" w:color="5B9BD5"/>
              <w:right w:val="single" w:sz="4" w:space="0" w:color="5B9BD5"/>
            </w:tcBorders>
            <w:shd w:val="clear" w:color="000000" w:fill="BDD7EE"/>
            <w:vAlign w:val="center"/>
            <w:hideMark/>
          </w:tcPr>
          <w:p w:rsidR="00AE0CB1" w:rsidRPr="00793D44" w:rsidRDefault="00AE0CB1" w:rsidP="00AE0CB1">
            <w:pPr>
              <w:jc w:val="center"/>
              <w:rPr>
                <w:rFonts w:cs="Calibri"/>
                <w:b/>
                <w:bCs/>
                <w:color w:val="000000"/>
                <w:sz w:val="18"/>
                <w:szCs w:val="18"/>
              </w:rPr>
            </w:pPr>
            <w:r w:rsidRPr="00793D44">
              <w:rPr>
                <w:rFonts w:cs="Calibri"/>
                <w:b/>
                <w:bCs/>
                <w:color w:val="000000"/>
                <w:sz w:val="18"/>
                <w:szCs w:val="18"/>
              </w:rPr>
              <w:t> </w:t>
            </w:r>
          </w:p>
        </w:tc>
        <w:tc>
          <w:tcPr>
            <w:tcW w:w="4473" w:type="dxa"/>
            <w:tcBorders>
              <w:top w:val="nil"/>
              <w:left w:val="nil"/>
              <w:bottom w:val="single" w:sz="4" w:space="0" w:color="5B9BD5"/>
              <w:right w:val="single" w:sz="4" w:space="0" w:color="5B9BD5"/>
            </w:tcBorders>
            <w:shd w:val="clear" w:color="000000" w:fill="BDD7EE"/>
            <w:vAlign w:val="center"/>
            <w:hideMark/>
          </w:tcPr>
          <w:p w:rsidR="00AE0CB1" w:rsidRPr="00793D44" w:rsidRDefault="00AE0CB1" w:rsidP="00AE0CB1">
            <w:pPr>
              <w:ind w:firstLineChars="100" w:firstLine="181"/>
              <w:rPr>
                <w:rFonts w:cs="Calibri"/>
                <w:b/>
                <w:bCs/>
                <w:color w:val="000000"/>
                <w:sz w:val="18"/>
                <w:szCs w:val="18"/>
              </w:rPr>
            </w:pPr>
            <w:r w:rsidRPr="00793D44">
              <w:rPr>
                <w:rFonts w:cs="Calibri"/>
                <w:b/>
                <w:bCs/>
                <w:color w:val="000000"/>
                <w:sz w:val="18"/>
                <w:szCs w:val="18"/>
              </w:rPr>
              <w:t>Total exports</w:t>
            </w:r>
          </w:p>
        </w:tc>
        <w:tc>
          <w:tcPr>
            <w:tcW w:w="981" w:type="dxa"/>
            <w:tcBorders>
              <w:top w:val="nil"/>
              <w:left w:val="nil"/>
              <w:bottom w:val="single" w:sz="4" w:space="0" w:color="5B9BD5"/>
              <w:right w:val="single" w:sz="4" w:space="0" w:color="5B9BD5"/>
            </w:tcBorders>
            <w:shd w:val="clear" w:color="000000" w:fill="BDD7EE"/>
            <w:vAlign w:val="center"/>
            <w:hideMark/>
          </w:tcPr>
          <w:p w:rsidR="00AE0CB1" w:rsidRPr="00AE0CB1" w:rsidRDefault="00AE0CB1" w:rsidP="00AE0CB1">
            <w:pPr>
              <w:jc w:val="center"/>
              <w:rPr>
                <w:rFonts w:cs="Calibri"/>
                <w:b/>
                <w:bCs/>
                <w:color w:val="000000"/>
                <w:sz w:val="16"/>
                <w:szCs w:val="16"/>
              </w:rPr>
            </w:pPr>
            <w:r w:rsidRPr="00AE0CB1">
              <w:rPr>
                <w:rFonts w:cs="Calibri"/>
                <w:b/>
                <w:bCs/>
                <w:color w:val="000000"/>
                <w:sz w:val="16"/>
                <w:szCs w:val="16"/>
              </w:rPr>
              <w:t>11 095,4</w:t>
            </w:r>
          </w:p>
        </w:tc>
        <w:tc>
          <w:tcPr>
            <w:tcW w:w="978" w:type="dxa"/>
            <w:tcBorders>
              <w:top w:val="nil"/>
              <w:left w:val="nil"/>
              <w:bottom w:val="single" w:sz="4" w:space="0" w:color="5B9BD5"/>
              <w:right w:val="single" w:sz="4" w:space="0" w:color="5B9BD5"/>
            </w:tcBorders>
            <w:shd w:val="clear" w:color="000000" w:fill="BDD7EE"/>
            <w:vAlign w:val="center"/>
            <w:hideMark/>
          </w:tcPr>
          <w:p w:rsidR="00AE0CB1" w:rsidRPr="005D5CA1" w:rsidRDefault="00AE0CB1" w:rsidP="005D5CA1">
            <w:pPr>
              <w:jc w:val="center"/>
              <w:rPr>
                <w:rFonts w:cs="Calibri"/>
                <w:b/>
                <w:bCs/>
                <w:color w:val="000000"/>
                <w:sz w:val="16"/>
                <w:szCs w:val="16"/>
                <w:lang w:val="en-US"/>
              </w:rPr>
            </w:pPr>
            <w:r w:rsidRPr="00AE0CB1">
              <w:rPr>
                <w:rFonts w:cs="Calibri"/>
                <w:b/>
                <w:bCs/>
                <w:color w:val="000000"/>
                <w:sz w:val="16"/>
                <w:szCs w:val="16"/>
              </w:rPr>
              <w:t>13 664,</w:t>
            </w:r>
            <w:r w:rsidR="005D5CA1">
              <w:rPr>
                <w:rFonts w:cs="Calibri"/>
                <w:b/>
                <w:bCs/>
                <w:color w:val="000000"/>
                <w:sz w:val="16"/>
                <w:szCs w:val="16"/>
                <w:lang w:val="en-US"/>
              </w:rPr>
              <w:t>6</w:t>
            </w:r>
          </w:p>
        </w:tc>
        <w:tc>
          <w:tcPr>
            <w:tcW w:w="879" w:type="dxa"/>
            <w:tcBorders>
              <w:top w:val="nil"/>
              <w:left w:val="nil"/>
              <w:bottom w:val="single" w:sz="4" w:space="0" w:color="5B9BD5"/>
              <w:right w:val="single" w:sz="4" w:space="0" w:color="5B9BD5"/>
            </w:tcBorders>
            <w:shd w:val="clear" w:color="000000" w:fill="BDD7EE"/>
            <w:vAlign w:val="center"/>
            <w:hideMark/>
          </w:tcPr>
          <w:p w:rsidR="00AE0CB1" w:rsidRPr="00AE0CB1" w:rsidRDefault="00AE0CB1" w:rsidP="00AE0CB1">
            <w:pPr>
              <w:jc w:val="center"/>
              <w:rPr>
                <w:rFonts w:cs="Calibri"/>
                <w:b/>
                <w:bCs/>
                <w:color w:val="000000"/>
                <w:sz w:val="16"/>
                <w:szCs w:val="16"/>
              </w:rPr>
            </w:pPr>
            <w:r w:rsidRPr="00AE0CB1">
              <w:rPr>
                <w:rFonts w:cs="Calibri"/>
                <w:b/>
                <w:bCs/>
                <w:color w:val="000000"/>
                <w:sz w:val="16"/>
                <w:szCs w:val="16"/>
              </w:rPr>
              <w:t>3 002,5</w:t>
            </w:r>
          </w:p>
        </w:tc>
        <w:tc>
          <w:tcPr>
            <w:tcW w:w="822" w:type="dxa"/>
            <w:tcBorders>
              <w:top w:val="nil"/>
              <w:left w:val="nil"/>
              <w:bottom w:val="single" w:sz="4" w:space="0" w:color="5B9BD5"/>
              <w:right w:val="single" w:sz="4" w:space="0" w:color="5B9BD5"/>
            </w:tcBorders>
            <w:shd w:val="clear" w:color="000000" w:fill="BDD7EE"/>
            <w:vAlign w:val="center"/>
            <w:hideMark/>
          </w:tcPr>
          <w:p w:rsidR="00AE0CB1" w:rsidRPr="00AE0CB1" w:rsidRDefault="00AE0CB1" w:rsidP="00AE0CB1">
            <w:pPr>
              <w:jc w:val="center"/>
              <w:rPr>
                <w:rFonts w:cs="Calibri"/>
                <w:b/>
                <w:bCs/>
                <w:color w:val="000000"/>
                <w:sz w:val="16"/>
                <w:szCs w:val="16"/>
              </w:rPr>
            </w:pPr>
            <w:r w:rsidRPr="00AE0CB1">
              <w:rPr>
                <w:rFonts w:cs="Calibri"/>
                <w:b/>
                <w:bCs/>
                <w:color w:val="000000"/>
                <w:sz w:val="16"/>
                <w:szCs w:val="16"/>
              </w:rPr>
              <w:t>3 354,2</w:t>
            </w:r>
          </w:p>
        </w:tc>
        <w:tc>
          <w:tcPr>
            <w:tcW w:w="850" w:type="dxa"/>
            <w:tcBorders>
              <w:top w:val="nil"/>
              <w:left w:val="nil"/>
              <w:bottom w:val="single" w:sz="4" w:space="0" w:color="5B9BD5"/>
              <w:right w:val="single" w:sz="4" w:space="0" w:color="5B9BD5"/>
            </w:tcBorders>
            <w:shd w:val="clear" w:color="000000" w:fill="BDD7EE"/>
            <w:vAlign w:val="center"/>
            <w:hideMark/>
          </w:tcPr>
          <w:p w:rsidR="00AE0CB1" w:rsidRPr="00AE0CB1" w:rsidRDefault="00AE0CB1" w:rsidP="00AE0CB1">
            <w:pPr>
              <w:jc w:val="center"/>
              <w:rPr>
                <w:rFonts w:cs="Calibri"/>
                <w:b/>
                <w:bCs/>
                <w:color w:val="000000"/>
                <w:sz w:val="16"/>
                <w:szCs w:val="16"/>
              </w:rPr>
            </w:pPr>
            <w:r w:rsidRPr="00AE0CB1">
              <w:rPr>
                <w:rFonts w:cs="Calibri"/>
                <w:b/>
                <w:bCs/>
                <w:color w:val="000000"/>
                <w:sz w:val="16"/>
                <w:szCs w:val="16"/>
              </w:rPr>
              <w:t>4 066,7</w:t>
            </w:r>
          </w:p>
        </w:tc>
        <w:tc>
          <w:tcPr>
            <w:tcW w:w="851" w:type="dxa"/>
            <w:tcBorders>
              <w:top w:val="nil"/>
              <w:left w:val="nil"/>
              <w:bottom w:val="single" w:sz="4" w:space="0" w:color="5B9BD5"/>
              <w:right w:val="single" w:sz="4" w:space="0" w:color="5B9BD5"/>
            </w:tcBorders>
            <w:shd w:val="clear" w:color="000000" w:fill="BDD7EE"/>
            <w:vAlign w:val="center"/>
            <w:hideMark/>
          </w:tcPr>
          <w:p w:rsidR="00AE0CB1" w:rsidRPr="00AE0CB1" w:rsidRDefault="00AE0CB1" w:rsidP="00AE0CB1">
            <w:pPr>
              <w:jc w:val="center"/>
              <w:rPr>
                <w:rFonts w:cs="Calibri"/>
                <w:b/>
                <w:bCs/>
                <w:color w:val="000000"/>
                <w:sz w:val="16"/>
                <w:szCs w:val="16"/>
              </w:rPr>
            </w:pPr>
            <w:r w:rsidRPr="00AE0CB1">
              <w:rPr>
                <w:rFonts w:cs="Calibri"/>
                <w:b/>
                <w:bCs/>
                <w:color w:val="000000"/>
                <w:sz w:val="16"/>
                <w:szCs w:val="16"/>
              </w:rPr>
              <w:t>3 241,2</w:t>
            </w:r>
          </w:p>
        </w:tc>
        <w:tc>
          <w:tcPr>
            <w:tcW w:w="1023" w:type="dxa"/>
            <w:tcBorders>
              <w:top w:val="nil"/>
              <w:left w:val="nil"/>
              <w:bottom w:val="single" w:sz="4" w:space="0" w:color="5B9BD5"/>
              <w:right w:val="single" w:sz="4" w:space="0" w:color="5B9BD5"/>
            </w:tcBorders>
            <w:shd w:val="clear" w:color="000000" w:fill="BDD7EE"/>
            <w:vAlign w:val="center"/>
            <w:hideMark/>
          </w:tcPr>
          <w:p w:rsidR="00AE0CB1" w:rsidRPr="00AE0CB1" w:rsidRDefault="00AE0CB1" w:rsidP="00AE0CB1">
            <w:pPr>
              <w:jc w:val="center"/>
              <w:rPr>
                <w:rFonts w:cs="Calibri"/>
                <w:b/>
                <w:bCs/>
                <w:color w:val="000000"/>
                <w:sz w:val="16"/>
                <w:szCs w:val="16"/>
              </w:rPr>
            </w:pPr>
            <w:r w:rsidRPr="00AE0CB1">
              <w:rPr>
                <w:rFonts w:cs="Calibri"/>
                <w:b/>
                <w:bCs/>
                <w:color w:val="000000"/>
                <w:sz w:val="16"/>
                <w:szCs w:val="16"/>
              </w:rPr>
              <w:t>12 779,2</w:t>
            </w:r>
          </w:p>
        </w:tc>
        <w:tc>
          <w:tcPr>
            <w:tcW w:w="850" w:type="dxa"/>
            <w:tcBorders>
              <w:top w:val="nil"/>
              <w:left w:val="nil"/>
              <w:bottom w:val="single" w:sz="4" w:space="0" w:color="5B9BD5"/>
              <w:right w:val="single" w:sz="4" w:space="0" w:color="5B9BD5"/>
            </w:tcBorders>
            <w:shd w:val="clear" w:color="000000" w:fill="BDD7EE"/>
            <w:vAlign w:val="center"/>
            <w:hideMark/>
          </w:tcPr>
          <w:p w:rsidR="00AE0CB1" w:rsidRPr="00AE0CB1" w:rsidRDefault="00AE0CB1" w:rsidP="00AE0CB1">
            <w:pPr>
              <w:jc w:val="center"/>
              <w:rPr>
                <w:rFonts w:cs="Calibri"/>
                <w:b/>
                <w:bCs/>
                <w:color w:val="000000"/>
                <w:sz w:val="16"/>
                <w:szCs w:val="16"/>
              </w:rPr>
            </w:pPr>
            <w:r w:rsidRPr="00AE0CB1">
              <w:rPr>
                <w:rFonts w:cs="Calibri"/>
                <w:b/>
                <w:bCs/>
                <w:color w:val="000000"/>
                <w:sz w:val="16"/>
                <w:szCs w:val="16"/>
              </w:rPr>
              <w:t>2 571,4</w:t>
            </w:r>
          </w:p>
        </w:tc>
        <w:tc>
          <w:tcPr>
            <w:tcW w:w="850" w:type="dxa"/>
            <w:tcBorders>
              <w:top w:val="nil"/>
              <w:left w:val="nil"/>
              <w:bottom w:val="single" w:sz="4" w:space="0" w:color="5B9BD5"/>
              <w:right w:val="single" w:sz="4" w:space="0" w:color="5B9BD5"/>
            </w:tcBorders>
            <w:shd w:val="clear" w:color="000000" w:fill="BDD7EE"/>
            <w:vAlign w:val="center"/>
            <w:hideMark/>
          </w:tcPr>
          <w:p w:rsidR="00AE0CB1" w:rsidRPr="00AE0CB1" w:rsidRDefault="00AE0CB1" w:rsidP="00AE0CB1">
            <w:pPr>
              <w:jc w:val="center"/>
              <w:rPr>
                <w:rFonts w:cs="Calibri"/>
                <w:b/>
                <w:bCs/>
                <w:color w:val="000000"/>
                <w:sz w:val="16"/>
                <w:szCs w:val="16"/>
              </w:rPr>
            </w:pPr>
            <w:r w:rsidRPr="00AE0CB1">
              <w:rPr>
                <w:rFonts w:cs="Calibri"/>
                <w:b/>
                <w:bCs/>
                <w:color w:val="000000"/>
                <w:sz w:val="16"/>
                <w:szCs w:val="16"/>
              </w:rPr>
              <w:t>2 577,5</w:t>
            </w:r>
          </w:p>
        </w:tc>
        <w:tc>
          <w:tcPr>
            <w:tcW w:w="850" w:type="dxa"/>
            <w:tcBorders>
              <w:top w:val="nil"/>
              <w:left w:val="nil"/>
              <w:bottom w:val="single" w:sz="4" w:space="0" w:color="5B9BD5"/>
              <w:right w:val="single" w:sz="4" w:space="0" w:color="5B9BD5"/>
            </w:tcBorders>
            <w:shd w:val="clear" w:color="000000" w:fill="BDD7EE"/>
            <w:vAlign w:val="center"/>
            <w:hideMark/>
          </w:tcPr>
          <w:p w:rsidR="00AE0CB1" w:rsidRPr="00AE0CB1" w:rsidRDefault="00AE0CB1" w:rsidP="00AE0CB1">
            <w:pPr>
              <w:jc w:val="center"/>
              <w:rPr>
                <w:rFonts w:cs="Calibri"/>
                <w:b/>
                <w:bCs/>
                <w:color w:val="000000"/>
                <w:sz w:val="16"/>
                <w:szCs w:val="16"/>
              </w:rPr>
            </w:pPr>
            <w:r w:rsidRPr="00AE0CB1">
              <w:rPr>
                <w:rFonts w:cs="Calibri"/>
                <w:b/>
                <w:bCs/>
                <w:color w:val="000000"/>
                <w:sz w:val="16"/>
                <w:szCs w:val="16"/>
              </w:rPr>
              <w:t>5 612,9</w:t>
            </w:r>
          </w:p>
        </w:tc>
        <w:tc>
          <w:tcPr>
            <w:tcW w:w="850" w:type="dxa"/>
            <w:tcBorders>
              <w:top w:val="nil"/>
              <w:left w:val="nil"/>
              <w:bottom w:val="single" w:sz="4" w:space="0" w:color="5B9BD5"/>
              <w:right w:val="single" w:sz="4" w:space="0" w:color="5B9BD5"/>
            </w:tcBorders>
            <w:shd w:val="clear" w:color="000000" w:fill="BDD7EE"/>
            <w:vAlign w:val="center"/>
            <w:hideMark/>
          </w:tcPr>
          <w:p w:rsidR="00AE0CB1" w:rsidRPr="00AE0CB1" w:rsidRDefault="00AE0CB1" w:rsidP="00AE0CB1">
            <w:pPr>
              <w:jc w:val="center"/>
              <w:rPr>
                <w:rFonts w:cs="Calibri"/>
                <w:b/>
                <w:bCs/>
                <w:color w:val="000000"/>
                <w:sz w:val="16"/>
                <w:szCs w:val="16"/>
              </w:rPr>
            </w:pPr>
            <w:r w:rsidRPr="00AE0CB1">
              <w:rPr>
                <w:rFonts w:cs="Calibri"/>
                <w:b/>
                <w:bCs/>
                <w:color w:val="000000"/>
                <w:sz w:val="16"/>
                <w:szCs w:val="16"/>
              </w:rPr>
              <w:t>2 017</w:t>
            </w:r>
          </w:p>
        </w:tc>
      </w:tr>
      <w:tr w:rsidR="00AE0CB1" w:rsidRPr="00793D44" w:rsidTr="00CB3A9B">
        <w:trPr>
          <w:trHeight w:val="227"/>
        </w:trPr>
        <w:tc>
          <w:tcPr>
            <w:tcW w:w="767" w:type="dxa"/>
            <w:tcBorders>
              <w:top w:val="nil"/>
              <w:left w:val="single" w:sz="4" w:space="0" w:color="5B9BD5"/>
              <w:bottom w:val="single" w:sz="4" w:space="0" w:color="5B9BD5"/>
              <w:right w:val="single" w:sz="4" w:space="0" w:color="5B9BD5"/>
            </w:tcBorders>
            <w:shd w:val="clear" w:color="000000" w:fill="BDD7EE"/>
            <w:vAlign w:val="center"/>
            <w:hideMark/>
          </w:tcPr>
          <w:p w:rsidR="00AE0CB1" w:rsidRPr="00793D44" w:rsidRDefault="00AE0CB1" w:rsidP="00AE0CB1">
            <w:pPr>
              <w:jc w:val="center"/>
              <w:rPr>
                <w:rFonts w:cs="Calibri"/>
                <w:b/>
                <w:bCs/>
                <w:color w:val="000000"/>
                <w:sz w:val="18"/>
                <w:szCs w:val="18"/>
              </w:rPr>
            </w:pPr>
            <w:r w:rsidRPr="00793D44">
              <w:rPr>
                <w:rFonts w:cs="Calibri"/>
                <w:b/>
                <w:bCs/>
                <w:color w:val="000000"/>
                <w:sz w:val="18"/>
                <w:szCs w:val="18"/>
              </w:rPr>
              <w:t> </w:t>
            </w:r>
          </w:p>
        </w:tc>
        <w:tc>
          <w:tcPr>
            <w:tcW w:w="4473" w:type="dxa"/>
            <w:tcBorders>
              <w:top w:val="nil"/>
              <w:left w:val="nil"/>
              <w:bottom w:val="single" w:sz="4" w:space="0" w:color="5B9BD5"/>
              <w:right w:val="single" w:sz="4" w:space="0" w:color="5B9BD5"/>
            </w:tcBorders>
            <w:shd w:val="clear" w:color="000000" w:fill="BDD7EE"/>
            <w:vAlign w:val="center"/>
            <w:hideMark/>
          </w:tcPr>
          <w:p w:rsidR="00AE0CB1" w:rsidRPr="00793D44" w:rsidRDefault="00AE0CB1" w:rsidP="00AE0CB1">
            <w:pPr>
              <w:ind w:firstLineChars="100" w:firstLine="180"/>
              <w:rPr>
                <w:rFonts w:cs="Calibri"/>
                <w:color w:val="000000"/>
                <w:sz w:val="18"/>
                <w:szCs w:val="18"/>
              </w:rPr>
            </w:pPr>
            <w:r w:rsidRPr="00793D44">
              <w:rPr>
                <w:rFonts w:cs="Calibri"/>
                <w:color w:val="000000"/>
                <w:sz w:val="18"/>
                <w:szCs w:val="18"/>
              </w:rPr>
              <w:t>Main export nomenclature</w:t>
            </w:r>
          </w:p>
        </w:tc>
        <w:tc>
          <w:tcPr>
            <w:tcW w:w="981" w:type="dxa"/>
            <w:tcBorders>
              <w:top w:val="nil"/>
              <w:left w:val="nil"/>
              <w:bottom w:val="single" w:sz="4" w:space="0" w:color="5B9BD5"/>
              <w:right w:val="single" w:sz="4" w:space="0" w:color="5B9BD5"/>
            </w:tcBorders>
            <w:shd w:val="clear" w:color="000000" w:fill="BDD7EE"/>
            <w:vAlign w:val="center"/>
            <w:hideMark/>
          </w:tcPr>
          <w:p w:rsidR="00AE0CB1" w:rsidRPr="00AE0CB1" w:rsidRDefault="00AE0CB1" w:rsidP="00AE0CB1">
            <w:pPr>
              <w:jc w:val="center"/>
              <w:rPr>
                <w:rFonts w:cs="Calibri"/>
                <w:color w:val="000000"/>
                <w:sz w:val="16"/>
                <w:szCs w:val="16"/>
              </w:rPr>
            </w:pPr>
            <w:r w:rsidRPr="00AE0CB1">
              <w:rPr>
                <w:rFonts w:cs="Calibri"/>
                <w:color w:val="000000"/>
                <w:sz w:val="16"/>
                <w:szCs w:val="16"/>
              </w:rPr>
              <w:t>9 767,7</w:t>
            </w:r>
          </w:p>
        </w:tc>
        <w:tc>
          <w:tcPr>
            <w:tcW w:w="978" w:type="dxa"/>
            <w:tcBorders>
              <w:top w:val="nil"/>
              <w:left w:val="nil"/>
              <w:bottom w:val="single" w:sz="4" w:space="0" w:color="5B9BD5"/>
              <w:right w:val="single" w:sz="4" w:space="0" w:color="5B9BD5"/>
            </w:tcBorders>
            <w:shd w:val="clear" w:color="000000" w:fill="BDD7EE"/>
            <w:vAlign w:val="center"/>
            <w:hideMark/>
          </w:tcPr>
          <w:p w:rsidR="00AE0CB1" w:rsidRPr="00AE0CB1" w:rsidRDefault="00AE0CB1" w:rsidP="00AE0CB1">
            <w:pPr>
              <w:jc w:val="center"/>
              <w:rPr>
                <w:rFonts w:cs="Calibri"/>
                <w:color w:val="000000"/>
                <w:sz w:val="16"/>
                <w:szCs w:val="16"/>
              </w:rPr>
            </w:pPr>
            <w:r w:rsidRPr="00AE0CB1">
              <w:rPr>
                <w:rFonts w:cs="Calibri"/>
                <w:color w:val="000000"/>
                <w:sz w:val="16"/>
                <w:szCs w:val="16"/>
              </w:rPr>
              <w:t>11 902,5</w:t>
            </w:r>
          </w:p>
        </w:tc>
        <w:tc>
          <w:tcPr>
            <w:tcW w:w="879" w:type="dxa"/>
            <w:tcBorders>
              <w:top w:val="nil"/>
              <w:left w:val="nil"/>
              <w:bottom w:val="single" w:sz="4" w:space="0" w:color="5B9BD5"/>
              <w:right w:val="single" w:sz="4" w:space="0" w:color="5B9BD5"/>
            </w:tcBorders>
            <w:shd w:val="clear" w:color="000000" w:fill="BDD7EE"/>
            <w:vAlign w:val="center"/>
            <w:hideMark/>
          </w:tcPr>
          <w:p w:rsidR="00AE0CB1" w:rsidRPr="00AE0CB1" w:rsidRDefault="00AE0CB1" w:rsidP="00AE0CB1">
            <w:pPr>
              <w:jc w:val="center"/>
              <w:rPr>
                <w:rFonts w:cs="Calibri"/>
                <w:color w:val="000000"/>
                <w:sz w:val="16"/>
                <w:szCs w:val="16"/>
              </w:rPr>
            </w:pPr>
            <w:r w:rsidRPr="00AE0CB1">
              <w:rPr>
                <w:rFonts w:cs="Calibri"/>
                <w:color w:val="000000"/>
                <w:sz w:val="16"/>
                <w:szCs w:val="16"/>
              </w:rPr>
              <w:t>2 631,2</w:t>
            </w:r>
          </w:p>
        </w:tc>
        <w:tc>
          <w:tcPr>
            <w:tcW w:w="822" w:type="dxa"/>
            <w:tcBorders>
              <w:top w:val="nil"/>
              <w:left w:val="nil"/>
              <w:bottom w:val="single" w:sz="4" w:space="0" w:color="5B9BD5"/>
              <w:right w:val="single" w:sz="4" w:space="0" w:color="5B9BD5"/>
            </w:tcBorders>
            <w:shd w:val="clear" w:color="000000" w:fill="BDD7EE"/>
            <w:vAlign w:val="center"/>
            <w:hideMark/>
          </w:tcPr>
          <w:p w:rsidR="00AE0CB1" w:rsidRPr="00AE0CB1" w:rsidRDefault="00AE0CB1" w:rsidP="00AE0CB1">
            <w:pPr>
              <w:jc w:val="center"/>
              <w:rPr>
                <w:rFonts w:cs="Calibri"/>
                <w:color w:val="000000"/>
                <w:sz w:val="16"/>
                <w:szCs w:val="16"/>
              </w:rPr>
            </w:pPr>
            <w:r w:rsidRPr="00AE0CB1">
              <w:rPr>
                <w:rFonts w:cs="Calibri"/>
                <w:color w:val="000000"/>
                <w:sz w:val="16"/>
                <w:szCs w:val="16"/>
              </w:rPr>
              <w:t>2 921,3</w:t>
            </w:r>
          </w:p>
        </w:tc>
        <w:tc>
          <w:tcPr>
            <w:tcW w:w="850" w:type="dxa"/>
            <w:tcBorders>
              <w:top w:val="nil"/>
              <w:left w:val="nil"/>
              <w:bottom w:val="single" w:sz="4" w:space="0" w:color="5B9BD5"/>
              <w:right w:val="single" w:sz="4" w:space="0" w:color="5B9BD5"/>
            </w:tcBorders>
            <w:shd w:val="clear" w:color="000000" w:fill="BDD7EE"/>
            <w:vAlign w:val="center"/>
            <w:hideMark/>
          </w:tcPr>
          <w:p w:rsidR="00AE0CB1" w:rsidRPr="00AE0CB1" w:rsidRDefault="00AE0CB1" w:rsidP="00AE0CB1">
            <w:pPr>
              <w:jc w:val="center"/>
              <w:rPr>
                <w:rFonts w:cs="Calibri"/>
                <w:color w:val="000000"/>
                <w:sz w:val="16"/>
                <w:szCs w:val="16"/>
              </w:rPr>
            </w:pPr>
            <w:r w:rsidRPr="00AE0CB1">
              <w:rPr>
                <w:rFonts w:cs="Calibri"/>
                <w:color w:val="000000"/>
                <w:sz w:val="16"/>
                <w:szCs w:val="16"/>
              </w:rPr>
              <w:t>3 591,6</w:t>
            </w:r>
          </w:p>
        </w:tc>
        <w:tc>
          <w:tcPr>
            <w:tcW w:w="851" w:type="dxa"/>
            <w:tcBorders>
              <w:top w:val="nil"/>
              <w:left w:val="nil"/>
              <w:bottom w:val="single" w:sz="4" w:space="0" w:color="5B9BD5"/>
              <w:right w:val="single" w:sz="4" w:space="0" w:color="5B9BD5"/>
            </w:tcBorders>
            <w:shd w:val="clear" w:color="000000" w:fill="BDD7EE"/>
            <w:vAlign w:val="center"/>
            <w:hideMark/>
          </w:tcPr>
          <w:p w:rsidR="00AE0CB1" w:rsidRPr="00AE0CB1" w:rsidRDefault="00AE0CB1" w:rsidP="00AE0CB1">
            <w:pPr>
              <w:jc w:val="center"/>
              <w:rPr>
                <w:rFonts w:cs="Calibri"/>
                <w:color w:val="000000"/>
                <w:sz w:val="16"/>
                <w:szCs w:val="16"/>
              </w:rPr>
            </w:pPr>
            <w:r w:rsidRPr="00AE0CB1">
              <w:rPr>
                <w:rFonts w:cs="Calibri"/>
                <w:color w:val="000000"/>
                <w:sz w:val="16"/>
                <w:szCs w:val="16"/>
              </w:rPr>
              <w:t>2 758,5</w:t>
            </w:r>
          </w:p>
        </w:tc>
        <w:tc>
          <w:tcPr>
            <w:tcW w:w="1023" w:type="dxa"/>
            <w:tcBorders>
              <w:top w:val="nil"/>
              <w:left w:val="nil"/>
              <w:bottom w:val="single" w:sz="4" w:space="0" w:color="5B9BD5"/>
              <w:right w:val="single" w:sz="4" w:space="0" w:color="5B9BD5"/>
            </w:tcBorders>
            <w:shd w:val="clear" w:color="000000" w:fill="BDD7EE"/>
            <w:vAlign w:val="center"/>
            <w:hideMark/>
          </w:tcPr>
          <w:p w:rsidR="00AE0CB1" w:rsidRPr="00AE0CB1" w:rsidRDefault="00AE0CB1" w:rsidP="00AE0CB1">
            <w:pPr>
              <w:jc w:val="center"/>
              <w:rPr>
                <w:rFonts w:cs="Calibri"/>
                <w:color w:val="000000"/>
                <w:sz w:val="16"/>
                <w:szCs w:val="16"/>
              </w:rPr>
            </w:pPr>
            <w:r w:rsidRPr="00AE0CB1">
              <w:rPr>
                <w:rFonts w:cs="Calibri"/>
                <w:color w:val="000000"/>
                <w:sz w:val="16"/>
                <w:szCs w:val="16"/>
              </w:rPr>
              <w:t>10 810,6</w:t>
            </w:r>
          </w:p>
        </w:tc>
        <w:tc>
          <w:tcPr>
            <w:tcW w:w="850" w:type="dxa"/>
            <w:tcBorders>
              <w:top w:val="nil"/>
              <w:left w:val="nil"/>
              <w:bottom w:val="single" w:sz="4" w:space="0" w:color="5B9BD5"/>
              <w:right w:val="single" w:sz="4" w:space="0" w:color="5B9BD5"/>
            </w:tcBorders>
            <w:shd w:val="clear" w:color="000000" w:fill="BDD7EE"/>
            <w:vAlign w:val="center"/>
            <w:hideMark/>
          </w:tcPr>
          <w:p w:rsidR="00AE0CB1" w:rsidRPr="00AE0CB1" w:rsidRDefault="00AE0CB1" w:rsidP="00AE0CB1">
            <w:pPr>
              <w:jc w:val="center"/>
              <w:rPr>
                <w:rFonts w:cs="Calibri"/>
                <w:color w:val="000000"/>
                <w:sz w:val="16"/>
                <w:szCs w:val="16"/>
              </w:rPr>
            </w:pPr>
            <w:r w:rsidRPr="00AE0CB1">
              <w:rPr>
                <w:rFonts w:cs="Calibri"/>
                <w:color w:val="000000"/>
                <w:sz w:val="16"/>
                <w:szCs w:val="16"/>
              </w:rPr>
              <w:t>2 175,3</w:t>
            </w:r>
          </w:p>
        </w:tc>
        <w:tc>
          <w:tcPr>
            <w:tcW w:w="850" w:type="dxa"/>
            <w:tcBorders>
              <w:top w:val="nil"/>
              <w:left w:val="nil"/>
              <w:bottom w:val="single" w:sz="4" w:space="0" w:color="5B9BD5"/>
              <w:right w:val="single" w:sz="4" w:space="0" w:color="5B9BD5"/>
            </w:tcBorders>
            <w:shd w:val="clear" w:color="000000" w:fill="BDD7EE"/>
            <w:vAlign w:val="center"/>
            <w:hideMark/>
          </w:tcPr>
          <w:p w:rsidR="00AE0CB1" w:rsidRPr="00AE0CB1" w:rsidRDefault="00AE0CB1" w:rsidP="00AE0CB1">
            <w:pPr>
              <w:jc w:val="center"/>
              <w:rPr>
                <w:rFonts w:cs="Calibri"/>
                <w:color w:val="000000"/>
                <w:sz w:val="16"/>
                <w:szCs w:val="16"/>
              </w:rPr>
            </w:pPr>
            <w:r w:rsidRPr="00AE0CB1">
              <w:rPr>
                <w:rFonts w:cs="Calibri"/>
                <w:color w:val="000000"/>
                <w:sz w:val="16"/>
                <w:szCs w:val="16"/>
              </w:rPr>
              <w:t>2 215,0</w:t>
            </w:r>
          </w:p>
        </w:tc>
        <w:tc>
          <w:tcPr>
            <w:tcW w:w="850" w:type="dxa"/>
            <w:tcBorders>
              <w:top w:val="nil"/>
              <w:left w:val="nil"/>
              <w:bottom w:val="single" w:sz="4" w:space="0" w:color="5B9BD5"/>
              <w:right w:val="single" w:sz="4" w:space="0" w:color="5B9BD5"/>
            </w:tcBorders>
            <w:shd w:val="clear" w:color="000000" w:fill="BDD7EE"/>
            <w:vAlign w:val="center"/>
            <w:hideMark/>
          </w:tcPr>
          <w:p w:rsidR="00AE0CB1" w:rsidRPr="00AE0CB1" w:rsidRDefault="00AE0CB1" w:rsidP="00AE0CB1">
            <w:pPr>
              <w:jc w:val="center"/>
              <w:rPr>
                <w:rFonts w:cs="Calibri"/>
                <w:color w:val="000000"/>
                <w:sz w:val="16"/>
                <w:szCs w:val="16"/>
              </w:rPr>
            </w:pPr>
            <w:r w:rsidRPr="00AE0CB1">
              <w:rPr>
                <w:rFonts w:cs="Calibri"/>
                <w:color w:val="000000"/>
                <w:sz w:val="16"/>
                <w:szCs w:val="16"/>
              </w:rPr>
              <w:t>5 002,2</w:t>
            </w:r>
          </w:p>
        </w:tc>
        <w:tc>
          <w:tcPr>
            <w:tcW w:w="850" w:type="dxa"/>
            <w:tcBorders>
              <w:top w:val="nil"/>
              <w:left w:val="nil"/>
              <w:bottom w:val="single" w:sz="4" w:space="0" w:color="5B9BD5"/>
              <w:right w:val="single" w:sz="4" w:space="0" w:color="5B9BD5"/>
            </w:tcBorders>
            <w:shd w:val="clear" w:color="000000" w:fill="BDD7EE"/>
            <w:vAlign w:val="center"/>
            <w:hideMark/>
          </w:tcPr>
          <w:p w:rsidR="00AE0CB1" w:rsidRPr="00AE0CB1" w:rsidRDefault="00AE0CB1" w:rsidP="00AE0CB1">
            <w:pPr>
              <w:jc w:val="center"/>
              <w:rPr>
                <w:rFonts w:cs="Calibri"/>
                <w:color w:val="000000"/>
                <w:sz w:val="16"/>
                <w:szCs w:val="16"/>
              </w:rPr>
            </w:pPr>
            <w:r w:rsidRPr="00AE0CB1">
              <w:rPr>
                <w:rFonts w:cs="Calibri"/>
                <w:color w:val="000000"/>
                <w:sz w:val="16"/>
                <w:szCs w:val="16"/>
              </w:rPr>
              <w:t>1 418</w:t>
            </w:r>
          </w:p>
        </w:tc>
      </w:tr>
      <w:tr w:rsidR="00793D44" w:rsidRPr="00793D44" w:rsidTr="00CB3A9B">
        <w:trPr>
          <w:trHeight w:val="227"/>
        </w:trPr>
        <w:tc>
          <w:tcPr>
            <w:tcW w:w="767" w:type="dxa"/>
            <w:tcBorders>
              <w:top w:val="nil"/>
              <w:left w:val="single" w:sz="4" w:space="0" w:color="5B9BD5"/>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II</w:t>
            </w:r>
          </w:p>
        </w:tc>
        <w:tc>
          <w:tcPr>
            <w:tcW w:w="4473"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ind w:firstLineChars="100" w:firstLine="180"/>
              <w:rPr>
                <w:rFonts w:cs="Calibri"/>
                <w:color w:val="000000"/>
                <w:sz w:val="18"/>
                <w:szCs w:val="18"/>
              </w:rPr>
            </w:pPr>
            <w:r w:rsidRPr="00793D44">
              <w:rPr>
                <w:rFonts w:cs="Calibri"/>
                <w:color w:val="000000"/>
                <w:sz w:val="18"/>
                <w:szCs w:val="18"/>
              </w:rPr>
              <w:t>Plant products</w:t>
            </w:r>
          </w:p>
        </w:tc>
        <w:tc>
          <w:tcPr>
            <w:tcW w:w="981"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978"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79"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22"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1"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1023"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r>
      <w:tr w:rsidR="00AE0CB1" w:rsidRPr="00793D44" w:rsidTr="00CB3A9B">
        <w:trPr>
          <w:trHeight w:val="2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3B4C2F" w:rsidP="00AE0CB1">
            <w:pPr>
              <w:jc w:val="center"/>
              <w:rPr>
                <w:rFonts w:cs="Calibri"/>
                <w:i/>
                <w:iCs/>
                <w:color w:val="000000"/>
                <w:sz w:val="18"/>
                <w:szCs w:val="18"/>
              </w:rPr>
            </w:pPr>
            <w:r>
              <w:rPr>
                <w:rFonts w:cs="Calibri"/>
                <w:i/>
                <w:iCs/>
                <w:color w:val="000000"/>
                <w:sz w:val="18"/>
                <w:szCs w:val="18"/>
                <w:lang w:val="en-US"/>
              </w:rPr>
              <w:t>0</w:t>
            </w:r>
            <w:r w:rsidR="00AE0CB1" w:rsidRPr="00793D44">
              <w:rPr>
                <w:rFonts w:cs="Calibri"/>
                <w:i/>
                <w:iCs/>
                <w:color w:val="000000"/>
                <w:sz w:val="18"/>
                <w:szCs w:val="18"/>
              </w:rPr>
              <w:t>602</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sz w:val="18"/>
                <w:szCs w:val="18"/>
                <w:lang w:val="en-US"/>
              </w:rPr>
            </w:pPr>
            <w:r w:rsidRPr="00793D44">
              <w:rPr>
                <w:rFonts w:cs="Calibri"/>
                <w:i/>
                <w:iCs/>
                <w:sz w:val="18"/>
                <w:szCs w:val="18"/>
                <w:lang w:val="en-US"/>
              </w:rPr>
              <w:t>Other live plants (including their roots), cuttings and layering; fungus mycelium:</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4,4</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43,9</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12,2</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19,5</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1,3</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10,8</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63,9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52,3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9,8</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0,2</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1,6</w:t>
            </w:r>
          </w:p>
        </w:tc>
      </w:tr>
      <w:tr w:rsidR="00AE0CB1" w:rsidRPr="00793D44" w:rsidTr="00CB3A9B">
        <w:trPr>
          <w:trHeight w:val="2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3B4C2F" w:rsidP="00AE0CB1">
            <w:pPr>
              <w:jc w:val="center"/>
              <w:rPr>
                <w:rFonts w:cs="Calibri"/>
                <w:i/>
                <w:iCs/>
                <w:color w:val="000000"/>
                <w:sz w:val="18"/>
                <w:szCs w:val="18"/>
              </w:rPr>
            </w:pPr>
            <w:r>
              <w:rPr>
                <w:rFonts w:cs="Calibri"/>
                <w:i/>
                <w:iCs/>
                <w:color w:val="000000"/>
                <w:sz w:val="18"/>
                <w:szCs w:val="18"/>
                <w:lang w:val="en-US"/>
              </w:rPr>
              <w:t>0</w:t>
            </w:r>
            <w:r w:rsidR="00AE0CB1" w:rsidRPr="00793D44">
              <w:rPr>
                <w:rFonts w:cs="Calibri"/>
                <w:i/>
                <w:iCs/>
                <w:color w:val="000000"/>
                <w:sz w:val="18"/>
                <w:szCs w:val="18"/>
              </w:rPr>
              <w:t>702</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rPr>
            </w:pPr>
            <w:r w:rsidRPr="00793D44">
              <w:rPr>
                <w:rFonts w:cs="Calibri"/>
                <w:i/>
                <w:iCs/>
                <w:color w:val="000000"/>
                <w:sz w:val="18"/>
                <w:szCs w:val="18"/>
              </w:rPr>
              <w:t>Tomatoes fresh or chilled:</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47,7</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69,7</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9,1</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50,4</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3,6</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6,6</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65,9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11,9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42,3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2,5</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9,3</w:t>
            </w:r>
          </w:p>
        </w:tc>
      </w:tr>
      <w:tr w:rsidR="00AE0CB1" w:rsidRPr="00793D44" w:rsidTr="00CB3A9B">
        <w:trPr>
          <w:trHeight w:val="2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3B4C2F" w:rsidP="00AE0CB1">
            <w:pPr>
              <w:jc w:val="center"/>
              <w:rPr>
                <w:rFonts w:cs="Calibri"/>
                <w:i/>
                <w:iCs/>
                <w:color w:val="000000"/>
                <w:sz w:val="18"/>
                <w:szCs w:val="18"/>
              </w:rPr>
            </w:pPr>
            <w:r>
              <w:rPr>
                <w:rFonts w:cs="Calibri"/>
                <w:i/>
                <w:iCs/>
                <w:color w:val="000000"/>
                <w:sz w:val="18"/>
                <w:szCs w:val="18"/>
                <w:lang w:val="en-US"/>
              </w:rPr>
              <w:t>0</w:t>
            </w:r>
            <w:r w:rsidR="00AE0CB1" w:rsidRPr="00793D44">
              <w:rPr>
                <w:rFonts w:cs="Calibri"/>
                <w:i/>
                <w:iCs/>
                <w:color w:val="000000"/>
                <w:sz w:val="18"/>
                <w:szCs w:val="18"/>
              </w:rPr>
              <w:t>703</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lang w:val="en-US"/>
              </w:rPr>
            </w:pPr>
            <w:r w:rsidRPr="00793D44">
              <w:rPr>
                <w:rFonts w:cs="Calibri"/>
                <w:i/>
                <w:iCs/>
                <w:color w:val="000000"/>
                <w:sz w:val="18"/>
                <w:szCs w:val="18"/>
                <w:lang w:val="en-US"/>
              </w:rPr>
              <w:t>Onions, shallots [charlotte], leeks, garlic and other bulbous vegetables, fresh or chilled:</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18,9</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75,5</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27,7</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37,8</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0,8</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9,3</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38,0</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7,9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24,5</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4,2</w:t>
            </w:r>
          </w:p>
        </w:tc>
      </w:tr>
      <w:tr w:rsidR="00AE0CB1" w:rsidRPr="00793D44" w:rsidTr="00CB3A9B">
        <w:trPr>
          <w:trHeight w:val="34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3B4C2F" w:rsidP="00AE0CB1">
            <w:pPr>
              <w:jc w:val="center"/>
              <w:rPr>
                <w:rFonts w:cs="Calibri"/>
                <w:i/>
                <w:iCs/>
                <w:color w:val="000000"/>
                <w:sz w:val="18"/>
                <w:szCs w:val="18"/>
              </w:rPr>
            </w:pPr>
            <w:r>
              <w:rPr>
                <w:rFonts w:cs="Calibri"/>
                <w:i/>
                <w:iCs/>
                <w:color w:val="000000"/>
                <w:sz w:val="18"/>
                <w:szCs w:val="18"/>
                <w:lang w:val="en-US"/>
              </w:rPr>
              <w:t>0</w:t>
            </w:r>
            <w:r w:rsidR="00AE0CB1" w:rsidRPr="00793D44">
              <w:rPr>
                <w:rFonts w:cs="Calibri"/>
                <w:i/>
                <w:iCs/>
                <w:color w:val="000000"/>
                <w:sz w:val="18"/>
                <w:szCs w:val="18"/>
              </w:rPr>
              <w:t>704</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sz w:val="18"/>
                <w:szCs w:val="18"/>
                <w:lang w:val="en-US"/>
              </w:rPr>
            </w:pPr>
            <w:r w:rsidRPr="00793D44">
              <w:rPr>
                <w:rFonts w:cs="Calibri"/>
                <w:i/>
                <w:iCs/>
                <w:sz w:val="18"/>
                <w:szCs w:val="18"/>
                <w:lang w:val="en-US"/>
              </w:rPr>
              <w:t>Other vegetables, fresh or chilled:</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15,3</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36,7</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12,5</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22,0</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0,1</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2,2</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20,8</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10,8</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7,3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0,3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2,4</w:t>
            </w:r>
          </w:p>
        </w:tc>
      </w:tr>
      <w:tr w:rsidR="00AE0CB1" w:rsidRPr="00793D44" w:rsidTr="00CB3A9B">
        <w:trPr>
          <w:trHeight w:val="34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3B4C2F" w:rsidP="00AE0CB1">
            <w:pPr>
              <w:jc w:val="center"/>
              <w:rPr>
                <w:rFonts w:cs="Calibri"/>
                <w:i/>
                <w:iCs/>
                <w:color w:val="000000"/>
                <w:sz w:val="18"/>
                <w:szCs w:val="18"/>
              </w:rPr>
            </w:pPr>
            <w:r>
              <w:rPr>
                <w:rFonts w:cs="Calibri"/>
                <w:i/>
                <w:iCs/>
                <w:color w:val="000000"/>
                <w:sz w:val="18"/>
                <w:szCs w:val="18"/>
                <w:lang w:val="en-US"/>
              </w:rPr>
              <w:t>0</w:t>
            </w:r>
            <w:r w:rsidR="00AE0CB1" w:rsidRPr="00793D44">
              <w:rPr>
                <w:rFonts w:cs="Calibri"/>
                <w:i/>
                <w:iCs/>
                <w:color w:val="000000"/>
                <w:sz w:val="18"/>
                <w:szCs w:val="18"/>
              </w:rPr>
              <w:t>709</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lang w:val="en-US"/>
              </w:rPr>
            </w:pPr>
            <w:r w:rsidRPr="00793D44">
              <w:rPr>
                <w:rFonts w:cs="Calibri"/>
                <w:i/>
                <w:iCs/>
                <w:color w:val="000000"/>
                <w:sz w:val="18"/>
                <w:szCs w:val="18"/>
                <w:lang w:val="en-US"/>
              </w:rPr>
              <w:t>Vegetables, leguminous dried, shelled, whether or not skinned or split</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44,8</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39,4</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9,4</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16,3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4,4</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9,3</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32,7</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6,8</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14,7</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4,6</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6,5</w:t>
            </w:r>
          </w:p>
        </w:tc>
      </w:tr>
      <w:tr w:rsidR="00AE0CB1" w:rsidRPr="00793D44" w:rsidTr="00CB3A9B">
        <w:trPr>
          <w:trHeight w:val="34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3B4C2F" w:rsidP="00AE0CB1">
            <w:pPr>
              <w:jc w:val="center"/>
              <w:rPr>
                <w:rFonts w:cs="Calibri"/>
                <w:i/>
                <w:iCs/>
                <w:color w:val="000000"/>
                <w:sz w:val="18"/>
                <w:szCs w:val="18"/>
              </w:rPr>
            </w:pPr>
            <w:r>
              <w:rPr>
                <w:rFonts w:cs="Calibri"/>
                <w:i/>
                <w:iCs/>
                <w:color w:val="000000"/>
                <w:sz w:val="18"/>
                <w:szCs w:val="18"/>
                <w:lang w:val="en-US"/>
              </w:rPr>
              <w:t>0</w:t>
            </w:r>
            <w:r w:rsidR="00AE0CB1" w:rsidRPr="00793D44">
              <w:rPr>
                <w:rFonts w:cs="Calibri"/>
                <w:i/>
                <w:iCs/>
                <w:color w:val="000000"/>
                <w:sz w:val="18"/>
                <w:szCs w:val="18"/>
              </w:rPr>
              <w:t>713</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rPr>
            </w:pPr>
            <w:r w:rsidRPr="00793D44">
              <w:rPr>
                <w:rFonts w:cs="Calibri"/>
                <w:i/>
                <w:iCs/>
                <w:color w:val="000000"/>
                <w:sz w:val="18"/>
                <w:szCs w:val="18"/>
              </w:rPr>
              <w:t>Grapes, fresh or dried</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145,2</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183,8</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30,0</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54,6</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46,0</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53,2</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197,7</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29,5</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22,2</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32,7</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113,4</w:t>
            </w:r>
          </w:p>
        </w:tc>
      </w:tr>
      <w:tr w:rsidR="00AE0CB1" w:rsidRPr="00793D44" w:rsidTr="00CB3A9B">
        <w:trPr>
          <w:trHeight w:val="34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3B4C2F" w:rsidP="00AE0CB1">
            <w:pPr>
              <w:jc w:val="center"/>
              <w:rPr>
                <w:rFonts w:cs="Calibri"/>
                <w:i/>
                <w:iCs/>
                <w:color w:val="000000"/>
                <w:sz w:val="18"/>
                <w:szCs w:val="18"/>
              </w:rPr>
            </w:pPr>
            <w:r>
              <w:rPr>
                <w:rFonts w:cs="Calibri"/>
                <w:i/>
                <w:iCs/>
                <w:color w:val="000000"/>
                <w:sz w:val="18"/>
                <w:szCs w:val="18"/>
                <w:lang w:val="en-US"/>
              </w:rPr>
              <w:t>0</w:t>
            </w:r>
            <w:r w:rsidR="00AE0CB1" w:rsidRPr="00793D44">
              <w:rPr>
                <w:rFonts w:cs="Calibri"/>
                <w:i/>
                <w:iCs/>
                <w:color w:val="000000"/>
                <w:sz w:val="18"/>
                <w:szCs w:val="18"/>
              </w:rPr>
              <w:t>806</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lang w:val="en-US"/>
              </w:rPr>
            </w:pPr>
            <w:r w:rsidRPr="00793D44">
              <w:rPr>
                <w:rFonts w:cs="Calibri"/>
                <w:i/>
                <w:iCs/>
                <w:color w:val="000000"/>
                <w:sz w:val="18"/>
                <w:szCs w:val="18"/>
                <w:lang w:val="en-US"/>
              </w:rPr>
              <w:t>Apricots, cherries and wild cherries, peaches (including nectarines), plum and sloes, fresh</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188,9</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223,3</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26,7</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41,2</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89,8</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65,5</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188,8</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21,7</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10,6</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86,5</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70,0</w:t>
            </w:r>
          </w:p>
        </w:tc>
      </w:tr>
      <w:tr w:rsidR="00AE0CB1" w:rsidRPr="00793D44" w:rsidTr="00CB3A9B">
        <w:trPr>
          <w:trHeight w:val="34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3B4C2F" w:rsidP="00AE0CB1">
            <w:pPr>
              <w:jc w:val="center"/>
              <w:rPr>
                <w:rFonts w:cs="Calibri"/>
                <w:i/>
                <w:iCs/>
                <w:color w:val="000000"/>
                <w:sz w:val="18"/>
                <w:szCs w:val="18"/>
              </w:rPr>
            </w:pPr>
            <w:r>
              <w:rPr>
                <w:rFonts w:cs="Calibri"/>
                <w:i/>
                <w:iCs/>
                <w:color w:val="000000"/>
                <w:sz w:val="18"/>
                <w:szCs w:val="18"/>
                <w:lang w:val="en-US"/>
              </w:rPr>
              <w:t>0</w:t>
            </w:r>
            <w:r w:rsidR="00AE0CB1" w:rsidRPr="00793D44">
              <w:rPr>
                <w:rFonts w:cs="Calibri"/>
                <w:i/>
                <w:iCs/>
                <w:color w:val="000000"/>
                <w:sz w:val="18"/>
                <w:szCs w:val="18"/>
              </w:rPr>
              <w:t>809</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rPr>
            </w:pPr>
            <w:r w:rsidRPr="00793D44">
              <w:rPr>
                <w:rFonts w:cs="Calibri"/>
                <w:i/>
                <w:iCs/>
                <w:color w:val="000000"/>
                <w:sz w:val="18"/>
                <w:szCs w:val="18"/>
              </w:rPr>
              <w:t>Other fruits, fresh:</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251,6</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209,9</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153,4</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55,5</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1,1</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189,2</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124,3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64,3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0,5</w:t>
            </w:r>
          </w:p>
        </w:tc>
      </w:tr>
      <w:tr w:rsidR="00AE0CB1" w:rsidRPr="00793D44" w:rsidTr="00CB3A9B">
        <w:trPr>
          <w:trHeight w:val="34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3B4C2F" w:rsidP="00AE0CB1">
            <w:pPr>
              <w:jc w:val="center"/>
              <w:rPr>
                <w:rFonts w:cs="Calibri"/>
                <w:i/>
                <w:iCs/>
                <w:color w:val="000000"/>
                <w:sz w:val="18"/>
                <w:szCs w:val="18"/>
              </w:rPr>
            </w:pPr>
            <w:r>
              <w:rPr>
                <w:rFonts w:cs="Calibri"/>
                <w:i/>
                <w:iCs/>
                <w:color w:val="000000"/>
                <w:sz w:val="18"/>
                <w:szCs w:val="18"/>
                <w:lang w:val="en-US"/>
              </w:rPr>
              <w:t>0</w:t>
            </w:r>
            <w:r w:rsidR="00AE0CB1" w:rsidRPr="00793D44">
              <w:rPr>
                <w:rFonts w:cs="Calibri"/>
                <w:i/>
                <w:iCs/>
                <w:color w:val="000000"/>
                <w:sz w:val="18"/>
                <w:szCs w:val="18"/>
              </w:rPr>
              <w:t>813</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lang w:val="en-US"/>
              </w:rPr>
            </w:pPr>
            <w:r w:rsidRPr="00793D44">
              <w:rPr>
                <w:rFonts w:cs="Calibri"/>
                <w:i/>
                <w:iCs/>
                <w:color w:val="000000"/>
                <w:sz w:val="18"/>
                <w:szCs w:val="18"/>
                <w:lang w:val="en-US"/>
              </w:rPr>
              <w:t>Dried fruits, except for fruits of commodity items 0801 - 0806; mixtures of nuts or dried fruits of this group:</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35,1</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40,8</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11,1</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8,6</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8,7</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12,4</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50,6</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10,0</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6,4</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14,5</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19,8</w:t>
            </w:r>
          </w:p>
        </w:tc>
      </w:tr>
      <w:tr w:rsidR="00AE0CB1" w:rsidRPr="00793D44" w:rsidTr="00CB3A9B">
        <w:trPr>
          <w:trHeight w:val="34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3B4C2F" w:rsidP="00AE0CB1">
            <w:pPr>
              <w:jc w:val="center"/>
              <w:rPr>
                <w:rFonts w:cs="Calibri"/>
                <w:i/>
                <w:iCs/>
                <w:color w:val="000000"/>
                <w:sz w:val="18"/>
                <w:szCs w:val="18"/>
              </w:rPr>
            </w:pPr>
            <w:r>
              <w:rPr>
                <w:rFonts w:cs="Calibri"/>
                <w:i/>
                <w:iCs/>
                <w:color w:val="000000"/>
                <w:sz w:val="18"/>
                <w:szCs w:val="18"/>
                <w:lang w:val="en-US"/>
              </w:rPr>
              <w:t>0</w:t>
            </w:r>
            <w:r w:rsidR="00AE0CB1" w:rsidRPr="00793D44">
              <w:rPr>
                <w:rFonts w:cs="Calibri"/>
                <w:i/>
                <w:iCs/>
                <w:color w:val="000000"/>
                <w:sz w:val="18"/>
                <w:szCs w:val="18"/>
              </w:rPr>
              <w:t>904</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lang w:val="en-US"/>
              </w:rPr>
            </w:pPr>
            <w:r w:rsidRPr="00793D44">
              <w:rPr>
                <w:rFonts w:cs="Calibri"/>
                <w:i/>
                <w:iCs/>
                <w:color w:val="000000"/>
                <w:sz w:val="18"/>
                <w:szCs w:val="18"/>
                <w:lang w:val="en-US"/>
              </w:rPr>
              <w:t>Pepper genus Piper; fruits of the genus Capsicum or the genus Pimenta, dried, crushed or ground:</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11,2</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78,6</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25,0</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40,8</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9,1</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3,8</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13,8</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2,2</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6,4</w:t>
            </w:r>
          </w:p>
        </w:tc>
      </w:tr>
      <w:tr w:rsidR="00AE0CB1" w:rsidRPr="00793D44" w:rsidTr="00CB3A9B">
        <w:trPr>
          <w:trHeight w:val="113"/>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i/>
                <w:iCs/>
                <w:color w:val="000000"/>
                <w:sz w:val="18"/>
                <w:szCs w:val="18"/>
              </w:rPr>
            </w:pPr>
            <w:r w:rsidRPr="00793D44">
              <w:rPr>
                <w:rFonts w:cs="Calibri"/>
                <w:i/>
                <w:iCs/>
                <w:color w:val="000000"/>
                <w:sz w:val="18"/>
                <w:szCs w:val="18"/>
              </w:rPr>
              <w:t>1001</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rPr>
            </w:pPr>
            <w:r w:rsidRPr="00793D44">
              <w:rPr>
                <w:rFonts w:cs="Calibri"/>
                <w:i/>
                <w:iCs/>
                <w:color w:val="000000"/>
                <w:sz w:val="18"/>
                <w:szCs w:val="18"/>
              </w:rPr>
              <w:t>Wheat or meslin</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54,7</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24,3</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1,8</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6,6</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13,6</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19,1</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2,8</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4,5</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1,5</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10,3</w:t>
            </w:r>
          </w:p>
        </w:tc>
      </w:tr>
      <w:tr w:rsidR="00AE0CB1" w:rsidRPr="00793D44" w:rsidTr="00CB3A9B">
        <w:trPr>
          <w:trHeight w:val="113"/>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i/>
                <w:iCs/>
                <w:color w:val="000000"/>
                <w:sz w:val="18"/>
                <w:szCs w:val="18"/>
              </w:rPr>
            </w:pPr>
            <w:r w:rsidRPr="00793D44">
              <w:rPr>
                <w:rFonts w:cs="Calibri"/>
                <w:i/>
                <w:iCs/>
                <w:color w:val="000000"/>
                <w:sz w:val="18"/>
                <w:szCs w:val="18"/>
              </w:rPr>
              <w:t>1101</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sz w:val="18"/>
                <w:szCs w:val="18"/>
              </w:rPr>
            </w:pPr>
            <w:r w:rsidRPr="00793D44">
              <w:rPr>
                <w:rFonts w:cs="Calibri"/>
                <w:i/>
                <w:iCs/>
                <w:sz w:val="18"/>
                <w:szCs w:val="18"/>
              </w:rPr>
              <w:t>Wheat or rye flour</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13,5</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100,4</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6,4</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13,7</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34,1</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46,3</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62,3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15,8</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13,4</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13,7</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19,5</w:t>
            </w:r>
          </w:p>
        </w:tc>
      </w:tr>
      <w:tr w:rsidR="00793D44" w:rsidRPr="00793D44" w:rsidTr="00CB3A9B">
        <w:trPr>
          <w:trHeight w:val="340"/>
        </w:trPr>
        <w:tc>
          <w:tcPr>
            <w:tcW w:w="767" w:type="dxa"/>
            <w:tcBorders>
              <w:top w:val="nil"/>
              <w:left w:val="single" w:sz="4" w:space="0" w:color="5B9BD5"/>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V</w:t>
            </w:r>
          </w:p>
        </w:tc>
        <w:tc>
          <w:tcPr>
            <w:tcW w:w="4473"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ind w:firstLineChars="100" w:firstLine="180"/>
              <w:rPr>
                <w:rFonts w:cs="Calibri"/>
                <w:color w:val="000000"/>
                <w:sz w:val="18"/>
                <w:szCs w:val="18"/>
              </w:rPr>
            </w:pPr>
            <w:r w:rsidRPr="00793D44">
              <w:rPr>
                <w:rFonts w:cs="Calibri"/>
                <w:color w:val="000000"/>
                <w:sz w:val="18"/>
                <w:szCs w:val="18"/>
              </w:rPr>
              <w:t>Mineral products</w:t>
            </w:r>
          </w:p>
        </w:tc>
        <w:tc>
          <w:tcPr>
            <w:tcW w:w="981"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978"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79"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22"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1"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1023"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r>
      <w:tr w:rsidR="00AE0CB1" w:rsidRPr="00793D44" w:rsidTr="00CB3A9B">
        <w:trPr>
          <w:trHeight w:val="2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i/>
                <w:iCs/>
                <w:color w:val="000000"/>
                <w:sz w:val="18"/>
                <w:szCs w:val="18"/>
              </w:rPr>
            </w:pPr>
            <w:r w:rsidRPr="00793D44">
              <w:rPr>
                <w:rFonts w:cs="Calibri"/>
                <w:i/>
                <w:iCs/>
                <w:color w:val="000000"/>
                <w:sz w:val="18"/>
                <w:szCs w:val="18"/>
              </w:rPr>
              <w:t>2710</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sz w:val="18"/>
                <w:szCs w:val="18"/>
                <w:lang w:val="en-US"/>
              </w:rPr>
            </w:pPr>
            <w:r w:rsidRPr="00793D44">
              <w:rPr>
                <w:rFonts w:cs="Calibri"/>
                <w:i/>
                <w:iCs/>
                <w:sz w:val="18"/>
                <w:szCs w:val="18"/>
                <w:lang w:val="en-US"/>
              </w:rPr>
              <w:t>Petroleum and petroleum products obtained from bituminous rocks other than crude; products, not elsewhere specified or included, containing 70 wt.% or more of oil or petroleum products obtained from bituminious rocks, and these petroleum products are</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30,1</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52,1</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3,8</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27,7</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8,1</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12,5</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32,3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8,6</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7,6</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9,0</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7,2</w:t>
            </w:r>
          </w:p>
        </w:tc>
      </w:tr>
      <w:tr w:rsidR="00AE0CB1" w:rsidRPr="00793D44" w:rsidTr="00CB3A9B">
        <w:trPr>
          <w:trHeight w:val="37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i/>
                <w:iCs/>
                <w:color w:val="000000"/>
                <w:sz w:val="18"/>
                <w:szCs w:val="18"/>
              </w:rPr>
            </w:pPr>
            <w:r w:rsidRPr="00793D44">
              <w:rPr>
                <w:rFonts w:cs="Calibri"/>
                <w:i/>
                <w:iCs/>
                <w:color w:val="000000"/>
                <w:sz w:val="18"/>
                <w:szCs w:val="18"/>
              </w:rPr>
              <w:t>2711</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lang w:val="en-US"/>
              </w:rPr>
            </w:pPr>
            <w:r w:rsidRPr="00793D44">
              <w:rPr>
                <w:rFonts w:cs="Calibri"/>
                <w:i/>
                <w:iCs/>
                <w:color w:val="000000"/>
                <w:sz w:val="18"/>
                <w:szCs w:val="18"/>
                <w:lang w:val="en-US"/>
              </w:rPr>
              <w:t>Petroleum gases and other gaseous hydrocarbons</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2 807,8</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2 260,8</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337,3</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616,1</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639,4</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668,1</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487,6</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140,5</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98,9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134,1</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114,1</w:t>
            </w:r>
          </w:p>
        </w:tc>
      </w:tr>
      <w:tr w:rsidR="00AE0CB1" w:rsidRPr="00793D44" w:rsidTr="00CB3A9B">
        <w:trPr>
          <w:trHeight w:val="274"/>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i/>
                <w:iCs/>
                <w:color w:val="000000"/>
                <w:sz w:val="18"/>
                <w:szCs w:val="18"/>
              </w:rPr>
            </w:pPr>
            <w:r w:rsidRPr="00793D44">
              <w:rPr>
                <w:rFonts w:cs="Calibri"/>
                <w:i/>
                <w:iCs/>
                <w:color w:val="000000"/>
                <w:sz w:val="18"/>
                <w:szCs w:val="18"/>
              </w:rPr>
              <w:t>2716</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rPr>
            </w:pPr>
            <w:r w:rsidRPr="00793D44">
              <w:rPr>
                <w:rFonts w:cs="Calibri"/>
                <w:i/>
                <w:iCs/>
                <w:color w:val="000000"/>
                <w:sz w:val="18"/>
                <w:szCs w:val="18"/>
              </w:rPr>
              <w:t xml:space="preserve">Electricity </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173,5</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96,5</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38,7</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10,1</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12,7</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35,0</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135,0</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38,7</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9,7</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47,1</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39,5</w:t>
            </w:r>
          </w:p>
        </w:tc>
      </w:tr>
      <w:tr w:rsidR="00793D44" w:rsidRPr="00793D44" w:rsidTr="00CB3A9B">
        <w:trPr>
          <w:trHeight w:val="340"/>
        </w:trPr>
        <w:tc>
          <w:tcPr>
            <w:tcW w:w="767" w:type="dxa"/>
            <w:tcBorders>
              <w:top w:val="nil"/>
              <w:left w:val="single" w:sz="4" w:space="0" w:color="5B9BD5"/>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lastRenderedPageBreak/>
              <w:t>VI</w:t>
            </w:r>
          </w:p>
        </w:tc>
        <w:tc>
          <w:tcPr>
            <w:tcW w:w="4473"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ind w:firstLineChars="100" w:firstLine="180"/>
              <w:rPr>
                <w:rFonts w:cs="Calibri"/>
                <w:color w:val="000000"/>
                <w:sz w:val="18"/>
                <w:szCs w:val="18"/>
              </w:rPr>
            </w:pPr>
            <w:r w:rsidRPr="00793D44">
              <w:rPr>
                <w:rFonts w:cs="Calibri"/>
                <w:color w:val="000000"/>
                <w:sz w:val="18"/>
                <w:szCs w:val="18"/>
              </w:rPr>
              <w:t>Products of chemical industry</w:t>
            </w:r>
          </w:p>
        </w:tc>
        <w:tc>
          <w:tcPr>
            <w:tcW w:w="981"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978"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79"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22"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1"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1023"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r>
      <w:tr w:rsidR="00AE0CB1" w:rsidRPr="00793D44" w:rsidTr="00CB3A9B">
        <w:trPr>
          <w:trHeight w:val="977"/>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i/>
                <w:iCs/>
                <w:color w:val="000000"/>
                <w:sz w:val="18"/>
                <w:szCs w:val="18"/>
              </w:rPr>
            </w:pPr>
            <w:r w:rsidRPr="00793D44">
              <w:rPr>
                <w:rFonts w:cs="Calibri"/>
                <w:i/>
                <w:iCs/>
                <w:color w:val="000000"/>
                <w:sz w:val="18"/>
                <w:szCs w:val="18"/>
              </w:rPr>
              <w:t>2844</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lang w:val="en-US"/>
              </w:rPr>
            </w:pPr>
            <w:r w:rsidRPr="00793D44">
              <w:rPr>
                <w:rFonts w:cs="Calibri"/>
                <w:i/>
                <w:iCs/>
                <w:color w:val="000000"/>
                <w:sz w:val="18"/>
                <w:szCs w:val="18"/>
                <w:lang w:val="en-US"/>
              </w:rPr>
              <w:t>Radioactive chemical elements and radioactive isotopes (including fissile and fertile chemical elements and isotopes) and their compounds; mixtures and residues containing these products</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218,2</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238,8</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68,8</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59,9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54,9</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55,2</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255,6</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59,6</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66,1</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70,0</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59,8</w:t>
            </w:r>
          </w:p>
        </w:tc>
      </w:tr>
      <w:tr w:rsidR="00AE0CB1" w:rsidRPr="00793D44" w:rsidTr="00CB3A9B">
        <w:trPr>
          <w:trHeight w:val="34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i/>
                <w:iCs/>
                <w:color w:val="000000"/>
                <w:sz w:val="18"/>
                <w:szCs w:val="18"/>
              </w:rPr>
            </w:pPr>
            <w:r w:rsidRPr="00793D44">
              <w:rPr>
                <w:rFonts w:cs="Calibri"/>
                <w:i/>
                <w:iCs/>
                <w:color w:val="000000"/>
                <w:sz w:val="18"/>
                <w:szCs w:val="18"/>
              </w:rPr>
              <w:t>3102</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lang w:val="en-US"/>
              </w:rPr>
            </w:pPr>
            <w:r w:rsidRPr="00793D44">
              <w:rPr>
                <w:rFonts w:cs="Calibri"/>
                <w:i/>
                <w:iCs/>
                <w:color w:val="000000"/>
                <w:sz w:val="18"/>
                <w:szCs w:val="18"/>
                <w:lang w:val="en-US"/>
              </w:rPr>
              <w:t>Fertilizers; mineral or chemical, nitrogenous</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94,5</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93,8</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26,6</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26,5</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25,2</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15,5</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101,1</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27,1</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24,2</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28,0</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21,8</w:t>
            </w:r>
          </w:p>
        </w:tc>
      </w:tr>
      <w:tr w:rsidR="00793D44" w:rsidRPr="00D040FC" w:rsidTr="00CB3A9B">
        <w:trPr>
          <w:trHeight w:val="340"/>
        </w:trPr>
        <w:tc>
          <w:tcPr>
            <w:tcW w:w="767" w:type="dxa"/>
            <w:tcBorders>
              <w:top w:val="nil"/>
              <w:left w:val="single" w:sz="4" w:space="0" w:color="5B9BD5"/>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VII</w:t>
            </w:r>
          </w:p>
        </w:tc>
        <w:tc>
          <w:tcPr>
            <w:tcW w:w="4473"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ind w:firstLineChars="100" w:firstLine="180"/>
              <w:rPr>
                <w:rFonts w:cs="Calibri"/>
                <w:color w:val="000000"/>
                <w:sz w:val="18"/>
                <w:szCs w:val="18"/>
                <w:lang w:val="en-US"/>
              </w:rPr>
            </w:pPr>
            <w:r w:rsidRPr="00793D44">
              <w:rPr>
                <w:rFonts w:cs="Calibri"/>
                <w:color w:val="000000"/>
                <w:sz w:val="18"/>
                <w:szCs w:val="18"/>
                <w:lang w:val="en-US"/>
              </w:rPr>
              <w:t>Plastic materials and products, rubbers</w:t>
            </w:r>
          </w:p>
        </w:tc>
        <w:tc>
          <w:tcPr>
            <w:tcW w:w="981"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978"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79"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22"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1"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1023"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r>
      <w:tr w:rsidR="00AE0CB1" w:rsidRPr="00793D44" w:rsidTr="00CB3A9B">
        <w:trPr>
          <w:trHeight w:val="531"/>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i/>
                <w:iCs/>
                <w:color w:val="000000"/>
                <w:sz w:val="18"/>
                <w:szCs w:val="18"/>
              </w:rPr>
            </w:pPr>
            <w:r w:rsidRPr="00793D44">
              <w:rPr>
                <w:rFonts w:cs="Calibri"/>
                <w:i/>
                <w:iCs/>
                <w:color w:val="000000"/>
                <w:sz w:val="18"/>
                <w:szCs w:val="18"/>
              </w:rPr>
              <w:t>3901</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lang w:val="en-US"/>
              </w:rPr>
            </w:pPr>
            <w:r w:rsidRPr="00793D44">
              <w:rPr>
                <w:rFonts w:cs="Calibri"/>
                <w:i/>
                <w:iCs/>
                <w:color w:val="000000"/>
                <w:sz w:val="18"/>
                <w:szCs w:val="18"/>
                <w:lang w:val="en-US"/>
              </w:rPr>
              <w:t>Polymers of ethylene, in primary forms</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rPr>
            </w:pPr>
            <w:r w:rsidRPr="00AE0CB1">
              <w:rPr>
                <w:rFonts w:cs="Calibri"/>
                <w:i/>
                <w:iCs/>
                <w:color w:val="000000"/>
                <w:sz w:val="16"/>
              </w:rPr>
              <w:t>469,1</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rPr>
            </w:pPr>
            <w:r w:rsidRPr="00AE0CB1">
              <w:rPr>
                <w:rFonts w:cs="Calibri"/>
                <w:i/>
                <w:iCs/>
                <w:color w:val="000000"/>
                <w:sz w:val="16"/>
              </w:rPr>
              <w:t>373,1</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rPr>
            </w:pPr>
            <w:r w:rsidRPr="00AE0CB1">
              <w:rPr>
                <w:rFonts w:cs="Calibri"/>
                <w:i/>
                <w:iCs/>
                <w:color w:val="000000"/>
                <w:sz w:val="16"/>
              </w:rPr>
              <w:t>93,1</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rPr>
            </w:pPr>
            <w:r w:rsidRPr="00AE0CB1">
              <w:rPr>
                <w:rFonts w:cs="Calibri"/>
                <w:i/>
                <w:iCs/>
                <w:color w:val="000000"/>
                <w:sz w:val="16"/>
              </w:rPr>
              <w:t>103,3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rPr>
            </w:pPr>
            <w:r w:rsidRPr="00AE0CB1">
              <w:rPr>
                <w:rFonts w:cs="Calibri"/>
                <w:i/>
                <w:iCs/>
                <w:color w:val="000000"/>
                <w:sz w:val="16"/>
              </w:rPr>
              <w:t>92,0</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rPr>
            </w:pPr>
            <w:r w:rsidRPr="00AE0CB1">
              <w:rPr>
                <w:rFonts w:cs="Calibri"/>
                <w:i/>
                <w:iCs/>
                <w:color w:val="000000"/>
                <w:sz w:val="16"/>
              </w:rPr>
              <w:t>84,7</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rPr>
            </w:pPr>
            <w:r w:rsidRPr="00AE0CB1">
              <w:rPr>
                <w:rFonts w:cs="Calibri"/>
                <w:i/>
                <w:iCs/>
                <w:color w:val="000000"/>
                <w:sz w:val="16"/>
              </w:rPr>
              <w:t>265,1</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rPr>
            </w:pPr>
            <w:r w:rsidRPr="00AE0CB1">
              <w:rPr>
                <w:rFonts w:cs="Calibri"/>
                <w:i/>
                <w:iCs/>
                <w:color w:val="000000"/>
                <w:sz w:val="16"/>
              </w:rPr>
              <w:t>69,0</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rPr>
            </w:pPr>
            <w:r w:rsidRPr="00AE0CB1">
              <w:rPr>
                <w:rFonts w:cs="Calibri"/>
                <w:i/>
                <w:iCs/>
                <w:color w:val="000000"/>
                <w:sz w:val="16"/>
              </w:rPr>
              <w:t>58,9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rPr>
            </w:pPr>
            <w:r w:rsidRPr="00AE0CB1">
              <w:rPr>
                <w:rFonts w:cs="Calibri"/>
                <w:i/>
                <w:iCs/>
                <w:color w:val="000000"/>
                <w:sz w:val="16"/>
              </w:rPr>
              <w:t>56,4</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rPr>
            </w:pPr>
            <w:r w:rsidRPr="00AE0CB1">
              <w:rPr>
                <w:rFonts w:cs="Calibri"/>
                <w:i/>
                <w:iCs/>
                <w:color w:val="000000"/>
                <w:sz w:val="16"/>
              </w:rPr>
              <w:t>80,7</w:t>
            </w:r>
          </w:p>
        </w:tc>
      </w:tr>
      <w:tr w:rsidR="00793D44" w:rsidRPr="00D040FC" w:rsidTr="00CB3A9B">
        <w:trPr>
          <w:trHeight w:val="607"/>
        </w:trPr>
        <w:tc>
          <w:tcPr>
            <w:tcW w:w="767" w:type="dxa"/>
            <w:tcBorders>
              <w:top w:val="nil"/>
              <w:left w:val="single" w:sz="4" w:space="0" w:color="5B9BD5"/>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VIII</w:t>
            </w:r>
          </w:p>
        </w:tc>
        <w:tc>
          <w:tcPr>
            <w:tcW w:w="4473"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ind w:firstLineChars="100" w:firstLine="180"/>
              <w:rPr>
                <w:rFonts w:cs="Calibri"/>
                <w:color w:val="000000"/>
                <w:sz w:val="18"/>
                <w:szCs w:val="18"/>
                <w:lang w:val="en-US"/>
              </w:rPr>
            </w:pPr>
            <w:r w:rsidRPr="00793D44">
              <w:rPr>
                <w:rFonts w:cs="Calibri"/>
                <w:color w:val="000000"/>
                <w:sz w:val="18"/>
                <w:szCs w:val="18"/>
                <w:lang w:val="en-US"/>
              </w:rPr>
              <w:t>Raw material for leather, leather, fur raw materials and products</w:t>
            </w:r>
          </w:p>
        </w:tc>
        <w:tc>
          <w:tcPr>
            <w:tcW w:w="981"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978"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79"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22"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1"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1023"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r>
      <w:tr w:rsidR="00AE0CB1" w:rsidRPr="00793D44" w:rsidTr="00CB3A9B">
        <w:trPr>
          <w:trHeight w:val="34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i/>
                <w:iCs/>
                <w:color w:val="000000"/>
                <w:sz w:val="18"/>
                <w:szCs w:val="18"/>
              </w:rPr>
            </w:pPr>
            <w:r w:rsidRPr="00793D44">
              <w:rPr>
                <w:rFonts w:cs="Calibri"/>
                <w:i/>
                <w:iCs/>
                <w:color w:val="000000"/>
                <w:sz w:val="18"/>
                <w:szCs w:val="18"/>
              </w:rPr>
              <w:t>4104</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lang w:val="en-US"/>
              </w:rPr>
            </w:pPr>
            <w:r w:rsidRPr="00793D44">
              <w:rPr>
                <w:rFonts w:cs="Calibri"/>
                <w:i/>
                <w:iCs/>
                <w:color w:val="000000"/>
                <w:sz w:val="18"/>
                <w:szCs w:val="18"/>
                <w:lang w:val="en-US"/>
              </w:rPr>
              <w:t>Tanned leather or leather from cattle hides (including buffaloes) or animals of the horse family, without hair, twofold or non-bred, but without further processing:</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rPr>
            </w:pPr>
            <w:r w:rsidRPr="00AE0CB1">
              <w:rPr>
                <w:rFonts w:cs="Calibri"/>
                <w:i/>
                <w:iCs/>
                <w:color w:val="000000"/>
                <w:sz w:val="16"/>
              </w:rPr>
              <w:t>55,8</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rPr>
            </w:pPr>
            <w:r w:rsidRPr="00AE0CB1">
              <w:rPr>
                <w:rFonts w:cs="Calibri"/>
                <w:i/>
                <w:iCs/>
                <w:color w:val="000000"/>
                <w:sz w:val="16"/>
              </w:rPr>
              <w:t>33,5</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rPr>
            </w:pPr>
            <w:r w:rsidRPr="00AE0CB1">
              <w:rPr>
                <w:rFonts w:cs="Calibri"/>
                <w:i/>
                <w:iCs/>
                <w:color w:val="000000"/>
                <w:sz w:val="16"/>
              </w:rPr>
              <w:t>9,4</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rPr>
            </w:pPr>
            <w:r w:rsidRPr="00AE0CB1">
              <w:rPr>
                <w:rFonts w:cs="Calibri"/>
                <w:i/>
                <w:iCs/>
                <w:color w:val="000000"/>
                <w:sz w:val="16"/>
              </w:rPr>
              <w:t>8,6</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rPr>
            </w:pPr>
            <w:r w:rsidRPr="00AE0CB1">
              <w:rPr>
                <w:rFonts w:cs="Calibri"/>
                <w:i/>
                <w:iCs/>
                <w:color w:val="000000"/>
                <w:sz w:val="16"/>
              </w:rPr>
              <w:t>7,0</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rPr>
            </w:pPr>
            <w:r w:rsidRPr="00AE0CB1">
              <w:rPr>
                <w:rFonts w:cs="Calibri"/>
                <w:i/>
                <w:iCs/>
                <w:color w:val="000000"/>
                <w:sz w:val="16"/>
              </w:rPr>
              <w:t>8,5</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rPr>
            </w:pPr>
            <w:r w:rsidRPr="00AE0CB1">
              <w:rPr>
                <w:rFonts w:cs="Calibri"/>
                <w:i/>
                <w:iCs/>
                <w:color w:val="000000"/>
                <w:sz w:val="16"/>
              </w:rPr>
              <w:t>27,9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rPr>
            </w:pPr>
            <w:r w:rsidRPr="00AE0CB1">
              <w:rPr>
                <w:rFonts w:cs="Calibri"/>
                <w:i/>
                <w:iCs/>
                <w:color w:val="000000"/>
                <w:sz w:val="16"/>
              </w:rPr>
              <w:t>6,4</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rPr>
            </w:pPr>
            <w:r w:rsidRPr="00AE0CB1">
              <w:rPr>
                <w:rFonts w:cs="Calibri"/>
                <w:i/>
                <w:iCs/>
                <w:color w:val="000000"/>
                <w:sz w:val="16"/>
              </w:rPr>
              <w:t>5,8</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rPr>
            </w:pPr>
            <w:r w:rsidRPr="00AE0CB1">
              <w:rPr>
                <w:rFonts w:cs="Calibri"/>
                <w:i/>
                <w:iCs/>
                <w:color w:val="000000"/>
                <w:sz w:val="16"/>
              </w:rPr>
              <w:t>6,9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rPr>
            </w:pPr>
            <w:r w:rsidRPr="00AE0CB1">
              <w:rPr>
                <w:rFonts w:cs="Calibri"/>
                <w:i/>
                <w:iCs/>
                <w:color w:val="000000"/>
                <w:sz w:val="16"/>
              </w:rPr>
              <w:t>8,7</w:t>
            </w:r>
          </w:p>
        </w:tc>
      </w:tr>
      <w:tr w:rsidR="00793D44" w:rsidRPr="00793D44" w:rsidTr="00CB3A9B">
        <w:trPr>
          <w:trHeight w:val="340"/>
        </w:trPr>
        <w:tc>
          <w:tcPr>
            <w:tcW w:w="767" w:type="dxa"/>
            <w:tcBorders>
              <w:top w:val="nil"/>
              <w:left w:val="single" w:sz="4" w:space="0" w:color="5B9BD5"/>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XI</w:t>
            </w:r>
          </w:p>
        </w:tc>
        <w:tc>
          <w:tcPr>
            <w:tcW w:w="4473"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ind w:firstLineChars="100" w:firstLine="180"/>
              <w:rPr>
                <w:rFonts w:cs="Calibri"/>
                <w:color w:val="000000"/>
                <w:sz w:val="18"/>
                <w:szCs w:val="18"/>
              </w:rPr>
            </w:pPr>
            <w:r w:rsidRPr="00793D44">
              <w:rPr>
                <w:rFonts w:cs="Calibri"/>
                <w:color w:val="000000"/>
                <w:sz w:val="18"/>
                <w:szCs w:val="18"/>
              </w:rPr>
              <w:t>Textile products</w:t>
            </w:r>
          </w:p>
        </w:tc>
        <w:tc>
          <w:tcPr>
            <w:tcW w:w="981"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978"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79"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22"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1"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1023"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 </w:t>
            </w:r>
          </w:p>
        </w:tc>
      </w:tr>
      <w:tr w:rsidR="00AE0CB1" w:rsidRPr="00793D44" w:rsidTr="00CB3A9B">
        <w:trPr>
          <w:trHeight w:val="333"/>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color w:val="000000"/>
                <w:sz w:val="18"/>
                <w:szCs w:val="18"/>
              </w:rPr>
            </w:pPr>
            <w:r w:rsidRPr="00793D44">
              <w:rPr>
                <w:rFonts w:cs="Calibri"/>
                <w:color w:val="000000"/>
                <w:sz w:val="18"/>
                <w:szCs w:val="18"/>
              </w:rPr>
              <w:t>5201</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lang w:val="en-US"/>
              </w:rPr>
            </w:pPr>
            <w:r w:rsidRPr="00793D44">
              <w:rPr>
                <w:rFonts w:cs="Calibri"/>
                <w:i/>
                <w:iCs/>
                <w:color w:val="000000"/>
                <w:sz w:val="18"/>
                <w:szCs w:val="18"/>
                <w:lang w:val="en-US"/>
              </w:rPr>
              <w:t>Cotton; not carded or combed</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287,2</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303,7</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110,8</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116,3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17,3</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59,3</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160,2</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64,4</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13,3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51,0</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31,5</w:t>
            </w:r>
          </w:p>
        </w:tc>
      </w:tr>
      <w:tr w:rsidR="00AE0CB1" w:rsidRPr="00793D44" w:rsidTr="00CB3A9B">
        <w:trPr>
          <w:trHeight w:val="2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color w:val="000000"/>
                <w:sz w:val="18"/>
                <w:szCs w:val="18"/>
              </w:rPr>
            </w:pPr>
            <w:r w:rsidRPr="00793D44">
              <w:rPr>
                <w:rFonts w:cs="Calibri"/>
                <w:color w:val="000000"/>
                <w:sz w:val="18"/>
                <w:szCs w:val="18"/>
              </w:rPr>
              <w:t>5205</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lang w:val="en-US"/>
              </w:rPr>
            </w:pPr>
            <w:r w:rsidRPr="00793D44">
              <w:rPr>
                <w:rFonts w:cs="Calibri"/>
                <w:i/>
                <w:iCs/>
                <w:color w:val="000000"/>
                <w:sz w:val="18"/>
                <w:szCs w:val="18"/>
                <w:lang w:val="en-US"/>
              </w:rPr>
              <w:t>Cotton yarn (other than sewing thread), containing 85%  or more by weight of cotton, not put up for retail sale</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802,5</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924,6</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209,7</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236,7</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214,8</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263,4</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935,4</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229,7</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175,4</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239,6</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290,6</w:t>
            </w:r>
          </w:p>
        </w:tc>
      </w:tr>
      <w:tr w:rsidR="00AE0CB1" w:rsidRPr="00793D44" w:rsidTr="00CB3A9B">
        <w:trPr>
          <w:trHeight w:val="2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color w:val="000000"/>
                <w:sz w:val="18"/>
                <w:szCs w:val="18"/>
              </w:rPr>
            </w:pPr>
            <w:r w:rsidRPr="00793D44">
              <w:rPr>
                <w:rFonts w:cs="Calibri"/>
                <w:color w:val="000000"/>
                <w:sz w:val="18"/>
                <w:szCs w:val="18"/>
              </w:rPr>
              <w:t>5208</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lang w:val="en-US"/>
              </w:rPr>
            </w:pPr>
            <w:r w:rsidRPr="00793D44">
              <w:rPr>
                <w:rFonts w:cs="Calibri"/>
                <w:i/>
                <w:iCs/>
                <w:color w:val="000000"/>
                <w:sz w:val="18"/>
                <w:szCs w:val="18"/>
                <w:lang w:val="en-US"/>
              </w:rPr>
              <w:t>Cotton fabrics containing 85 wt.% or more cotton fibers, with a surface density of not more than 200 g / m</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59,3</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63,1</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16,2</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15,3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14,7</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16,9</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87,5</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18,3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23,0</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22,9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23,3</w:t>
            </w:r>
          </w:p>
        </w:tc>
      </w:tr>
      <w:tr w:rsidR="00AE0CB1" w:rsidRPr="00793D44" w:rsidTr="00CB3A9B">
        <w:trPr>
          <w:trHeight w:val="328"/>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color w:val="000000"/>
                <w:sz w:val="18"/>
                <w:szCs w:val="18"/>
              </w:rPr>
            </w:pPr>
            <w:r w:rsidRPr="00793D44">
              <w:rPr>
                <w:rFonts w:cs="Calibri"/>
                <w:color w:val="000000"/>
                <w:sz w:val="18"/>
                <w:szCs w:val="18"/>
              </w:rPr>
              <w:t>6006</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lang w:val="en-US"/>
              </w:rPr>
            </w:pPr>
            <w:r w:rsidRPr="00793D44">
              <w:rPr>
                <w:rFonts w:cs="Calibri"/>
                <w:i/>
                <w:iCs/>
                <w:color w:val="000000"/>
                <w:sz w:val="18"/>
                <w:szCs w:val="18"/>
                <w:lang w:val="en-US"/>
              </w:rPr>
              <w:t>Other knitted or crocheted fabrics</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47,4</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59,9</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14,8</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16,2</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15,1</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13,9</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104,0</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23,1</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16,9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35,2</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28,7</w:t>
            </w:r>
          </w:p>
        </w:tc>
      </w:tr>
      <w:tr w:rsidR="00AE0CB1" w:rsidRPr="00793D44" w:rsidTr="00CB3A9B">
        <w:trPr>
          <w:trHeight w:val="94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color w:val="000000"/>
                <w:sz w:val="18"/>
                <w:szCs w:val="18"/>
              </w:rPr>
            </w:pPr>
            <w:r w:rsidRPr="00793D44">
              <w:rPr>
                <w:rFonts w:cs="Calibri"/>
                <w:color w:val="000000"/>
                <w:sz w:val="18"/>
                <w:szCs w:val="18"/>
              </w:rPr>
              <w:t>6104</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lang w:val="en-US"/>
              </w:rPr>
            </w:pPr>
            <w:r w:rsidRPr="00793D44">
              <w:rPr>
                <w:rFonts w:cs="Calibri"/>
                <w:i/>
                <w:iCs/>
                <w:color w:val="000000"/>
                <w:sz w:val="18"/>
                <w:szCs w:val="18"/>
                <w:lang w:val="en-US"/>
              </w:rPr>
              <w:t>Suits, sets, jackets, blazers, dresses, skirts, trousers, overalls with bibs and shoulder straps, breeches and shorts (except swimsuits), knitted, knitted or crocheted, for women or for girls:</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36,8</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40,1</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10,1</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11,3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9,4</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9,3</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46,5</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12,9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9,7</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11,9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12,0</w:t>
            </w:r>
          </w:p>
        </w:tc>
      </w:tr>
      <w:tr w:rsidR="00AE0CB1" w:rsidRPr="00793D44" w:rsidTr="00CB3A9B">
        <w:trPr>
          <w:trHeight w:val="627"/>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color w:val="000000"/>
                <w:sz w:val="18"/>
                <w:szCs w:val="18"/>
              </w:rPr>
            </w:pPr>
            <w:r w:rsidRPr="00793D44">
              <w:rPr>
                <w:rFonts w:cs="Calibri"/>
                <w:color w:val="000000"/>
                <w:sz w:val="18"/>
                <w:szCs w:val="18"/>
              </w:rPr>
              <w:t>6109</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lang w:val="en-US"/>
              </w:rPr>
            </w:pPr>
            <w:r w:rsidRPr="00793D44">
              <w:rPr>
                <w:rFonts w:cs="Calibri"/>
                <w:i/>
                <w:iCs/>
                <w:color w:val="000000"/>
                <w:sz w:val="18"/>
                <w:szCs w:val="18"/>
                <w:lang w:val="en-US"/>
              </w:rPr>
              <w:t>T-shirts, sweatshirts with sleeves and other jerseys knitted or crocheted:</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105,2</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112,6</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33,3</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33,7</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21,3</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24,4</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165,2</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47,7</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42,2</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42,0</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33,3</w:t>
            </w:r>
          </w:p>
        </w:tc>
      </w:tr>
      <w:tr w:rsidR="00793D44" w:rsidRPr="00D040FC" w:rsidTr="00CB3A9B">
        <w:trPr>
          <w:trHeight w:val="340"/>
        </w:trPr>
        <w:tc>
          <w:tcPr>
            <w:tcW w:w="767" w:type="dxa"/>
            <w:tcBorders>
              <w:top w:val="nil"/>
              <w:left w:val="single" w:sz="4" w:space="0" w:color="5B9BD5"/>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XIV</w:t>
            </w:r>
          </w:p>
        </w:tc>
        <w:tc>
          <w:tcPr>
            <w:tcW w:w="4473"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ind w:firstLineChars="100" w:firstLine="180"/>
              <w:rPr>
                <w:rFonts w:cs="Calibri"/>
                <w:color w:val="000000"/>
                <w:sz w:val="18"/>
                <w:szCs w:val="18"/>
                <w:lang w:val="en-US"/>
              </w:rPr>
            </w:pPr>
            <w:r w:rsidRPr="00793D44">
              <w:rPr>
                <w:rFonts w:cs="Calibri"/>
                <w:color w:val="000000"/>
                <w:sz w:val="18"/>
                <w:szCs w:val="18"/>
                <w:lang w:val="en-US"/>
              </w:rPr>
              <w:t>Precious metals, precious and semiprecious stones</w:t>
            </w:r>
          </w:p>
        </w:tc>
        <w:tc>
          <w:tcPr>
            <w:tcW w:w="981"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978"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79"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22"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1"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1023"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r>
      <w:tr w:rsidR="00AE0CB1" w:rsidRPr="00793D44" w:rsidTr="00CB3A9B">
        <w:trPr>
          <w:trHeight w:val="427"/>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color w:val="000000"/>
                <w:sz w:val="18"/>
                <w:szCs w:val="18"/>
              </w:rPr>
            </w:pPr>
            <w:r w:rsidRPr="00793D44">
              <w:rPr>
                <w:rFonts w:cs="Calibri"/>
                <w:color w:val="000000"/>
                <w:sz w:val="18"/>
                <w:szCs w:val="18"/>
              </w:rPr>
              <w:t>7108</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rPr>
            </w:pPr>
            <w:r w:rsidRPr="00793D44">
              <w:rPr>
                <w:rFonts w:cs="Calibri"/>
                <w:i/>
                <w:iCs/>
                <w:color w:val="000000"/>
                <w:sz w:val="18"/>
                <w:szCs w:val="18"/>
              </w:rPr>
              <w:t>Gold</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2 909,7</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4 918,3</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1 231,4</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863,2</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1 888,4</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935,2</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5 804,1</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1 005,9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1 118,4</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3 679,8</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0,0</w:t>
            </w:r>
          </w:p>
        </w:tc>
      </w:tr>
      <w:tr w:rsidR="00793D44" w:rsidRPr="00D040FC" w:rsidTr="00CB3A9B">
        <w:trPr>
          <w:trHeight w:val="340"/>
        </w:trPr>
        <w:tc>
          <w:tcPr>
            <w:tcW w:w="767" w:type="dxa"/>
            <w:tcBorders>
              <w:top w:val="nil"/>
              <w:left w:val="single" w:sz="4" w:space="0" w:color="5B9BD5"/>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XV</w:t>
            </w:r>
          </w:p>
        </w:tc>
        <w:tc>
          <w:tcPr>
            <w:tcW w:w="4473"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ind w:firstLineChars="100" w:firstLine="180"/>
              <w:rPr>
                <w:rFonts w:cs="Calibri"/>
                <w:color w:val="000000"/>
                <w:sz w:val="18"/>
                <w:szCs w:val="18"/>
                <w:lang w:val="en-US"/>
              </w:rPr>
            </w:pPr>
            <w:r w:rsidRPr="00793D44">
              <w:rPr>
                <w:rFonts w:cs="Calibri"/>
                <w:color w:val="000000"/>
                <w:sz w:val="18"/>
                <w:szCs w:val="18"/>
                <w:lang w:val="en-US"/>
              </w:rPr>
              <w:t>Nonprecious metals and products of them</w:t>
            </w:r>
          </w:p>
        </w:tc>
        <w:tc>
          <w:tcPr>
            <w:tcW w:w="981"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978"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79"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22"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1"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1023"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r>
      <w:tr w:rsidR="00AE0CB1" w:rsidRPr="00793D44" w:rsidTr="00CB3A9B">
        <w:trPr>
          <w:trHeight w:val="2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i/>
                <w:iCs/>
                <w:color w:val="000000"/>
                <w:sz w:val="18"/>
                <w:szCs w:val="18"/>
              </w:rPr>
            </w:pPr>
            <w:r w:rsidRPr="00793D44">
              <w:rPr>
                <w:rFonts w:cs="Calibri"/>
                <w:i/>
                <w:iCs/>
                <w:color w:val="000000"/>
                <w:sz w:val="18"/>
                <w:szCs w:val="18"/>
              </w:rPr>
              <w:lastRenderedPageBreak/>
              <w:t>7214</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lang w:val="en-US"/>
              </w:rPr>
            </w:pPr>
            <w:r w:rsidRPr="00793D44">
              <w:rPr>
                <w:rFonts w:cs="Calibri"/>
                <w:i/>
                <w:iCs/>
                <w:color w:val="000000"/>
                <w:sz w:val="18"/>
                <w:szCs w:val="18"/>
                <w:lang w:val="en-US"/>
              </w:rPr>
              <w:t xml:space="preserve">Iron or non-alloy steel; bars and rods, not further worked than forged, hot-rolled, hot drawn or hot-extruded, but including those twisted after rolling </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95,8</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90,5</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16,8</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32,1</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32,0</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9,6</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85,7</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11,4</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6,8</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41,4</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26,1</w:t>
            </w:r>
          </w:p>
        </w:tc>
      </w:tr>
      <w:tr w:rsidR="00AE0CB1" w:rsidRPr="00793D44" w:rsidTr="00CB3A9B">
        <w:trPr>
          <w:trHeight w:val="2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i/>
                <w:iCs/>
                <w:color w:val="000000"/>
                <w:sz w:val="18"/>
                <w:szCs w:val="18"/>
              </w:rPr>
            </w:pPr>
            <w:r w:rsidRPr="00793D44">
              <w:rPr>
                <w:rFonts w:cs="Calibri"/>
                <w:i/>
                <w:iCs/>
                <w:color w:val="000000"/>
                <w:sz w:val="18"/>
                <w:szCs w:val="18"/>
              </w:rPr>
              <w:t>7403</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lang w:val="en-US"/>
              </w:rPr>
            </w:pPr>
            <w:r w:rsidRPr="00793D44">
              <w:rPr>
                <w:rFonts w:cs="Calibri"/>
                <w:i/>
                <w:iCs/>
                <w:color w:val="000000"/>
                <w:sz w:val="18"/>
                <w:szCs w:val="18"/>
                <w:lang w:val="en-US"/>
              </w:rPr>
              <w:t>Copper; refined and copper alloys, unwrought</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495,5</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561,5</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143,2</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150,3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123,2</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144,7</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616,5</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117,4</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146,9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169,7</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182,4</w:t>
            </w:r>
          </w:p>
        </w:tc>
      </w:tr>
      <w:tr w:rsidR="00AE0CB1" w:rsidRPr="00793D44" w:rsidTr="00CB3A9B">
        <w:trPr>
          <w:trHeight w:val="2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i/>
                <w:iCs/>
                <w:color w:val="000000"/>
                <w:sz w:val="18"/>
                <w:szCs w:val="18"/>
              </w:rPr>
            </w:pPr>
            <w:r w:rsidRPr="00793D44">
              <w:rPr>
                <w:rFonts w:cs="Calibri"/>
                <w:i/>
                <w:iCs/>
                <w:color w:val="000000"/>
                <w:sz w:val="18"/>
                <w:szCs w:val="18"/>
              </w:rPr>
              <w:t>7408</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rPr>
            </w:pPr>
            <w:r w:rsidRPr="00793D44">
              <w:rPr>
                <w:rFonts w:cs="Calibri"/>
                <w:i/>
                <w:iCs/>
                <w:color w:val="000000"/>
                <w:sz w:val="18"/>
                <w:szCs w:val="18"/>
              </w:rPr>
              <w:t>Copper wire</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94,9</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95,7</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16,5</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14,6</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27,3</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37,3</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83,0</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10,0</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15,1</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28,9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29,0</w:t>
            </w:r>
          </w:p>
        </w:tc>
      </w:tr>
      <w:tr w:rsidR="00AE0CB1" w:rsidRPr="00793D44" w:rsidTr="00CB3A9B">
        <w:trPr>
          <w:trHeight w:val="2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i/>
                <w:iCs/>
                <w:color w:val="000000"/>
                <w:sz w:val="18"/>
                <w:szCs w:val="18"/>
              </w:rPr>
            </w:pPr>
            <w:r w:rsidRPr="00793D44">
              <w:rPr>
                <w:rFonts w:cs="Calibri"/>
                <w:i/>
                <w:iCs/>
                <w:color w:val="000000"/>
                <w:sz w:val="18"/>
                <w:szCs w:val="18"/>
              </w:rPr>
              <w:t>7411</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rPr>
            </w:pPr>
            <w:r w:rsidRPr="00793D44">
              <w:rPr>
                <w:rFonts w:cs="Calibri"/>
                <w:i/>
                <w:iCs/>
                <w:color w:val="000000"/>
                <w:sz w:val="18"/>
                <w:szCs w:val="18"/>
              </w:rPr>
              <w:t>Copper pipes and tubes:</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30,8</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43,3</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9,3</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12,2</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12,3</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9,5</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46,5</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10,9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13,1</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11,1</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11,4</w:t>
            </w:r>
          </w:p>
        </w:tc>
      </w:tr>
      <w:tr w:rsidR="00AE0CB1" w:rsidRPr="00793D44" w:rsidTr="00CB3A9B">
        <w:trPr>
          <w:trHeight w:val="2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i/>
                <w:iCs/>
                <w:color w:val="000000"/>
                <w:sz w:val="18"/>
                <w:szCs w:val="18"/>
              </w:rPr>
            </w:pPr>
            <w:r w:rsidRPr="00793D44">
              <w:rPr>
                <w:rFonts w:cs="Calibri"/>
                <w:i/>
                <w:iCs/>
                <w:color w:val="000000"/>
                <w:sz w:val="18"/>
                <w:szCs w:val="18"/>
              </w:rPr>
              <w:t>7901</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rPr>
            </w:pPr>
            <w:r w:rsidRPr="00793D44">
              <w:rPr>
                <w:rFonts w:cs="Calibri"/>
                <w:i/>
                <w:iCs/>
                <w:color w:val="000000"/>
                <w:sz w:val="18"/>
                <w:szCs w:val="18"/>
              </w:rPr>
              <w:t>Unprocessed zinc</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38,2</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163,4</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35,1</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47,0</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40,8</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40,5</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162,7</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47,1</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33,0</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23,9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58,8</w:t>
            </w:r>
          </w:p>
        </w:tc>
      </w:tr>
      <w:tr w:rsidR="00793D44" w:rsidRPr="00D040FC" w:rsidTr="00CB3A9B">
        <w:trPr>
          <w:trHeight w:val="20"/>
        </w:trPr>
        <w:tc>
          <w:tcPr>
            <w:tcW w:w="767" w:type="dxa"/>
            <w:tcBorders>
              <w:top w:val="nil"/>
              <w:left w:val="single" w:sz="4" w:space="0" w:color="5B9BD5"/>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XVI</w:t>
            </w:r>
          </w:p>
        </w:tc>
        <w:tc>
          <w:tcPr>
            <w:tcW w:w="4473"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ind w:firstLineChars="100" w:firstLine="180"/>
              <w:rPr>
                <w:rFonts w:cs="Calibri"/>
                <w:color w:val="000000"/>
                <w:sz w:val="18"/>
                <w:szCs w:val="18"/>
                <w:lang w:val="en-US"/>
              </w:rPr>
            </w:pPr>
            <w:r w:rsidRPr="00793D44">
              <w:rPr>
                <w:rFonts w:cs="Calibri"/>
                <w:color w:val="000000"/>
                <w:sz w:val="18"/>
                <w:szCs w:val="18"/>
                <w:lang w:val="en-US"/>
              </w:rPr>
              <w:t>Machines, equipment, machinery, electrical equipment</w:t>
            </w:r>
          </w:p>
        </w:tc>
        <w:tc>
          <w:tcPr>
            <w:tcW w:w="981"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978"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79"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22"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1"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1023"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r>
      <w:tr w:rsidR="00AE0CB1" w:rsidRPr="00793D44" w:rsidTr="00CB3A9B">
        <w:trPr>
          <w:trHeight w:val="2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i/>
                <w:iCs/>
                <w:color w:val="000000"/>
                <w:sz w:val="18"/>
                <w:szCs w:val="18"/>
              </w:rPr>
            </w:pPr>
            <w:r w:rsidRPr="00793D44">
              <w:rPr>
                <w:rFonts w:cs="Calibri"/>
                <w:i/>
                <w:iCs/>
                <w:color w:val="000000"/>
                <w:sz w:val="18"/>
                <w:szCs w:val="18"/>
              </w:rPr>
              <w:t>8504</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lang w:val="en-US"/>
              </w:rPr>
            </w:pPr>
            <w:r w:rsidRPr="00793D44">
              <w:rPr>
                <w:rFonts w:cs="Calibri"/>
                <w:i/>
                <w:iCs/>
                <w:color w:val="000000"/>
                <w:sz w:val="18"/>
                <w:szCs w:val="18"/>
                <w:lang w:val="en-US"/>
              </w:rPr>
              <w:t>Electric transformers, static converters (e.g. rectifiers) and inductors, throttles</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9,5</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25,1</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3,3</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7,1</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10,3</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4,5</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19,4</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2,7</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4,2</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8,2</w:t>
            </w:r>
          </w:p>
        </w:tc>
      </w:tr>
      <w:tr w:rsidR="00AE0CB1" w:rsidRPr="00793D44" w:rsidTr="00CB3A9B">
        <w:trPr>
          <w:trHeight w:val="2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i/>
                <w:iCs/>
                <w:color w:val="000000"/>
                <w:sz w:val="18"/>
                <w:szCs w:val="18"/>
              </w:rPr>
            </w:pPr>
            <w:r w:rsidRPr="00793D44">
              <w:rPr>
                <w:rFonts w:cs="Calibri"/>
                <w:i/>
                <w:iCs/>
                <w:color w:val="000000"/>
                <w:sz w:val="18"/>
                <w:szCs w:val="18"/>
              </w:rPr>
              <w:t>8528</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lang w:val="en-US"/>
              </w:rPr>
            </w:pPr>
            <w:r w:rsidRPr="00793D44">
              <w:rPr>
                <w:rFonts w:cs="Calibri"/>
                <w:i/>
                <w:iCs/>
                <w:color w:val="000000"/>
                <w:sz w:val="18"/>
                <w:szCs w:val="18"/>
                <w:lang w:val="en-US"/>
              </w:rPr>
              <w:t>Monitors and projectors that do not include television reception equipment; receiving equipment for television communications, with or without a broadcasting radio receiver or equipment recording or reproducing</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11,8</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17,6</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1,4</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2,0</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5,6</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8,5</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18,9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3,5</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2,5</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6,0</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6,9</w:t>
            </w:r>
          </w:p>
        </w:tc>
      </w:tr>
      <w:tr w:rsidR="00AE0CB1" w:rsidRPr="00793D44" w:rsidTr="00CB3A9B">
        <w:trPr>
          <w:trHeight w:val="2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i/>
                <w:iCs/>
                <w:color w:val="000000"/>
                <w:sz w:val="18"/>
                <w:szCs w:val="18"/>
              </w:rPr>
            </w:pPr>
            <w:r w:rsidRPr="00793D44">
              <w:rPr>
                <w:rFonts w:cs="Calibri"/>
                <w:i/>
                <w:iCs/>
                <w:color w:val="000000"/>
                <w:sz w:val="18"/>
                <w:szCs w:val="18"/>
              </w:rPr>
              <w:t>8535</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lang w:val="en-US"/>
              </w:rPr>
            </w:pPr>
            <w:r w:rsidRPr="00793D44">
              <w:rPr>
                <w:rFonts w:cs="Calibri"/>
                <w:i/>
                <w:iCs/>
                <w:color w:val="000000"/>
                <w:sz w:val="18"/>
                <w:szCs w:val="18"/>
                <w:lang w:val="en-US"/>
              </w:rPr>
              <w:t>Electrical apparatus for switching, protecting electrical circuits, for making connections to or in electrical circuits (for example, switches, breakers, fuses,  lightning rods, voltage suppressors</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12,4</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23,0</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6,4</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4,9</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6,3</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18,7</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4,7</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2,7</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5,0</w:t>
            </w:r>
          </w:p>
        </w:tc>
      </w:tr>
      <w:tr w:rsidR="00AE0CB1" w:rsidRPr="00793D44" w:rsidTr="00CB3A9B">
        <w:trPr>
          <w:trHeight w:val="2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i/>
                <w:iCs/>
                <w:color w:val="000000"/>
                <w:sz w:val="18"/>
                <w:szCs w:val="18"/>
              </w:rPr>
            </w:pPr>
            <w:r w:rsidRPr="00793D44">
              <w:rPr>
                <w:rFonts w:cs="Calibri"/>
                <w:i/>
                <w:iCs/>
                <w:color w:val="000000"/>
                <w:sz w:val="18"/>
                <w:szCs w:val="18"/>
              </w:rPr>
              <w:t>8544</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color w:val="000000"/>
                <w:sz w:val="18"/>
                <w:szCs w:val="18"/>
                <w:lang w:val="en-US"/>
              </w:rPr>
            </w:pPr>
            <w:r w:rsidRPr="00793D44">
              <w:rPr>
                <w:rFonts w:cs="Calibri"/>
                <w:i/>
                <w:iCs/>
                <w:color w:val="000000"/>
                <w:sz w:val="18"/>
                <w:szCs w:val="18"/>
                <w:lang w:val="en-US"/>
              </w:rPr>
              <w:t>Insulated wire (including enameled or anodized), cable (including coaxial cable) and other electric conductors, connector fitted or not; optical fibre cables of individually sheathed fibres, whether or not assembled with electric conductors or fitted with connectors</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19,9</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34,4</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6,2</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8,9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7,7</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11,6</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32,4</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5,9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7,9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8,4</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10,2</w:t>
            </w:r>
          </w:p>
        </w:tc>
      </w:tr>
      <w:tr w:rsidR="00793D44" w:rsidRPr="00D040FC" w:rsidTr="00CB3A9B">
        <w:trPr>
          <w:trHeight w:val="20"/>
        </w:trPr>
        <w:tc>
          <w:tcPr>
            <w:tcW w:w="767" w:type="dxa"/>
            <w:tcBorders>
              <w:top w:val="nil"/>
              <w:left w:val="single" w:sz="4" w:space="0" w:color="5B9BD5"/>
              <w:bottom w:val="single" w:sz="4" w:space="0" w:color="5B9BD5"/>
              <w:right w:val="single" w:sz="4" w:space="0" w:color="5B9BD5"/>
            </w:tcBorders>
            <w:shd w:val="clear" w:color="000000" w:fill="BDD7EE"/>
            <w:noWrap/>
            <w:vAlign w:val="center"/>
            <w:hideMark/>
          </w:tcPr>
          <w:p w:rsidR="00793D44" w:rsidRPr="00793D44" w:rsidRDefault="00793D44" w:rsidP="00793D44">
            <w:pPr>
              <w:jc w:val="center"/>
              <w:rPr>
                <w:rFonts w:cs="Calibri"/>
                <w:color w:val="000000"/>
                <w:sz w:val="18"/>
                <w:szCs w:val="18"/>
              </w:rPr>
            </w:pPr>
            <w:r w:rsidRPr="00793D44">
              <w:rPr>
                <w:rFonts w:cs="Calibri"/>
                <w:color w:val="000000"/>
                <w:sz w:val="18"/>
                <w:szCs w:val="18"/>
              </w:rPr>
              <w:t>XVII</w:t>
            </w:r>
          </w:p>
        </w:tc>
        <w:tc>
          <w:tcPr>
            <w:tcW w:w="4473"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ind w:firstLineChars="100" w:firstLine="180"/>
              <w:rPr>
                <w:rFonts w:cs="Calibri"/>
                <w:sz w:val="18"/>
                <w:szCs w:val="18"/>
                <w:lang w:val="en-US"/>
              </w:rPr>
            </w:pPr>
            <w:r w:rsidRPr="00793D44">
              <w:rPr>
                <w:rFonts w:cs="Calibri"/>
                <w:sz w:val="18"/>
                <w:szCs w:val="18"/>
                <w:lang w:val="en-US"/>
              </w:rPr>
              <w:t>Means of land, air and water transport</w:t>
            </w:r>
          </w:p>
        </w:tc>
        <w:tc>
          <w:tcPr>
            <w:tcW w:w="981"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978"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79"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22"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1"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1023"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vAlign w:val="center"/>
            <w:hideMark/>
          </w:tcPr>
          <w:p w:rsidR="00793D44" w:rsidRPr="00793D44" w:rsidRDefault="00793D44" w:rsidP="00793D44">
            <w:pPr>
              <w:jc w:val="center"/>
              <w:rPr>
                <w:rFonts w:cs="Calibri"/>
                <w:color w:val="000000"/>
                <w:sz w:val="18"/>
                <w:szCs w:val="18"/>
                <w:lang w:val="en-US"/>
              </w:rPr>
            </w:pPr>
            <w:r w:rsidRPr="00793D44">
              <w:rPr>
                <w:rFonts w:cs="Calibri"/>
                <w:color w:val="000000"/>
                <w:sz w:val="18"/>
                <w:szCs w:val="18"/>
                <w:lang w:val="en-US"/>
              </w:rPr>
              <w:t> </w:t>
            </w:r>
          </w:p>
        </w:tc>
      </w:tr>
      <w:tr w:rsidR="00AE0CB1" w:rsidRPr="00793D44" w:rsidTr="00CB3A9B">
        <w:trPr>
          <w:trHeight w:val="2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AE0CB1" w:rsidRPr="00793D44" w:rsidRDefault="00AE0CB1" w:rsidP="00AE0CB1">
            <w:pPr>
              <w:jc w:val="center"/>
              <w:rPr>
                <w:rFonts w:cs="Calibri"/>
                <w:i/>
                <w:iCs/>
                <w:color w:val="000000"/>
                <w:sz w:val="18"/>
                <w:szCs w:val="18"/>
              </w:rPr>
            </w:pPr>
            <w:r w:rsidRPr="00793D44">
              <w:rPr>
                <w:rFonts w:cs="Calibri"/>
                <w:i/>
                <w:iCs/>
                <w:color w:val="000000"/>
                <w:sz w:val="18"/>
                <w:szCs w:val="18"/>
              </w:rPr>
              <w:t>8703</w:t>
            </w:r>
          </w:p>
        </w:tc>
        <w:tc>
          <w:tcPr>
            <w:tcW w:w="4473" w:type="dxa"/>
            <w:tcBorders>
              <w:top w:val="nil"/>
              <w:left w:val="nil"/>
              <w:bottom w:val="single" w:sz="4" w:space="0" w:color="5B9BD5"/>
              <w:right w:val="single" w:sz="4" w:space="0" w:color="5B9BD5"/>
            </w:tcBorders>
            <w:shd w:val="clear" w:color="auto" w:fill="auto"/>
            <w:vAlign w:val="center"/>
            <w:hideMark/>
          </w:tcPr>
          <w:p w:rsidR="00AE0CB1" w:rsidRPr="00793D44" w:rsidRDefault="00AE0CB1" w:rsidP="00AE0CB1">
            <w:pPr>
              <w:rPr>
                <w:rFonts w:cs="Calibri"/>
                <w:i/>
                <w:iCs/>
                <w:sz w:val="18"/>
                <w:szCs w:val="18"/>
                <w:lang w:val="en-US"/>
              </w:rPr>
            </w:pPr>
            <w:r w:rsidRPr="00793D44">
              <w:rPr>
                <w:rFonts w:cs="Calibri"/>
                <w:i/>
                <w:iCs/>
                <w:sz w:val="18"/>
                <w:szCs w:val="18"/>
                <w:lang w:val="en-US"/>
              </w:rPr>
              <w:t>Automobiles and other motor vehicles mainly intended for the transport of people (other than motor vehicles of heading 8702), including cargo-passenger vans and racing cars:</w:t>
            </w:r>
          </w:p>
        </w:tc>
        <w:tc>
          <w:tcPr>
            <w:tcW w:w="98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30,3</w:t>
            </w:r>
          </w:p>
        </w:tc>
        <w:tc>
          <w:tcPr>
            <w:tcW w:w="978"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150,8</w:t>
            </w:r>
          </w:p>
        </w:tc>
        <w:tc>
          <w:tcPr>
            <w:tcW w:w="879"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17,6</w:t>
            </w:r>
          </w:p>
        </w:tc>
        <w:tc>
          <w:tcPr>
            <w:tcW w:w="822"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36,2</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47,2</w:t>
            </w:r>
          </w:p>
        </w:tc>
        <w:tc>
          <w:tcPr>
            <w:tcW w:w="851"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49,9</w:t>
            </w:r>
          </w:p>
        </w:tc>
        <w:tc>
          <w:tcPr>
            <w:tcW w:w="1023"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176,4</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38,3</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26,9</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46,5</w:t>
            </w:r>
          </w:p>
        </w:tc>
        <w:tc>
          <w:tcPr>
            <w:tcW w:w="850" w:type="dxa"/>
            <w:tcBorders>
              <w:top w:val="nil"/>
              <w:left w:val="nil"/>
              <w:bottom w:val="single" w:sz="4" w:space="0" w:color="5B9BD5"/>
              <w:right w:val="single" w:sz="4" w:space="0" w:color="5B9BD5"/>
            </w:tcBorders>
            <w:shd w:val="clear" w:color="auto" w:fill="auto"/>
            <w:noWrap/>
            <w:vAlign w:val="center"/>
            <w:hideMark/>
          </w:tcPr>
          <w:p w:rsidR="00AE0CB1" w:rsidRPr="00AE0CB1" w:rsidRDefault="00AE0CB1" w:rsidP="00AE0CB1">
            <w:pPr>
              <w:jc w:val="center"/>
              <w:rPr>
                <w:rFonts w:cs="Calibri"/>
                <w:i/>
                <w:iCs/>
                <w:color w:val="000000"/>
                <w:sz w:val="16"/>
                <w:szCs w:val="16"/>
              </w:rPr>
            </w:pPr>
            <w:r w:rsidRPr="00AE0CB1">
              <w:rPr>
                <w:rFonts w:cs="Calibri"/>
                <w:i/>
                <w:iCs/>
                <w:color w:val="000000"/>
                <w:sz w:val="16"/>
                <w:szCs w:val="16"/>
              </w:rPr>
              <w:t>64,6</w:t>
            </w:r>
          </w:p>
        </w:tc>
      </w:tr>
    </w:tbl>
    <w:p w:rsidR="002F3AD6" w:rsidRPr="00AD5802" w:rsidRDefault="002F3AD6" w:rsidP="00AE3756">
      <w:pPr>
        <w:rPr>
          <w:rFonts w:cs="Arial"/>
          <w:sz w:val="2"/>
          <w:szCs w:val="2"/>
          <w:lang w:val="en-US"/>
        </w:rPr>
      </w:pPr>
    </w:p>
    <w:p w:rsidR="004048FF" w:rsidRDefault="005C6E0F" w:rsidP="009A635E">
      <w:pPr>
        <w:spacing w:before="120"/>
        <w:jc w:val="center"/>
        <w:rPr>
          <w:rFonts w:cs="Arial"/>
          <w:i/>
          <w:lang w:val="en-US"/>
        </w:rPr>
      </w:pPr>
      <w:r w:rsidRPr="00F45A80">
        <w:rPr>
          <w:rFonts w:cs="Arial"/>
          <w:i/>
          <w:lang w:val="en-US"/>
        </w:rPr>
        <w:br w:type="page"/>
      </w:r>
    </w:p>
    <w:p w:rsidR="002F3AD6" w:rsidRPr="001D337D" w:rsidRDefault="005D5DBF" w:rsidP="00C94F1A">
      <w:pPr>
        <w:spacing w:before="120"/>
        <w:ind w:right="-201"/>
        <w:jc w:val="right"/>
        <w:rPr>
          <w:i/>
          <w:sz w:val="22"/>
          <w:szCs w:val="22"/>
          <w:lang w:val="en-US"/>
        </w:rPr>
      </w:pPr>
      <w:r w:rsidRPr="001D337D">
        <w:rPr>
          <w:i/>
          <w:sz w:val="22"/>
          <w:szCs w:val="22"/>
          <w:lang w:val="en-US"/>
        </w:rPr>
        <w:lastRenderedPageBreak/>
        <w:t>Addenda</w:t>
      </w:r>
      <w:r w:rsidR="002F3AD6" w:rsidRPr="001D337D">
        <w:rPr>
          <w:i/>
          <w:sz w:val="22"/>
          <w:szCs w:val="22"/>
          <w:lang w:val="en-US"/>
        </w:rPr>
        <w:t xml:space="preserve"> </w:t>
      </w:r>
      <w:r w:rsidR="00CB3A9B">
        <w:rPr>
          <w:i/>
          <w:sz w:val="22"/>
          <w:szCs w:val="22"/>
          <w:lang w:val="uz-Cyrl-UZ"/>
        </w:rPr>
        <w:t>6</w:t>
      </w:r>
      <w:r w:rsidR="002F3AD6" w:rsidRPr="001D337D">
        <w:rPr>
          <w:i/>
          <w:sz w:val="22"/>
          <w:szCs w:val="22"/>
          <w:lang w:val="en-US"/>
        </w:rPr>
        <w:t>.</w:t>
      </w:r>
      <w:r w:rsidR="00637FAA" w:rsidRPr="001D337D">
        <w:rPr>
          <w:i/>
          <w:sz w:val="22"/>
          <w:szCs w:val="22"/>
          <w:lang w:val="en-US"/>
        </w:rPr>
        <w:t>2</w:t>
      </w:r>
    </w:p>
    <w:p w:rsidR="00637FAA" w:rsidRPr="001D337D" w:rsidRDefault="00066516" w:rsidP="004048FF">
      <w:pPr>
        <w:pStyle w:val="1"/>
        <w:spacing w:after="240"/>
        <w:ind w:left="0"/>
        <w:jc w:val="center"/>
        <w:rPr>
          <w:rFonts w:ascii="Calibri" w:hAnsi="Calibri"/>
          <w:sz w:val="24"/>
          <w:szCs w:val="24"/>
          <w:lang w:val="en-US"/>
        </w:rPr>
      </w:pPr>
      <w:bookmarkStart w:id="28" w:name="_Toc67050806"/>
      <w:r w:rsidRPr="00CB3A9B">
        <w:rPr>
          <w:rFonts w:ascii="Calibri" w:hAnsi="Calibri" w:cs="Calibri"/>
          <w:sz w:val="24"/>
          <w:szCs w:val="24"/>
          <w:lang w:val="en-US"/>
        </w:rPr>
        <w:t xml:space="preserve">IMPORTED GOODS WITH HIGH COEFFICIENT OF PRODUCT CONCENTRATION </w:t>
      </w:r>
      <w:r w:rsidR="00492FEC" w:rsidRPr="00CB3A9B">
        <w:rPr>
          <w:rFonts w:ascii="Calibri" w:hAnsi="Calibri" w:cs="Calibri"/>
          <w:sz w:val="24"/>
          <w:szCs w:val="24"/>
          <w:lang w:val="en-US"/>
        </w:rPr>
        <w:br/>
      </w:r>
      <w:r w:rsidR="00994E0A" w:rsidRPr="00CB3A9B">
        <w:rPr>
          <w:rFonts w:ascii="Calibri" w:hAnsi="Calibri" w:cs="Calibri"/>
          <w:sz w:val="24"/>
          <w:szCs w:val="24"/>
          <w:lang w:val="en-US"/>
        </w:rPr>
        <w:t xml:space="preserve">FOR </w:t>
      </w:r>
      <w:r w:rsidR="00320FFF" w:rsidRPr="00CB3A9B">
        <w:rPr>
          <w:rFonts w:ascii="Calibri" w:hAnsi="Calibri" w:cs="Calibri"/>
          <w:sz w:val="24"/>
          <w:szCs w:val="24"/>
          <w:lang w:val="en-US"/>
        </w:rPr>
        <w:t>201</w:t>
      </w:r>
      <w:r w:rsidR="00373E53" w:rsidRPr="00CB3A9B">
        <w:rPr>
          <w:rFonts w:ascii="Calibri" w:hAnsi="Calibri" w:cs="Calibri"/>
          <w:sz w:val="24"/>
          <w:szCs w:val="24"/>
          <w:lang w:val="en-US"/>
        </w:rPr>
        <w:t>8</w:t>
      </w:r>
      <w:r w:rsidR="00B33C6E">
        <w:rPr>
          <w:rFonts w:ascii="Calibri" w:hAnsi="Calibri" w:cs="Calibri"/>
          <w:sz w:val="24"/>
          <w:szCs w:val="24"/>
          <w:lang w:val="en-US"/>
        </w:rPr>
        <w:t xml:space="preserve"> AND </w:t>
      </w:r>
      <w:r w:rsidR="00492FEC" w:rsidRPr="00CB3A9B">
        <w:rPr>
          <w:rFonts w:ascii="Calibri" w:hAnsi="Calibri" w:cs="Calibri"/>
          <w:sz w:val="24"/>
          <w:szCs w:val="24"/>
          <w:lang w:val="en-US"/>
        </w:rPr>
        <w:t>2020</w:t>
      </w:r>
      <w:bookmarkEnd w:id="28"/>
    </w:p>
    <w:p w:rsidR="00637FAA" w:rsidRPr="00F45A80" w:rsidRDefault="00585EBB" w:rsidP="00C94F1A">
      <w:pPr>
        <w:ind w:right="-201"/>
        <w:jc w:val="right"/>
        <w:rPr>
          <w:i/>
          <w:sz w:val="20"/>
          <w:szCs w:val="20"/>
          <w:lang w:val="en-US"/>
        </w:rPr>
      </w:pPr>
      <w:r w:rsidRPr="00F45A80">
        <w:rPr>
          <w:i/>
          <w:sz w:val="20"/>
          <w:szCs w:val="20"/>
          <w:lang w:val="en-US"/>
        </w:rPr>
        <w:t>(</w:t>
      </w:r>
      <w:r w:rsidR="00066516" w:rsidRPr="00F45A80">
        <w:rPr>
          <w:i/>
          <w:sz w:val="20"/>
          <w:szCs w:val="20"/>
          <w:lang w:val="en-US"/>
        </w:rPr>
        <w:t>mln</w:t>
      </w:r>
      <w:r w:rsidR="00637FAA" w:rsidRPr="00F45A80">
        <w:rPr>
          <w:i/>
          <w:sz w:val="20"/>
          <w:szCs w:val="20"/>
          <w:lang w:val="en-US"/>
        </w:rPr>
        <w:t>.</w:t>
      </w:r>
      <w:r w:rsidR="00066516" w:rsidRPr="00F45A80">
        <w:rPr>
          <w:i/>
          <w:sz w:val="20"/>
          <w:szCs w:val="20"/>
          <w:lang w:val="en-US"/>
        </w:rPr>
        <w:t xml:space="preserve"> USD</w:t>
      </w:r>
      <w:r w:rsidRPr="00F45A80">
        <w:rPr>
          <w:i/>
          <w:sz w:val="20"/>
          <w:szCs w:val="20"/>
          <w:lang w:val="en-US"/>
        </w:rPr>
        <w:t>)</w:t>
      </w:r>
    </w:p>
    <w:tbl>
      <w:tblPr>
        <w:tblW w:w="15168" w:type="dxa"/>
        <w:tblInd w:w="-147" w:type="dxa"/>
        <w:tblLook w:val="04A0" w:firstRow="1" w:lastRow="0" w:firstColumn="1" w:lastColumn="0" w:noHBand="0" w:noVBand="1"/>
      </w:tblPr>
      <w:tblGrid>
        <w:gridCol w:w="767"/>
        <w:gridCol w:w="4195"/>
        <w:gridCol w:w="992"/>
        <w:gridCol w:w="992"/>
        <w:gridCol w:w="841"/>
        <w:gridCol w:w="851"/>
        <w:gridCol w:w="850"/>
        <w:gridCol w:w="851"/>
        <w:gridCol w:w="992"/>
        <w:gridCol w:w="1002"/>
        <w:gridCol w:w="850"/>
        <w:gridCol w:w="993"/>
        <w:gridCol w:w="992"/>
      </w:tblGrid>
      <w:tr w:rsidR="00C94F1A" w:rsidRPr="0081539A" w:rsidTr="003C7C79">
        <w:trPr>
          <w:trHeight w:val="109"/>
          <w:tblHeader/>
        </w:trPr>
        <w:tc>
          <w:tcPr>
            <w:tcW w:w="767" w:type="dxa"/>
            <w:vMerge w:val="restart"/>
            <w:tcBorders>
              <w:top w:val="single" w:sz="4" w:space="0" w:color="5B9BD5"/>
              <w:left w:val="single" w:sz="4" w:space="0" w:color="5B9BD5"/>
              <w:bottom w:val="single" w:sz="4" w:space="0" w:color="5B9BD5"/>
              <w:right w:val="single" w:sz="4" w:space="0" w:color="5B9BD5"/>
            </w:tcBorders>
            <w:shd w:val="clear" w:color="auto" w:fill="auto"/>
            <w:vAlign w:val="center"/>
            <w:hideMark/>
          </w:tcPr>
          <w:p w:rsidR="00C94F1A" w:rsidRPr="0081539A" w:rsidRDefault="00C94F1A" w:rsidP="0081539A">
            <w:pPr>
              <w:jc w:val="center"/>
              <w:rPr>
                <w:rFonts w:cs="Calibri"/>
                <w:b/>
                <w:bCs/>
                <w:color w:val="000000"/>
                <w:sz w:val="18"/>
                <w:szCs w:val="18"/>
              </w:rPr>
            </w:pPr>
            <w:r w:rsidRPr="0081539A">
              <w:rPr>
                <w:rFonts w:cs="Calibri"/>
                <w:b/>
                <w:bCs/>
                <w:color w:val="000000"/>
                <w:sz w:val="18"/>
                <w:szCs w:val="18"/>
              </w:rPr>
              <w:t>Section</w:t>
            </w:r>
          </w:p>
        </w:tc>
        <w:tc>
          <w:tcPr>
            <w:tcW w:w="4195" w:type="dxa"/>
            <w:vMerge w:val="restart"/>
            <w:tcBorders>
              <w:top w:val="single" w:sz="4" w:space="0" w:color="5B9BD5"/>
              <w:left w:val="single" w:sz="4" w:space="0" w:color="5B9BD5"/>
              <w:bottom w:val="single" w:sz="4" w:space="0" w:color="5B9BD5"/>
              <w:right w:val="single" w:sz="4" w:space="0" w:color="5B9BD5"/>
            </w:tcBorders>
            <w:shd w:val="clear" w:color="auto" w:fill="auto"/>
            <w:vAlign w:val="center"/>
            <w:hideMark/>
          </w:tcPr>
          <w:p w:rsidR="00C94F1A" w:rsidRPr="0081539A" w:rsidRDefault="00C94F1A" w:rsidP="0081539A">
            <w:pPr>
              <w:jc w:val="center"/>
              <w:rPr>
                <w:rFonts w:cs="Calibri"/>
                <w:b/>
                <w:bCs/>
                <w:color w:val="000000"/>
                <w:sz w:val="18"/>
                <w:szCs w:val="18"/>
              </w:rPr>
            </w:pPr>
            <w:r w:rsidRPr="0081539A">
              <w:rPr>
                <w:rFonts w:cs="Calibri"/>
                <w:b/>
                <w:bCs/>
                <w:color w:val="000000"/>
                <w:sz w:val="18"/>
                <w:szCs w:val="18"/>
              </w:rPr>
              <w:t>Name of product groups</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auto"/>
            <w:vAlign w:val="center"/>
            <w:hideMark/>
          </w:tcPr>
          <w:p w:rsidR="00C94F1A" w:rsidRPr="0081539A" w:rsidRDefault="00C94F1A" w:rsidP="0081539A">
            <w:pPr>
              <w:jc w:val="center"/>
              <w:rPr>
                <w:rFonts w:cs="Calibri"/>
                <w:b/>
                <w:bCs/>
                <w:color w:val="000000"/>
                <w:sz w:val="18"/>
                <w:szCs w:val="18"/>
              </w:rPr>
            </w:pPr>
            <w:r w:rsidRPr="0081539A">
              <w:rPr>
                <w:rFonts w:cs="Calibri"/>
                <w:b/>
                <w:bCs/>
                <w:color w:val="000000"/>
                <w:sz w:val="18"/>
                <w:szCs w:val="18"/>
              </w:rPr>
              <w:t>For 2018</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auto"/>
            <w:vAlign w:val="center"/>
            <w:hideMark/>
          </w:tcPr>
          <w:p w:rsidR="00C94F1A" w:rsidRPr="0081539A" w:rsidRDefault="00C94F1A" w:rsidP="0081539A">
            <w:pPr>
              <w:jc w:val="center"/>
              <w:rPr>
                <w:rFonts w:cs="Calibri"/>
                <w:b/>
                <w:bCs/>
                <w:color w:val="000000"/>
                <w:sz w:val="18"/>
                <w:szCs w:val="18"/>
              </w:rPr>
            </w:pPr>
            <w:r w:rsidRPr="0081539A">
              <w:rPr>
                <w:rFonts w:cs="Calibri"/>
                <w:b/>
                <w:bCs/>
                <w:color w:val="000000"/>
                <w:sz w:val="18"/>
                <w:szCs w:val="18"/>
              </w:rPr>
              <w:t>For 2019</w:t>
            </w:r>
          </w:p>
        </w:tc>
        <w:tc>
          <w:tcPr>
            <w:tcW w:w="3393" w:type="dxa"/>
            <w:gridSpan w:val="4"/>
            <w:tcBorders>
              <w:top w:val="single" w:sz="4" w:space="0" w:color="5B9BD5"/>
              <w:left w:val="nil"/>
              <w:bottom w:val="single" w:sz="4" w:space="0" w:color="5B9BD5"/>
              <w:right w:val="single" w:sz="4" w:space="0" w:color="5B9BD5"/>
            </w:tcBorders>
            <w:shd w:val="clear" w:color="auto" w:fill="auto"/>
            <w:noWrap/>
            <w:vAlign w:val="center"/>
            <w:hideMark/>
          </w:tcPr>
          <w:p w:rsidR="00C94F1A" w:rsidRPr="0081539A" w:rsidRDefault="00C94F1A" w:rsidP="0081539A">
            <w:pPr>
              <w:jc w:val="center"/>
              <w:rPr>
                <w:rFonts w:cs="Calibri"/>
                <w:b/>
                <w:bCs/>
                <w:color w:val="000000"/>
                <w:sz w:val="18"/>
                <w:szCs w:val="18"/>
              </w:rPr>
            </w:pPr>
            <w:r w:rsidRPr="0081539A">
              <w:rPr>
                <w:rFonts w:cs="Calibri"/>
                <w:b/>
                <w:bCs/>
                <w:color w:val="000000"/>
                <w:sz w:val="18"/>
                <w:szCs w:val="18"/>
              </w:rPr>
              <w:t>2019</w:t>
            </w:r>
          </w:p>
        </w:tc>
        <w:tc>
          <w:tcPr>
            <w:tcW w:w="992" w:type="dxa"/>
            <w:vMerge w:val="restart"/>
            <w:tcBorders>
              <w:top w:val="single" w:sz="4" w:space="0" w:color="5B9BD5"/>
              <w:left w:val="single" w:sz="4" w:space="0" w:color="5B9BD5"/>
              <w:right w:val="single" w:sz="4" w:space="0" w:color="5B9BD5"/>
            </w:tcBorders>
            <w:shd w:val="clear" w:color="auto" w:fill="auto"/>
            <w:vAlign w:val="center"/>
            <w:hideMark/>
          </w:tcPr>
          <w:p w:rsidR="00C94F1A" w:rsidRPr="0081539A" w:rsidRDefault="00C94F1A" w:rsidP="0081539A">
            <w:pPr>
              <w:jc w:val="center"/>
              <w:rPr>
                <w:rFonts w:cs="Calibri"/>
                <w:b/>
                <w:bCs/>
                <w:color w:val="000000"/>
                <w:sz w:val="18"/>
                <w:szCs w:val="18"/>
              </w:rPr>
            </w:pPr>
            <w:r w:rsidRPr="0081539A">
              <w:rPr>
                <w:rFonts w:cs="Calibri"/>
                <w:b/>
                <w:bCs/>
                <w:color w:val="000000"/>
                <w:sz w:val="18"/>
                <w:szCs w:val="18"/>
              </w:rPr>
              <w:t>For 2020</w:t>
            </w:r>
          </w:p>
        </w:tc>
        <w:tc>
          <w:tcPr>
            <w:tcW w:w="3837" w:type="dxa"/>
            <w:gridSpan w:val="4"/>
            <w:tcBorders>
              <w:top w:val="single" w:sz="4" w:space="0" w:color="5B9BD5"/>
              <w:left w:val="nil"/>
              <w:bottom w:val="single" w:sz="4" w:space="0" w:color="5B9BD5"/>
              <w:right w:val="single" w:sz="4" w:space="0" w:color="5B9BD5"/>
            </w:tcBorders>
            <w:shd w:val="clear" w:color="auto" w:fill="auto"/>
            <w:noWrap/>
            <w:vAlign w:val="center"/>
            <w:hideMark/>
          </w:tcPr>
          <w:p w:rsidR="00C94F1A" w:rsidRPr="0081539A" w:rsidRDefault="00C94F1A" w:rsidP="0081539A">
            <w:pPr>
              <w:jc w:val="center"/>
              <w:rPr>
                <w:rFonts w:cs="Calibri"/>
                <w:b/>
                <w:bCs/>
                <w:color w:val="000000"/>
                <w:sz w:val="18"/>
                <w:szCs w:val="18"/>
              </w:rPr>
            </w:pPr>
            <w:r w:rsidRPr="0081539A">
              <w:rPr>
                <w:rFonts w:cs="Calibri"/>
                <w:b/>
                <w:bCs/>
                <w:color w:val="000000"/>
                <w:sz w:val="18"/>
                <w:szCs w:val="18"/>
              </w:rPr>
              <w:t>2020</w:t>
            </w:r>
          </w:p>
        </w:tc>
      </w:tr>
      <w:tr w:rsidR="00CB3A9B" w:rsidRPr="0081539A" w:rsidTr="003C7C79">
        <w:trPr>
          <w:trHeight w:val="72"/>
          <w:tblHeader/>
        </w:trPr>
        <w:tc>
          <w:tcPr>
            <w:tcW w:w="767" w:type="dxa"/>
            <w:vMerge/>
            <w:tcBorders>
              <w:top w:val="single" w:sz="4" w:space="0" w:color="5B9BD5"/>
              <w:left w:val="single" w:sz="4" w:space="0" w:color="5B9BD5"/>
              <w:bottom w:val="single" w:sz="4" w:space="0" w:color="5B9BD5"/>
              <w:right w:val="single" w:sz="4" w:space="0" w:color="5B9BD5"/>
            </w:tcBorders>
            <w:vAlign w:val="center"/>
            <w:hideMark/>
          </w:tcPr>
          <w:p w:rsidR="00CB3A9B" w:rsidRPr="0081539A" w:rsidRDefault="00CB3A9B" w:rsidP="00CB3A9B">
            <w:pPr>
              <w:rPr>
                <w:rFonts w:cs="Calibri"/>
                <w:b/>
                <w:bCs/>
                <w:color w:val="000000"/>
                <w:sz w:val="18"/>
                <w:szCs w:val="18"/>
              </w:rPr>
            </w:pPr>
          </w:p>
        </w:tc>
        <w:tc>
          <w:tcPr>
            <w:tcW w:w="4195" w:type="dxa"/>
            <w:vMerge/>
            <w:tcBorders>
              <w:top w:val="single" w:sz="4" w:space="0" w:color="5B9BD5"/>
              <w:left w:val="single" w:sz="4" w:space="0" w:color="5B9BD5"/>
              <w:bottom w:val="single" w:sz="4" w:space="0" w:color="5B9BD5"/>
              <w:right w:val="single" w:sz="4" w:space="0" w:color="5B9BD5"/>
            </w:tcBorders>
            <w:vAlign w:val="center"/>
            <w:hideMark/>
          </w:tcPr>
          <w:p w:rsidR="00CB3A9B" w:rsidRPr="0081539A" w:rsidRDefault="00CB3A9B" w:rsidP="00CB3A9B">
            <w:pPr>
              <w:rPr>
                <w:rFonts w:cs="Calibri"/>
                <w:b/>
                <w:bCs/>
                <w:color w:val="000000"/>
                <w:sz w:val="18"/>
                <w:szCs w:val="18"/>
              </w:rPr>
            </w:pPr>
          </w:p>
        </w:tc>
        <w:tc>
          <w:tcPr>
            <w:tcW w:w="992" w:type="dxa"/>
            <w:vMerge/>
            <w:tcBorders>
              <w:top w:val="single" w:sz="4" w:space="0" w:color="5B9BD5"/>
              <w:left w:val="single" w:sz="4" w:space="0" w:color="5B9BD5"/>
              <w:bottom w:val="single" w:sz="4" w:space="0" w:color="5B9BD5"/>
              <w:right w:val="single" w:sz="4" w:space="0" w:color="5B9BD5"/>
            </w:tcBorders>
            <w:vAlign w:val="center"/>
            <w:hideMark/>
          </w:tcPr>
          <w:p w:rsidR="00CB3A9B" w:rsidRPr="0081539A" w:rsidRDefault="00CB3A9B" w:rsidP="00CB3A9B">
            <w:pPr>
              <w:rPr>
                <w:rFonts w:cs="Calibri"/>
                <w:b/>
                <w:bCs/>
                <w:color w:val="000000"/>
                <w:sz w:val="18"/>
                <w:szCs w:val="18"/>
              </w:rPr>
            </w:pPr>
          </w:p>
        </w:tc>
        <w:tc>
          <w:tcPr>
            <w:tcW w:w="992" w:type="dxa"/>
            <w:vMerge/>
            <w:tcBorders>
              <w:top w:val="single" w:sz="4" w:space="0" w:color="5B9BD5"/>
              <w:left w:val="single" w:sz="4" w:space="0" w:color="5B9BD5"/>
              <w:bottom w:val="single" w:sz="4" w:space="0" w:color="5B9BD5"/>
              <w:right w:val="single" w:sz="4" w:space="0" w:color="5B9BD5"/>
            </w:tcBorders>
            <w:vAlign w:val="center"/>
            <w:hideMark/>
          </w:tcPr>
          <w:p w:rsidR="00CB3A9B" w:rsidRPr="0081539A" w:rsidRDefault="00CB3A9B" w:rsidP="00CB3A9B">
            <w:pPr>
              <w:rPr>
                <w:rFonts w:cs="Calibri"/>
                <w:b/>
                <w:bCs/>
                <w:color w:val="000000"/>
                <w:sz w:val="18"/>
                <w:szCs w:val="18"/>
              </w:rPr>
            </w:pPr>
          </w:p>
        </w:tc>
        <w:tc>
          <w:tcPr>
            <w:tcW w:w="841" w:type="dxa"/>
            <w:tcBorders>
              <w:top w:val="nil"/>
              <w:left w:val="nil"/>
              <w:bottom w:val="single" w:sz="4" w:space="0" w:color="5B9BD5"/>
              <w:right w:val="single" w:sz="4" w:space="0" w:color="5B9BD5"/>
            </w:tcBorders>
            <w:shd w:val="clear" w:color="auto" w:fill="auto"/>
            <w:vAlign w:val="center"/>
            <w:hideMark/>
          </w:tcPr>
          <w:p w:rsidR="00CB3A9B" w:rsidRPr="00CB3A9B" w:rsidRDefault="00CB3A9B" w:rsidP="00CB3A9B">
            <w:pPr>
              <w:jc w:val="center"/>
              <w:rPr>
                <w:rFonts w:cs="Calibri"/>
                <w:bCs/>
                <w:color w:val="000000"/>
                <w:sz w:val="18"/>
                <w:szCs w:val="18"/>
                <w:lang w:val="en-US"/>
              </w:rPr>
            </w:pPr>
            <w:r w:rsidRPr="00CB3A9B">
              <w:rPr>
                <w:rFonts w:cs="Calibri"/>
                <w:bCs/>
                <w:color w:val="000000"/>
                <w:sz w:val="18"/>
                <w:szCs w:val="18"/>
                <w:lang w:val="en-US"/>
              </w:rPr>
              <w:t>Q1</w:t>
            </w:r>
          </w:p>
        </w:tc>
        <w:tc>
          <w:tcPr>
            <w:tcW w:w="851" w:type="dxa"/>
            <w:tcBorders>
              <w:top w:val="nil"/>
              <w:left w:val="nil"/>
              <w:bottom w:val="single" w:sz="4" w:space="0" w:color="5B9BD5"/>
              <w:right w:val="single" w:sz="4" w:space="0" w:color="5B9BD5"/>
            </w:tcBorders>
            <w:shd w:val="clear" w:color="auto" w:fill="auto"/>
            <w:vAlign w:val="center"/>
            <w:hideMark/>
          </w:tcPr>
          <w:p w:rsidR="00CB3A9B" w:rsidRPr="00CB3A9B" w:rsidRDefault="00CB3A9B" w:rsidP="00CB3A9B">
            <w:pPr>
              <w:jc w:val="center"/>
              <w:rPr>
                <w:rFonts w:cs="Calibri"/>
                <w:bCs/>
                <w:color w:val="000000"/>
                <w:sz w:val="18"/>
                <w:szCs w:val="18"/>
                <w:lang w:val="en-US"/>
              </w:rPr>
            </w:pPr>
            <w:r w:rsidRPr="00CB3A9B">
              <w:rPr>
                <w:rFonts w:cs="Calibri"/>
                <w:bCs/>
                <w:color w:val="000000"/>
                <w:sz w:val="18"/>
                <w:szCs w:val="18"/>
                <w:lang w:val="en-US"/>
              </w:rPr>
              <w:t>Q2</w:t>
            </w:r>
          </w:p>
        </w:tc>
        <w:tc>
          <w:tcPr>
            <w:tcW w:w="850" w:type="dxa"/>
            <w:tcBorders>
              <w:top w:val="nil"/>
              <w:left w:val="nil"/>
              <w:bottom w:val="single" w:sz="4" w:space="0" w:color="5B9BD5"/>
              <w:right w:val="single" w:sz="4" w:space="0" w:color="5B9BD5"/>
            </w:tcBorders>
            <w:shd w:val="clear" w:color="auto" w:fill="auto"/>
            <w:vAlign w:val="center"/>
            <w:hideMark/>
          </w:tcPr>
          <w:p w:rsidR="00CB3A9B" w:rsidRPr="00CB3A9B" w:rsidRDefault="00CB3A9B" w:rsidP="00CB3A9B">
            <w:pPr>
              <w:jc w:val="center"/>
              <w:rPr>
                <w:rFonts w:cs="Calibri"/>
                <w:bCs/>
                <w:color w:val="000000"/>
                <w:sz w:val="18"/>
                <w:szCs w:val="18"/>
                <w:lang w:val="en-US"/>
              </w:rPr>
            </w:pPr>
            <w:r w:rsidRPr="00CB3A9B">
              <w:rPr>
                <w:rFonts w:cs="Calibri"/>
                <w:bCs/>
                <w:color w:val="000000"/>
                <w:sz w:val="18"/>
                <w:szCs w:val="18"/>
                <w:lang w:val="en-US"/>
              </w:rPr>
              <w:t>Q3</w:t>
            </w:r>
          </w:p>
        </w:tc>
        <w:tc>
          <w:tcPr>
            <w:tcW w:w="851" w:type="dxa"/>
            <w:tcBorders>
              <w:top w:val="nil"/>
              <w:left w:val="nil"/>
              <w:bottom w:val="single" w:sz="4" w:space="0" w:color="5B9BD5"/>
              <w:right w:val="single" w:sz="4" w:space="0" w:color="5B9BD5"/>
            </w:tcBorders>
            <w:shd w:val="clear" w:color="auto" w:fill="auto"/>
            <w:vAlign w:val="center"/>
            <w:hideMark/>
          </w:tcPr>
          <w:p w:rsidR="00CB3A9B" w:rsidRPr="00CB3A9B" w:rsidRDefault="00CB3A9B" w:rsidP="00CB3A9B">
            <w:pPr>
              <w:jc w:val="center"/>
              <w:rPr>
                <w:rFonts w:cs="Calibri"/>
                <w:bCs/>
                <w:color w:val="000000"/>
                <w:sz w:val="18"/>
                <w:szCs w:val="18"/>
                <w:lang w:val="en-US"/>
              </w:rPr>
            </w:pPr>
            <w:r w:rsidRPr="00CB3A9B">
              <w:rPr>
                <w:rFonts w:cs="Calibri"/>
                <w:bCs/>
                <w:color w:val="000000"/>
                <w:sz w:val="18"/>
                <w:szCs w:val="18"/>
                <w:lang w:val="en-US"/>
              </w:rPr>
              <w:t>Q4</w:t>
            </w:r>
          </w:p>
        </w:tc>
        <w:tc>
          <w:tcPr>
            <w:tcW w:w="992" w:type="dxa"/>
            <w:vMerge/>
            <w:tcBorders>
              <w:left w:val="single" w:sz="4" w:space="0" w:color="5B9BD5"/>
              <w:bottom w:val="single" w:sz="4" w:space="0" w:color="5B9BD5"/>
              <w:right w:val="single" w:sz="4" w:space="0" w:color="5B9BD5"/>
            </w:tcBorders>
            <w:vAlign w:val="center"/>
            <w:hideMark/>
          </w:tcPr>
          <w:p w:rsidR="00CB3A9B" w:rsidRPr="0081539A" w:rsidRDefault="00CB3A9B" w:rsidP="00CB3A9B">
            <w:pPr>
              <w:rPr>
                <w:rFonts w:cs="Calibri"/>
                <w:b/>
                <w:bCs/>
                <w:color w:val="000000"/>
                <w:sz w:val="18"/>
                <w:szCs w:val="18"/>
              </w:rPr>
            </w:pPr>
          </w:p>
        </w:tc>
        <w:tc>
          <w:tcPr>
            <w:tcW w:w="1002" w:type="dxa"/>
            <w:tcBorders>
              <w:top w:val="nil"/>
              <w:left w:val="nil"/>
              <w:bottom w:val="single" w:sz="4" w:space="0" w:color="5B9BD5"/>
              <w:right w:val="single" w:sz="4" w:space="0" w:color="5B9BD5"/>
            </w:tcBorders>
            <w:shd w:val="clear" w:color="auto" w:fill="auto"/>
            <w:vAlign w:val="center"/>
            <w:hideMark/>
          </w:tcPr>
          <w:p w:rsidR="00CB3A9B" w:rsidRPr="00CB3A9B" w:rsidRDefault="00CB3A9B" w:rsidP="00CB3A9B">
            <w:pPr>
              <w:jc w:val="center"/>
              <w:rPr>
                <w:rFonts w:cs="Calibri"/>
                <w:bCs/>
                <w:color w:val="000000"/>
                <w:sz w:val="18"/>
                <w:szCs w:val="18"/>
                <w:lang w:val="en-US"/>
              </w:rPr>
            </w:pPr>
            <w:r w:rsidRPr="00CB3A9B">
              <w:rPr>
                <w:rFonts w:cs="Calibri"/>
                <w:bCs/>
                <w:color w:val="000000"/>
                <w:sz w:val="18"/>
                <w:szCs w:val="18"/>
                <w:lang w:val="en-US"/>
              </w:rPr>
              <w:t>Q1</w:t>
            </w:r>
          </w:p>
        </w:tc>
        <w:tc>
          <w:tcPr>
            <w:tcW w:w="850" w:type="dxa"/>
            <w:tcBorders>
              <w:top w:val="nil"/>
              <w:left w:val="nil"/>
              <w:bottom w:val="single" w:sz="4" w:space="0" w:color="5B9BD5"/>
              <w:right w:val="single" w:sz="4" w:space="0" w:color="5B9BD5"/>
            </w:tcBorders>
            <w:shd w:val="clear" w:color="auto" w:fill="auto"/>
            <w:vAlign w:val="center"/>
            <w:hideMark/>
          </w:tcPr>
          <w:p w:rsidR="00CB3A9B" w:rsidRPr="00CB3A9B" w:rsidRDefault="00CB3A9B" w:rsidP="00CB3A9B">
            <w:pPr>
              <w:jc w:val="center"/>
              <w:rPr>
                <w:rFonts w:cs="Calibri"/>
                <w:bCs/>
                <w:color w:val="000000"/>
                <w:sz w:val="18"/>
                <w:szCs w:val="18"/>
                <w:lang w:val="en-US"/>
              </w:rPr>
            </w:pPr>
            <w:r w:rsidRPr="00CB3A9B">
              <w:rPr>
                <w:rFonts w:cs="Calibri"/>
                <w:bCs/>
                <w:color w:val="000000"/>
                <w:sz w:val="18"/>
                <w:szCs w:val="18"/>
                <w:lang w:val="en-US"/>
              </w:rPr>
              <w:t>Q2</w:t>
            </w:r>
          </w:p>
        </w:tc>
        <w:tc>
          <w:tcPr>
            <w:tcW w:w="993" w:type="dxa"/>
            <w:tcBorders>
              <w:top w:val="nil"/>
              <w:left w:val="nil"/>
              <w:bottom w:val="single" w:sz="4" w:space="0" w:color="5B9BD5"/>
              <w:right w:val="single" w:sz="4" w:space="0" w:color="5B9BD5"/>
            </w:tcBorders>
            <w:shd w:val="clear" w:color="auto" w:fill="auto"/>
            <w:vAlign w:val="center"/>
            <w:hideMark/>
          </w:tcPr>
          <w:p w:rsidR="00CB3A9B" w:rsidRPr="00CB3A9B" w:rsidRDefault="00CB3A9B" w:rsidP="00CB3A9B">
            <w:pPr>
              <w:jc w:val="center"/>
              <w:rPr>
                <w:rFonts w:cs="Calibri"/>
                <w:bCs/>
                <w:color w:val="000000"/>
                <w:sz w:val="18"/>
                <w:szCs w:val="18"/>
                <w:lang w:val="en-US"/>
              </w:rPr>
            </w:pPr>
            <w:r w:rsidRPr="00CB3A9B">
              <w:rPr>
                <w:rFonts w:cs="Calibri"/>
                <w:bCs/>
                <w:color w:val="000000"/>
                <w:sz w:val="18"/>
                <w:szCs w:val="18"/>
                <w:lang w:val="en-US"/>
              </w:rPr>
              <w:t>Q3</w:t>
            </w:r>
          </w:p>
        </w:tc>
        <w:tc>
          <w:tcPr>
            <w:tcW w:w="992" w:type="dxa"/>
            <w:tcBorders>
              <w:top w:val="nil"/>
              <w:left w:val="nil"/>
              <w:bottom w:val="single" w:sz="4" w:space="0" w:color="5B9BD5"/>
              <w:right w:val="single" w:sz="4" w:space="0" w:color="5B9BD5"/>
            </w:tcBorders>
            <w:shd w:val="clear" w:color="auto" w:fill="auto"/>
            <w:vAlign w:val="center"/>
            <w:hideMark/>
          </w:tcPr>
          <w:p w:rsidR="00CB3A9B" w:rsidRPr="00CB3A9B" w:rsidRDefault="00CB3A9B" w:rsidP="00CB3A9B">
            <w:pPr>
              <w:jc w:val="center"/>
              <w:rPr>
                <w:rFonts w:cs="Calibri"/>
                <w:bCs/>
                <w:color w:val="000000"/>
                <w:sz w:val="18"/>
                <w:szCs w:val="18"/>
                <w:lang w:val="en-US"/>
              </w:rPr>
            </w:pPr>
            <w:r w:rsidRPr="00CB3A9B">
              <w:rPr>
                <w:rFonts w:cs="Calibri"/>
                <w:bCs/>
                <w:color w:val="000000"/>
                <w:sz w:val="18"/>
                <w:szCs w:val="18"/>
                <w:lang w:val="en-US"/>
              </w:rPr>
              <w:t>Q4</w:t>
            </w:r>
          </w:p>
        </w:tc>
      </w:tr>
      <w:tr w:rsidR="00F7244A" w:rsidRPr="0081539A" w:rsidTr="003C7C79">
        <w:trPr>
          <w:trHeight w:val="315"/>
        </w:trPr>
        <w:tc>
          <w:tcPr>
            <w:tcW w:w="767" w:type="dxa"/>
            <w:tcBorders>
              <w:top w:val="nil"/>
              <w:left w:val="single" w:sz="4" w:space="0" w:color="5B9BD5"/>
              <w:bottom w:val="single" w:sz="4" w:space="0" w:color="5B9BD5"/>
              <w:right w:val="single" w:sz="4" w:space="0" w:color="5B9BD5"/>
            </w:tcBorders>
            <w:shd w:val="clear" w:color="000000" w:fill="BDD7EE"/>
            <w:vAlign w:val="center"/>
            <w:hideMark/>
          </w:tcPr>
          <w:p w:rsidR="00F7244A" w:rsidRPr="0081539A" w:rsidRDefault="00F7244A" w:rsidP="00F7244A">
            <w:pPr>
              <w:jc w:val="center"/>
              <w:rPr>
                <w:rFonts w:cs="Calibri"/>
                <w:b/>
                <w:bCs/>
                <w:color w:val="000000"/>
                <w:sz w:val="18"/>
                <w:szCs w:val="18"/>
              </w:rPr>
            </w:pPr>
            <w:r w:rsidRPr="0081539A">
              <w:rPr>
                <w:rFonts w:cs="Calibri"/>
                <w:b/>
                <w:bCs/>
                <w:color w:val="000000"/>
                <w:sz w:val="18"/>
                <w:szCs w:val="18"/>
              </w:rPr>
              <w:t> </w:t>
            </w:r>
          </w:p>
        </w:tc>
        <w:tc>
          <w:tcPr>
            <w:tcW w:w="4195" w:type="dxa"/>
            <w:tcBorders>
              <w:top w:val="nil"/>
              <w:left w:val="nil"/>
              <w:bottom w:val="single" w:sz="4" w:space="0" w:color="5B9BD5"/>
              <w:right w:val="single" w:sz="4" w:space="0" w:color="5B9BD5"/>
            </w:tcBorders>
            <w:shd w:val="clear" w:color="000000" w:fill="BDD7EE"/>
            <w:vAlign w:val="center"/>
            <w:hideMark/>
          </w:tcPr>
          <w:p w:rsidR="00F7244A" w:rsidRPr="0081539A" w:rsidRDefault="00F7244A" w:rsidP="00CB3A9B">
            <w:pPr>
              <w:ind w:left="174"/>
              <w:rPr>
                <w:rFonts w:cs="Calibri"/>
                <w:b/>
                <w:bCs/>
                <w:color w:val="000000"/>
                <w:sz w:val="18"/>
                <w:szCs w:val="18"/>
              </w:rPr>
            </w:pPr>
            <w:r w:rsidRPr="0081539A">
              <w:rPr>
                <w:rFonts w:cs="Calibri"/>
                <w:b/>
                <w:bCs/>
                <w:color w:val="000000"/>
                <w:sz w:val="18"/>
                <w:szCs w:val="18"/>
              </w:rPr>
              <w:t>Total import</w:t>
            </w: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b/>
                <w:bCs/>
                <w:color w:val="000000"/>
                <w:sz w:val="16"/>
                <w:szCs w:val="16"/>
              </w:rPr>
            </w:pPr>
            <w:r w:rsidRPr="00F7244A">
              <w:rPr>
                <w:rFonts w:cs="Calibri"/>
                <w:b/>
                <w:bCs/>
                <w:color w:val="000000"/>
                <w:sz w:val="16"/>
                <w:szCs w:val="16"/>
              </w:rPr>
              <w:t>18 900,8</w:t>
            </w: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b/>
                <w:bCs/>
                <w:color w:val="000000"/>
                <w:sz w:val="16"/>
                <w:szCs w:val="16"/>
              </w:rPr>
            </w:pPr>
            <w:r w:rsidRPr="00F7244A">
              <w:rPr>
                <w:rFonts w:cs="Calibri"/>
                <w:b/>
                <w:bCs/>
                <w:color w:val="000000"/>
                <w:sz w:val="16"/>
                <w:szCs w:val="16"/>
              </w:rPr>
              <w:t>22 487,3</w:t>
            </w:r>
          </w:p>
        </w:tc>
        <w:tc>
          <w:tcPr>
            <w:tcW w:w="841"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b/>
                <w:bCs/>
                <w:color w:val="000000"/>
                <w:sz w:val="16"/>
                <w:szCs w:val="16"/>
              </w:rPr>
            </w:pPr>
            <w:r w:rsidRPr="00F7244A">
              <w:rPr>
                <w:rFonts w:cs="Calibri"/>
                <w:b/>
                <w:bCs/>
                <w:color w:val="000000"/>
                <w:sz w:val="16"/>
                <w:szCs w:val="16"/>
              </w:rPr>
              <w:t>5 041,4</w:t>
            </w:r>
          </w:p>
        </w:tc>
        <w:tc>
          <w:tcPr>
            <w:tcW w:w="851"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b/>
                <w:bCs/>
                <w:color w:val="000000"/>
                <w:sz w:val="16"/>
                <w:szCs w:val="16"/>
              </w:rPr>
            </w:pPr>
            <w:r w:rsidRPr="00F7244A">
              <w:rPr>
                <w:rFonts w:cs="Calibri"/>
                <w:b/>
                <w:bCs/>
                <w:color w:val="000000"/>
                <w:sz w:val="16"/>
                <w:szCs w:val="16"/>
              </w:rPr>
              <w:t>5 548,3</w:t>
            </w:r>
          </w:p>
        </w:tc>
        <w:tc>
          <w:tcPr>
            <w:tcW w:w="850"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b/>
                <w:bCs/>
                <w:color w:val="000000"/>
                <w:sz w:val="16"/>
                <w:szCs w:val="16"/>
              </w:rPr>
            </w:pPr>
            <w:r w:rsidRPr="00F7244A">
              <w:rPr>
                <w:rFonts w:cs="Calibri"/>
                <w:b/>
                <w:bCs/>
                <w:color w:val="000000"/>
                <w:sz w:val="16"/>
                <w:szCs w:val="16"/>
              </w:rPr>
              <w:t>5 863,9</w:t>
            </w:r>
          </w:p>
        </w:tc>
        <w:tc>
          <w:tcPr>
            <w:tcW w:w="851"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b/>
                <w:bCs/>
                <w:color w:val="000000"/>
                <w:sz w:val="16"/>
                <w:szCs w:val="16"/>
              </w:rPr>
            </w:pPr>
            <w:r w:rsidRPr="00F7244A">
              <w:rPr>
                <w:rFonts w:cs="Calibri"/>
                <w:b/>
                <w:bCs/>
                <w:color w:val="000000"/>
                <w:sz w:val="16"/>
                <w:szCs w:val="16"/>
              </w:rPr>
              <w:t>6 033,7</w:t>
            </w: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b/>
                <w:bCs/>
                <w:color w:val="000000"/>
                <w:sz w:val="16"/>
                <w:szCs w:val="16"/>
              </w:rPr>
            </w:pPr>
            <w:r w:rsidRPr="00F7244A">
              <w:rPr>
                <w:rFonts w:cs="Calibri"/>
                <w:b/>
                <w:bCs/>
                <w:color w:val="000000"/>
                <w:sz w:val="16"/>
                <w:szCs w:val="16"/>
              </w:rPr>
              <w:t>20 520,6</w:t>
            </w:r>
          </w:p>
        </w:tc>
        <w:tc>
          <w:tcPr>
            <w:tcW w:w="1002"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b/>
                <w:bCs/>
                <w:color w:val="000000"/>
                <w:sz w:val="16"/>
                <w:szCs w:val="16"/>
              </w:rPr>
            </w:pPr>
            <w:r w:rsidRPr="00F7244A">
              <w:rPr>
                <w:rFonts w:cs="Calibri"/>
                <w:b/>
                <w:bCs/>
                <w:color w:val="000000"/>
                <w:sz w:val="16"/>
                <w:szCs w:val="16"/>
              </w:rPr>
              <w:t>4 531,4</w:t>
            </w:r>
          </w:p>
        </w:tc>
        <w:tc>
          <w:tcPr>
            <w:tcW w:w="850"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b/>
                <w:bCs/>
                <w:color w:val="000000"/>
                <w:sz w:val="16"/>
                <w:szCs w:val="16"/>
              </w:rPr>
            </w:pPr>
            <w:r w:rsidRPr="00F7244A">
              <w:rPr>
                <w:rFonts w:cs="Calibri"/>
                <w:b/>
                <w:bCs/>
                <w:color w:val="000000"/>
                <w:sz w:val="16"/>
                <w:szCs w:val="16"/>
              </w:rPr>
              <w:t>4 645,5</w:t>
            </w:r>
          </w:p>
        </w:tc>
        <w:tc>
          <w:tcPr>
            <w:tcW w:w="993"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b/>
                <w:bCs/>
                <w:color w:val="000000"/>
                <w:sz w:val="16"/>
                <w:szCs w:val="16"/>
              </w:rPr>
            </w:pPr>
            <w:r w:rsidRPr="00F7244A">
              <w:rPr>
                <w:rFonts w:cs="Calibri"/>
                <w:b/>
                <w:bCs/>
                <w:color w:val="000000"/>
                <w:sz w:val="16"/>
                <w:szCs w:val="16"/>
              </w:rPr>
              <w:t>5 441,6</w:t>
            </w: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b/>
                <w:bCs/>
                <w:color w:val="000000"/>
                <w:sz w:val="16"/>
                <w:szCs w:val="16"/>
              </w:rPr>
            </w:pPr>
            <w:r w:rsidRPr="00F7244A">
              <w:rPr>
                <w:rFonts w:cs="Calibri"/>
                <w:b/>
                <w:bCs/>
                <w:color w:val="000000"/>
                <w:sz w:val="16"/>
                <w:szCs w:val="16"/>
              </w:rPr>
              <w:t>5 902,1</w:t>
            </w:r>
          </w:p>
        </w:tc>
      </w:tr>
      <w:tr w:rsidR="00F7244A" w:rsidRPr="0081539A" w:rsidTr="003C7C79">
        <w:trPr>
          <w:trHeight w:val="315"/>
        </w:trPr>
        <w:tc>
          <w:tcPr>
            <w:tcW w:w="767" w:type="dxa"/>
            <w:tcBorders>
              <w:top w:val="nil"/>
              <w:left w:val="single" w:sz="4" w:space="0" w:color="5B9BD5"/>
              <w:bottom w:val="single" w:sz="4" w:space="0" w:color="5B9BD5"/>
              <w:right w:val="single" w:sz="4" w:space="0" w:color="5B9BD5"/>
            </w:tcBorders>
            <w:shd w:val="clear" w:color="000000" w:fill="BDD7EE"/>
            <w:vAlign w:val="center"/>
            <w:hideMark/>
          </w:tcPr>
          <w:p w:rsidR="00F7244A" w:rsidRPr="0081539A" w:rsidRDefault="00F7244A" w:rsidP="00F7244A">
            <w:pPr>
              <w:jc w:val="center"/>
              <w:rPr>
                <w:rFonts w:cs="Calibri"/>
                <w:b/>
                <w:bCs/>
                <w:color w:val="000000"/>
                <w:sz w:val="18"/>
                <w:szCs w:val="18"/>
              </w:rPr>
            </w:pPr>
            <w:r w:rsidRPr="0081539A">
              <w:rPr>
                <w:rFonts w:cs="Calibri"/>
                <w:b/>
                <w:bCs/>
                <w:color w:val="000000"/>
                <w:sz w:val="18"/>
                <w:szCs w:val="18"/>
              </w:rPr>
              <w:t> </w:t>
            </w:r>
          </w:p>
        </w:tc>
        <w:tc>
          <w:tcPr>
            <w:tcW w:w="4195" w:type="dxa"/>
            <w:tcBorders>
              <w:top w:val="nil"/>
              <w:left w:val="nil"/>
              <w:bottom w:val="single" w:sz="4" w:space="0" w:color="5B9BD5"/>
              <w:right w:val="single" w:sz="4" w:space="0" w:color="5B9BD5"/>
            </w:tcBorders>
            <w:shd w:val="clear" w:color="000000" w:fill="BDD7EE"/>
            <w:vAlign w:val="center"/>
            <w:hideMark/>
          </w:tcPr>
          <w:p w:rsidR="00F7244A" w:rsidRPr="0081539A" w:rsidRDefault="00F7244A" w:rsidP="00CB3A9B">
            <w:pPr>
              <w:ind w:left="174"/>
              <w:rPr>
                <w:rFonts w:cs="Calibri"/>
                <w:color w:val="000000"/>
                <w:sz w:val="18"/>
                <w:szCs w:val="18"/>
              </w:rPr>
            </w:pPr>
            <w:r w:rsidRPr="0081539A">
              <w:rPr>
                <w:rFonts w:cs="Calibri"/>
                <w:color w:val="000000"/>
                <w:sz w:val="18"/>
                <w:szCs w:val="18"/>
              </w:rPr>
              <w:t>Main nomenclature of products</w:t>
            </w:r>
          </w:p>
        </w:tc>
        <w:tc>
          <w:tcPr>
            <w:tcW w:w="992" w:type="dxa"/>
            <w:tcBorders>
              <w:top w:val="nil"/>
              <w:left w:val="nil"/>
              <w:bottom w:val="single" w:sz="4" w:space="0" w:color="5B9BD5"/>
              <w:right w:val="single" w:sz="4" w:space="0" w:color="5B9BD5"/>
            </w:tcBorders>
            <w:shd w:val="clear" w:color="000000" w:fill="BDD7EE"/>
            <w:vAlign w:val="center"/>
            <w:hideMark/>
          </w:tcPr>
          <w:p w:rsidR="00F7244A" w:rsidRPr="00F7244A" w:rsidRDefault="00F7244A" w:rsidP="00F7244A">
            <w:pPr>
              <w:jc w:val="center"/>
              <w:rPr>
                <w:rFonts w:cs="Calibri"/>
                <w:b/>
                <w:bCs/>
                <w:color w:val="000000"/>
                <w:sz w:val="16"/>
                <w:szCs w:val="16"/>
              </w:rPr>
            </w:pPr>
            <w:r w:rsidRPr="00F7244A">
              <w:rPr>
                <w:rFonts w:cs="Calibri"/>
                <w:b/>
                <w:bCs/>
                <w:color w:val="000000"/>
                <w:sz w:val="16"/>
                <w:szCs w:val="16"/>
              </w:rPr>
              <w:t>10 590,7</w:t>
            </w:r>
          </w:p>
        </w:tc>
        <w:tc>
          <w:tcPr>
            <w:tcW w:w="992" w:type="dxa"/>
            <w:tcBorders>
              <w:top w:val="nil"/>
              <w:left w:val="nil"/>
              <w:bottom w:val="single" w:sz="4" w:space="0" w:color="5B9BD5"/>
              <w:right w:val="single" w:sz="4" w:space="0" w:color="5B9BD5"/>
            </w:tcBorders>
            <w:shd w:val="clear" w:color="000000" w:fill="BDD7EE"/>
            <w:vAlign w:val="center"/>
            <w:hideMark/>
          </w:tcPr>
          <w:p w:rsidR="00F7244A" w:rsidRPr="00F7244A" w:rsidRDefault="00F7244A" w:rsidP="00F7244A">
            <w:pPr>
              <w:jc w:val="center"/>
              <w:rPr>
                <w:rFonts w:cs="Calibri"/>
                <w:b/>
                <w:bCs/>
                <w:color w:val="000000"/>
                <w:sz w:val="16"/>
                <w:szCs w:val="16"/>
              </w:rPr>
            </w:pPr>
            <w:r w:rsidRPr="00F7244A">
              <w:rPr>
                <w:rFonts w:cs="Calibri"/>
                <w:b/>
                <w:bCs/>
                <w:color w:val="000000"/>
                <w:sz w:val="16"/>
                <w:szCs w:val="16"/>
              </w:rPr>
              <w:t>11 744,6</w:t>
            </w:r>
          </w:p>
        </w:tc>
        <w:tc>
          <w:tcPr>
            <w:tcW w:w="841" w:type="dxa"/>
            <w:tcBorders>
              <w:top w:val="nil"/>
              <w:left w:val="nil"/>
              <w:bottom w:val="single" w:sz="4" w:space="0" w:color="5B9BD5"/>
              <w:right w:val="single" w:sz="4" w:space="0" w:color="5B9BD5"/>
            </w:tcBorders>
            <w:shd w:val="clear" w:color="000000" w:fill="BDD7EE"/>
            <w:vAlign w:val="center"/>
            <w:hideMark/>
          </w:tcPr>
          <w:p w:rsidR="00F7244A" w:rsidRPr="00F7244A" w:rsidRDefault="00F7244A" w:rsidP="00F7244A">
            <w:pPr>
              <w:jc w:val="center"/>
              <w:rPr>
                <w:rFonts w:cs="Calibri"/>
                <w:b/>
                <w:bCs/>
                <w:color w:val="000000"/>
                <w:sz w:val="16"/>
                <w:szCs w:val="16"/>
              </w:rPr>
            </w:pPr>
            <w:r w:rsidRPr="00F7244A">
              <w:rPr>
                <w:rFonts w:cs="Calibri"/>
                <w:b/>
                <w:bCs/>
                <w:color w:val="000000"/>
                <w:sz w:val="16"/>
                <w:szCs w:val="16"/>
              </w:rPr>
              <w:t>2 635,2</w:t>
            </w:r>
          </w:p>
        </w:tc>
        <w:tc>
          <w:tcPr>
            <w:tcW w:w="851" w:type="dxa"/>
            <w:tcBorders>
              <w:top w:val="nil"/>
              <w:left w:val="nil"/>
              <w:bottom w:val="single" w:sz="4" w:space="0" w:color="5B9BD5"/>
              <w:right w:val="single" w:sz="4" w:space="0" w:color="5B9BD5"/>
            </w:tcBorders>
            <w:shd w:val="clear" w:color="000000" w:fill="BDD7EE"/>
            <w:vAlign w:val="center"/>
            <w:hideMark/>
          </w:tcPr>
          <w:p w:rsidR="00F7244A" w:rsidRPr="00F7244A" w:rsidRDefault="00F7244A" w:rsidP="00F7244A">
            <w:pPr>
              <w:jc w:val="center"/>
              <w:rPr>
                <w:rFonts w:cs="Calibri"/>
                <w:b/>
                <w:bCs/>
                <w:color w:val="000000"/>
                <w:sz w:val="16"/>
                <w:szCs w:val="16"/>
              </w:rPr>
            </w:pPr>
            <w:r w:rsidRPr="00F7244A">
              <w:rPr>
                <w:rFonts w:cs="Calibri"/>
                <w:b/>
                <w:bCs/>
                <w:color w:val="000000"/>
                <w:sz w:val="16"/>
                <w:szCs w:val="16"/>
              </w:rPr>
              <w:t>2 883,9</w:t>
            </w:r>
          </w:p>
        </w:tc>
        <w:tc>
          <w:tcPr>
            <w:tcW w:w="850" w:type="dxa"/>
            <w:tcBorders>
              <w:top w:val="nil"/>
              <w:left w:val="nil"/>
              <w:bottom w:val="single" w:sz="4" w:space="0" w:color="5B9BD5"/>
              <w:right w:val="single" w:sz="4" w:space="0" w:color="5B9BD5"/>
            </w:tcBorders>
            <w:shd w:val="clear" w:color="000000" w:fill="BDD7EE"/>
            <w:vAlign w:val="center"/>
            <w:hideMark/>
          </w:tcPr>
          <w:p w:rsidR="00F7244A" w:rsidRPr="00F7244A" w:rsidRDefault="00F7244A" w:rsidP="00F7244A">
            <w:pPr>
              <w:jc w:val="center"/>
              <w:rPr>
                <w:rFonts w:cs="Calibri"/>
                <w:b/>
                <w:bCs/>
                <w:color w:val="000000"/>
                <w:sz w:val="16"/>
                <w:szCs w:val="16"/>
              </w:rPr>
            </w:pPr>
            <w:r w:rsidRPr="00F7244A">
              <w:rPr>
                <w:rFonts w:cs="Calibri"/>
                <w:b/>
                <w:bCs/>
                <w:color w:val="000000"/>
                <w:sz w:val="16"/>
                <w:szCs w:val="16"/>
              </w:rPr>
              <w:t>2 999,6</w:t>
            </w:r>
          </w:p>
        </w:tc>
        <w:tc>
          <w:tcPr>
            <w:tcW w:w="851" w:type="dxa"/>
            <w:tcBorders>
              <w:top w:val="nil"/>
              <w:left w:val="nil"/>
              <w:bottom w:val="single" w:sz="4" w:space="0" w:color="5B9BD5"/>
              <w:right w:val="single" w:sz="4" w:space="0" w:color="5B9BD5"/>
            </w:tcBorders>
            <w:shd w:val="clear" w:color="000000" w:fill="BDD7EE"/>
            <w:vAlign w:val="center"/>
            <w:hideMark/>
          </w:tcPr>
          <w:p w:rsidR="00F7244A" w:rsidRPr="00F7244A" w:rsidRDefault="00F7244A" w:rsidP="00F7244A">
            <w:pPr>
              <w:jc w:val="center"/>
              <w:rPr>
                <w:rFonts w:cs="Calibri"/>
                <w:b/>
                <w:bCs/>
                <w:color w:val="000000"/>
                <w:sz w:val="16"/>
                <w:szCs w:val="16"/>
              </w:rPr>
            </w:pPr>
            <w:r w:rsidRPr="00F7244A">
              <w:rPr>
                <w:rFonts w:cs="Calibri"/>
                <w:b/>
                <w:bCs/>
                <w:color w:val="000000"/>
                <w:sz w:val="16"/>
                <w:szCs w:val="16"/>
              </w:rPr>
              <w:t>3 225,8</w:t>
            </w:r>
          </w:p>
        </w:tc>
        <w:tc>
          <w:tcPr>
            <w:tcW w:w="992" w:type="dxa"/>
            <w:tcBorders>
              <w:top w:val="nil"/>
              <w:left w:val="nil"/>
              <w:bottom w:val="single" w:sz="4" w:space="0" w:color="5B9BD5"/>
              <w:right w:val="single" w:sz="4" w:space="0" w:color="5B9BD5"/>
            </w:tcBorders>
            <w:shd w:val="clear" w:color="000000" w:fill="BDD7EE"/>
            <w:vAlign w:val="center"/>
            <w:hideMark/>
          </w:tcPr>
          <w:p w:rsidR="00F7244A" w:rsidRPr="00F7244A" w:rsidRDefault="00F7244A" w:rsidP="00F7244A">
            <w:pPr>
              <w:jc w:val="center"/>
              <w:rPr>
                <w:rFonts w:cs="Calibri"/>
                <w:b/>
                <w:bCs/>
                <w:color w:val="000000"/>
                <w:sz w:val="16"/>
                <w:szCs w:val="16"/>
              </w:rPr>
            </w:pPr>
            <w:r w:rsidRPr="00F7244A">
              <w:rPr>
                <w:rFonts w:cs="Calibri"/>
                <w:b/>
                <w:bCs/>
                <w:color w:val="000000"/>
                <w:sz w:val="16"/>
                <w:szCs w:val="16"/>
              </w:rPr>
              <w:t>11 267,8</w:t>
            </w:r>
          </w:p>
        </w:tc>
        <w:tc>
          <w:tcPr>
            <w:tcW w:w="1002" w:type="dxa"/>
            <w:tcBorders>
              <w:top w:val="nil"/>
              <w:left w:val="nil"/>
              <w:bottom w:val="single" w:sz="4" w:space="0" w:color="5B9BD5"/>
              <w:right w:val="single" w:sz="4" w:space="0" w:color="5B9BD5"/>
            </w:tcBorders>
            <w:shd w:val="clear" w:color="000000" w:fill="BDD7EE"/>
            <w:vAlign w:val="center"/>
            <w:hideMark/>
          </w:tcPr>
          <w:p w:rsidR="00F7244A" w:rsidRPr="00F7244A" w:rsidRDefault="00F7244A" w:rsidP="00F7244A">
            <w:pPr>
              <w:jc w:val="center"/>
              <w:rPr>
                <w:rFonts w:cs="Calibri"/>
                <w:b/>
                <w:bCs/>
                <w:color w:val="000000"/>
                <w:sz w:val="16"/>
                <w:szCs w:val="16"/>
              </w:rPr>
            </w:pPr>
            <w:r w:rsidRPr="00F7244A">
              <w:rPr>
                <w:rFonts w:cs="Calibri"/>
                <w:b/>
                <w:bCs/>
                <w:color w:val="000000"/>
                <w:sz w:val="16"/>
                <w:szCs w:val="16"/>
              </w:rPr>
              <w:t>2 591,5</w:t>
            </w:r>
          </w:p>
        </w:tc>
        <w:tc>
          <w:tcPr>
            <w:tcW w:w="850" w:type="dxa"/>
            <w:tcBorders>
              <w:top w:val="nil"/>
              <w:left w:val="nil"/>
              <w:bottom w:val="single" w:sz="4" w:space="0" w:color="5B9BD5"/>
              <w:right w:val="single" w:sz="4" w:space="0" w:color="5B9BD5"/>
            </w:tcBorders>
            <w:shd w:val="clear" w:color="000000" w:fill="BDD7EE"/>
            <w:vAlign w:val="center"/>
            <w:hideMark/>
          </w:tcPr>
          <w:p w:rsidR="00F7244A" w:rsidRPr="00F7244A" w:rsidRDefault="00F7244A" w:rsidP="00F7244A">
            <w:pPr>
              <w:jc w:val="center"/>
              <w:rPr>
                <w:rFonts w:cs="Calibri"/>
                <w:b/>
                <w:bCs/>
                <w:color w:val="000000"/>
                <w:sz w:val="16"/>
                <w:szCs w:val="16"/>
              </w:rPr>
            </w:pPr>
            <w:r w:rsidRPr="00F7244A">
              <w:rPr>
                <w:rFonts w:cs="Calibri"/>
                <w:b/>
                <w:bCs/>
                <w:color w:val="000000"/>
                <w:sz w:val="16"/>
                <w:szCs w:val="16"/>
              </w:rPr>
              <w:t>2 667,7</w:t>
            </w:r>
          </w:p>
        </w:tc>
        <w:tc>
          <w:tcPr>
            <w:tcW w:w="993" w:type="dxa"/>
            <w:tcBorders>
              <w:top w:val="nil"/>
              <w:left w:val="nil"/>
              <w:bottom w:val="single" w:sz="4" w:space="0" w:color="5B9BD5"/>
              <w:right w:val="single" w:sz="4" w:space="0" w:color="5B9BD5"/>
            </w:tcBorders>
            <w:shd w:val="clear" w:color="000000" w:fill="BDD7EE"/>
            <w:vAlign w:val="center"/>
            <w:hideMark/>
          </w:tcPr>
          <w:p w:rsidR="00F7244A" w:rsidRPr="00F7244A" w:rsidRDefault="00F7244A" w:rsidP="00F7244A">
            <w:pPr>
              <w:jc w:val="center"/>
              <w:rPr>
                <w:rFonts w:cs="Calibri"/>
                <w:b/>
                <w:bCs/>
                <w:color w:val="000000"/>
                <w:sz w:val="16"/>
                <w:szCs w:val="16"/>
              </w:rPr>
            </w:pPr>
            <w:r w:rsidRPr="00F7244A">
              <w:rPr>
                <w:rFonts w:cs="Calibri"/>
                <w:b/>
                <w:bCs/>
                <w:color w:val="000000"/>
                <w:sz w:val="16"/>
                <w:szCs w:val="16"/>
              </w:rPr>
              <w:t>3 100,9</w:t>
            </w:r>
          </w:p>
        </w:tc>
        <w:tc>
          <w:tcPr>
            <w:tcW w:w="992" w:type="dxa"/>
            <w:tcBorders>
              <w:top w:val="nil"/>
              <w:left w:val="nil"/>
              <w:bottom w:val="single" w:sz="4" w:space="0" w:color="5B9BD5"/>
              <w:right w:val="single" w:sz="4" w:space="0" w:color="5B9BD5"/>
            </w:tcBorders>
            <w:shd w:val="clear" w:color="000000" w:fill="BDD7EE"/>
            <w:vAlign w:val="center"/>
            <w:hideMark/>
          </w:tcPr>
          <w:p w:rsidR="00F7244A" w:rsidRPr="00F7244A" w:rsidRDefault="00F7244A" w:rsidP="00F7244A">
            <w:pPr>
              <w:jc w:val="center"/>
              <w:rPr>
                <w:rFonts w:cs="Calibri"/>
                <w:b/>
                <w:bCs/>
                <w:color w:val="000000"/>
                <w:sz w:val="16"/>
                <w:szCs w:val="16"/>
              </w:rPr>
            </w:pPr>
            <w:r w:rsidRPr="00F7244A">
              <w:rPr>
                <w:rFonts w:cs="Calibri"/>
                <w:b/>
                <w:bCs/>
                <w:color w:val="000000"/>
                <w:sz w:val="16"/>
                <w:szCs w:val="16"/>
              </w:rPr>
              <w:t>2 907,7</w:t>
            </w:r>
          </w:p>
        </w:tc>
      </w:tr>
      <w:tr w:rsidR="00F7244A" w:rsidRPr="0081539A" w:rsidTr="003C7C79">
        <w:trPr>
          <w:trHeight w:val="315"/>
        </w:trPr>
        <w:tc>
          <w:tcPr>
            <w:tcW w:w="767" w:type="dxa"/>
            <w:tcBorders>
              <w:top w:val="nil"/>
              <w:left w:val="single" w:sz="4" w:space="0" w:color="5B9BD5"/>
              <w:bottom w:val="single" w:sz="4" w:space="0" w:color="5B9BD5"/>
              <w:right w:val="single" w:sz="4" w:space="0" w:color="5B9BD5"/>
            </w:tcBorders>
            <w:shd w:val="clear" w:color="000000" w:fill="BDD7EE"/>
            <w:noWrap/>
            <w:vAlign w:val="center"/>
            <w:hideMark/>
          </w:tcPr>
          <w:p w:rsidR="00F7244A" w:rsidRPr="0081539A" w:rsidRDefault="00F7244A" w:rsidP="00F7244A">
            <w:pPr>
              <w:jc w:val="center"/>
              <w:rPr>
                <w:rFonts w:cs="Calibri"/>
                <w:color w:val="000000"/>
                <w:sz w:val="18"/>
                <w:szCs w:val="18"/>
              </w:rPr>
            </w:pPr>
            <w:r w:rsidRPr="0081539A">
              <w:rPr>
                <w:rFonts w:cs="Calibri"/>
                <w:color w:val="000000"/>
                <w:sz w:val="18"/>
                <w:szCs w:val="18"/>
              </w:rPr>
              <w:t>II</w:t>
            </w:r>
          </w:p>
        </w:tc>
        <w:tc>
          <w:tcPr>
            <w:tcW w:w="4195" w:type="dxa"/>
            <w:tcBorders>
              <w:top w:val="nil"/>
              <w:left w:val="nil"/>
              <w:bottom w:val="single" w:sz="4" w:space="0" w:color="5B9BD5"/>
              <w:right w:val="single" w:sz="4" w:space="0" w:color="5B9BD5"/>
            </w:tcBorders>
            <w:shd w:val="clear" w:color="000000" w:fill="BDD7EE"/>
            <w:noWrap/>
            <w:vAlign w:val="center"/>
            <w:hideMark/>
          </w:tcPr>
          <w:p w:rsidR="00F7244A" w:rsidRPr="0081539A" w:rsidRDefault="00F7244A" w:rsidP="00CB3A9B">
            <w:pPr>
              <w:ind w:left="174"/>
              <w:rPr>
                <w:rFonts w:cs="Calibri"/>
                <w:color w:val="000000"/>
                <w:sz w:val="18"/>
                <w:szCs w:val="18"/>
              </w:rPr>
            </w:pPr>
            <w:r w:rsidRPr="0081539A">
              <w:rPr>
                <w:rFonts w:cs="Calibri"/>
                <w:color w:val="000000"/>
                <w:sz w:val="18"/>
                <w:szCs w:val="18"/>
              </w:rPr>
              <w:t>Plant products</w:t>
            </w: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841"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851"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850"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851"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1002"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850"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993"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r>
      <w:tr w:rsidR="00F7244A" w:rsidRPr="0081539A" w:rsidTr="003C7C79">
        <w:trPr>
          <w:trHeight w:val="315"/>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1001</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rPr>
            </w:pPr>
            <w:r w:rsidRPr="0081539A">
              <w:rPr>
                <w:rFonts w:cs="Calibri"/>
                <w:i/>
                <w:iCs/>
                <w:color w:val="000000"/>
                <w:sz w:val="18"/>
                <w:szCs w:val="18"/>
              </w:rPr>
              <w:t>Wheat or meslin</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255,6</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376,4</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110,7</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72,7</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87,9</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105,2</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495,5</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92,0</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104,7</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135,9</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163,0</w:t>
            </w:r>
          </w:p>
        </w:tc>
      </w:tr>
      <w:tr w:rsidR="00F7244A" w:rsidRPr="0081539A" w:rsidTr="003C7C79">
        <w:trPr>
          <w:trHeight w:val="315"/>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1101</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rPr>
            </w:pPr>
            <w:r w:rsidRPr="0081539A">
              <w:rPr>
                <w:rFonts w:cs="Calibri"/>
                <w:i/>
                <w:iCs/>
                <w:color w:val="000000"/>
                <w:sz w:val="18"/>
                <w:szCs w:val="18"/>
              </w:rPr>
              <w:t>Wheat or meslin flour</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119,6</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88,3</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27,4</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18,2</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14,3</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28,5</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86,7</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18,8</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17,6</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20,8</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29,5</w:t>
            </w:r>
          </w:p>
        </w:tc>
      </w:tr>
      <w:tr w:rsidR="0081539A" w:rsidRPr="00D040FC" w:rsidTr="003C7C79">
        <w:trPr>
          <w:trHeight w:val="315"/>
        </w:trPr>
        <w:tc>
          <w:tcPr>
            <w:tcW w:w="767" w:type="dxa"/>
            <w:tcBorders>
              <w:top w:val="nil"/>
              <w:left w:val="single" w:sz="4" w:space="0" w:color="5B9BD5"/>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rPr>
            </w:pPr>
            <w:r w:rsidRPr="0081539A">
              <w:rPr>
                <w:rFonts w:cs="Calibri"/>
                <w:color w:val="000000"/>
                <w:sz w:val="18"/>
                <w:szCs w:val="18"/>
              </w:rPr>
              <w:t>III</w:t>
            </w:r>
          </w:p>
        </w:tc>
        <w:tc>
          <w:tcPr>
            <w:tcW w:w="4195"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CB3A9B">
            <w:pPr>
              <w:ind w:left="174"/>
              <w:rPr>
                <w:rFonts w:cs="Calibri"/>
                <w:color w:val="000000"/>
                <w:sz w:val="18"/>
                <w:szCs w:val="18"/>
                <w:lang w:val="en-US"/>
              </w:rPr>
            </w:pPr>
            <w:r w:rsidRPr="0081539A">
              <w:rPr>
                <w:rFonts w:cs="Calibri"/>
                <w:color w:val="000000"/>
                <w:sz w:val="18"/>
                <w:szCs w:val="18"/>
                <w:lang w:val="en-US"/>
              </w:rPr>
              <w:t>Animal or vegetable fats and oils</w:t>
            </w:r>
          </w:p>
        </w:tc>
        <w:tc>
          <w:tcPr>
            <w:tcW w:w="992"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lang w:val="en-US"/>
              </w:rPr>
            </w:pPr>
            <w:r w:rsidRPr="0081539A">
              <w:rPr>
                <w:rFonts w:cs="Calibri"/>
                <w:color w:val="000000"/>
                <w:sz w:val="18"/>
                <w:szCs w:val="18"/>
                <w:lang w:val="en-US"/>
              </w:rPr>
              <w:t> </w:t>
            </w:r>
          </w:p>
        </w:tc>
        <w:tc>
          <w:tcPr>
            <w:tcW w:w="992"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lang w:val="en-US"/>
              </w:rPr>
            </w:pPr>
            <w:r w:rsidRPr="0081539A">
              <w:rPr>
                <w:rFonts w:cs="Calibri"/>
                <w:color w:val="000000"/>
                <w:sz w:val="18"/>
                <w:szCs w:val="18"/>
                <w:lang w:val="en-US"/>
              </w:rPr>
              <w:t> </w:t>
            </w:r>
          </w:p>
        </w:tc>
        <w:tc>
          <w:tcPr>
            <w:tcW w:w="841"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lang w:val="en-US"/>
              </w:rPr>
            </w:pPr>
            <w:r w:rsidRPr="0081539A">
              <w:rPr>
                <w:rFonts w:cs="Calibri"/>
                <w:color w:val="000000"/>
                <w:sz w:val="18"/>
                <w:szCs w:val="18"/>
                <w:lang w:val="en-US"/>
              </w:rPr>
              <w:t> </w:t>
            </w:r>
          </w:p>
        </w:tc>
        <w:tc>
          <w:tcPr>
            <w:tcW w:w="851"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lang w:val="en-US"/>
              </w:rPr>
            </w:pPr>
            <w:r w:rsidRPr="0081539A">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lang w:val="en-US"/>
              </w:rPr>
            </w:pPr>
            <w:r w:rsidRPr="0081539A">
              <w:rPr>
                <w:rFonts w:cs="Calibri"/>
                <w:color w:val="000000"/>
                <w:sz w:val="18"/>
                <w:szCs w:val="18"/>
                <w:lang w:val="en-US"/>
              </w:rPr>
              <w:t> </w:t>
            </w:r>
          </w:p>
        </w:tc>
        <w:tc>
          <w:tcPr>
            <w:tcW w:w="851"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lang w:val="en-US"/>
              </w:rPr>
            </w:pPr>
            <w:r w:rsidRPr="0081539A">
              <w:rPr>
                <w:rFonts w:cs="Calibri"/>
                <w:color w:val="000000"/>
                <w:sz w:val="18"/>
                <w:szCs w:val="18"/>
                <w:lang w:val="en-US"/>
              </w:rPr>
              <w:t> </w:t>
            </w:r>
          </w:p>
        </w:tc>
        <w:tc>
          <w:tcPr>
            <w:tcW w:w="992"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lang w:val="en-US"/>
              </w:rPr>
            </w:pPr>
            <w:r w:rsidRPr="0081539A">
              <w:rPr>
                <w:rFonts w:cs="Calibri"/>
                <w:color w:val="000000"/>
                <w:sz w:val="18"/>
                <w:szCs w:val="18"/>
                <w:lang w:val="en-US"/>
              </w:rPr>
              <w:t> </w:t>
            </w:r>
          </w:p>
        </w:tc>
        <w:tc>
          <w:tcPr>
            <w:tcW w:w="1002"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lang w:val="en-US"/>
              </w:rPr>
            </w:pPr>
            <w:r w:rsidRPr="0081539A">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lang w:val="en-US"/>
              </w:rPr>
            </w:pPr>
            <w:r w:rsidRPr="0081539A">
              <w:rPr>
                <w:rFonts w:cs="Calibri"/>
                <w:color w:val="000000"/>
                <w:sz w:val="18"/>
                <w:szCs w:val="18"/>
                <w:lang w:val="en-US"/>
              </w:rPr>
              <w:t> </w:t>
            </w:r>
          </w:p>
        </w:tc>
        <w:tc>
          <w:tcPr>
            <w:tcW w:w="993"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lang w:val="en-US"/>
              </w:rPr>
            </w:pPr>
            <w:r w:rsidRPr="0081539A">
              <w:rPr>
                <w:rFonts w:cs="Calibri"/>
                <w:color w:val="000000"/>
                <w:sz w:val="18"/>
                <w:szCs w:val="18"/>
                <w:lang w:val="en-US"/>
              </w:rPr>
              <w:t> </w:t>
            </w:r>
          </w:p>
        </w:tc>
        <w:tc>
          <w:tcPr>
            <w:tcW w:w="992"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lang w:val="en-US"/>
              </w:rPr>
            </w:pPr>
            <w:r w:rsidRPr="0081539A">
              <w:rPr>
                <w:rFonts w:cs="Calibri"/>
                <w:color w:val="000000"/>
                <w:sz w:val="18"/>
                <w:szCs w:val="18"/>
                <w:lang w:val="en-US"/>
              </w:rPr>
              <w:t> </w:t>
            </w:r>
          </w:p>
        </w:tc>
      </w:tr>
      <w:tr w:rsidR="00F7244A" w:rsidRPr="0081539A" w:rsidTr="003C7C79">
        <w:trPr>
          <w:trHeight w:val="68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1512</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Sunflower oil, safflower or cottonseed and their fractions, unrefined or refined, but without changing their chemical composition:</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126,5</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170,2</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44,5</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41,5</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35,5</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48,7</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220,8</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41,4</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55,7</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47,4</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76,2</w:t>
            </w:r>
          </w:p>
        </w:tc>
      </w:tr>
      <w:tr w:rsidR="0081539A" w:rsidRPr="00D040FC" w:rsidTr="003C7C79">
        <w:trPr>
          <w:trHeight w:val="340"/>
        </w:trPr>
        <w:tc>
          <w:tcPr>
            <w:tcW w:w="767" w:type="dxa"/>
            <w:tcBorders>
              <w:top w:val="nil"/>
              <w:left w:val="single" w:sz="4" w:space="0" w:color="5B9BD5"/>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rPr>
            </w:pPr>
            <w:r w:rsidRPr="0081539A">
              <w:rPr>
                <w:rFonts w:cs="Calibri"/>
                <w:color w:val="000000"/>
                <w:sz w:val="18"/>
                <w:szCs w:val="18"/>
              </w:rPr>
              <w:t>IV</w:t>
            </w:r>
          </w:p>
        </w:tc>
        <w:tc>
          <w:tcPr>
            <w:tcW w:w="4195"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CB3A9B">
            <w:pPr>
              <w:ind w:left="174"/>
              <w:rPr>
                <w:rFonts w:cs="Calibri"/>
                <w:color w:val="000000"/>
                <w:sz w:val="18"/>
                <w:szCs w:val="18"/>
                <w:lang w:val="en-US"/>
              </w:rPr>
            </w:pPr>
            <w:r w:rsidRPr="0081539A">
              <w:rPr>
                <w:rFonts w:cs="Calibri"/>
                <w:color w:val="000000"/>
                <w:sz w:val="18"/>
                <w:szCs w:val="18"/>
                <w:lang w:val="en-US"/>
              </w:rPr>
              <w:t>Products of food processing industry, alcohol,  tobacco</w:t>
            </w:r>
          </w:p>
        </w:tc>
        <w:tc>
          <w:tcPr>
            <w:tcW w:w="992"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lang w:val="en-US"/>
              </w:rPr>
            </w:pPr>
            <w:r w:rsidRPr="0081539A">
              <w:rPr>
                <w:rFonts w:cs="Calibri"/>
                <w:color w:val="000000"/>
                <w:sz w:val="18"/>
                <w:szCs w:val="18"/>
                <w:lang w:val="en-US"/>
              </w:rPr>
              <w:t> </w:t>
            </w:r>
          </w:p>
        </w:tc>
        <w:tc>
          <w:tcPr>
            <w:tcW w:w="992"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lang w:val="en-US"/>
              </w:rPr>
            </w:pPr>
            <w:r w:rsidRPr="0081539A">
              <w:rPr>
                <w:rFonts w:cs="Calibri"/>
                <w:color w:val="000000"/>
                <w:sz w:val="18"/>
                <w:szCs w:val="18"/>
                <w:lang w:val="en-US"/>
              </w:rPr>
              <w:t> </w:t>
            </w:r>
          </w:p>
        </w:tc>
        <w:tc>
          <w:tcPr>
            <w:tcW w:w="841"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lang w:val="en-US"/>
              </w:rPr>
            </w:pPr>
            <w:r w:rsidRPr="0081539A">
              <w:rPr>
                <w:rFonts w:cs="Calibri"/>
                <w:color w:val="000000"/>
                <w:sz w:val="18"/>
                <w:szCs w:val="18"/>
                <w:lang w:val="en-US"/>
              </w:rPr>
              <w:t> </w:t>
            </w:r>
          </w:p>
        </w:tc>
        <w:tc>
          <w:tcPr>
            <w:tcW w:w="851"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lang w:val="en-US"/>
              </w:rPr>
            </w:pPr>
            <w:r w:rsidRPr="0081539A">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lang w:val="en-US"/>
              </w:rPr>
            </w:pPr>
            <w:r w:rsidRPr="0081539A">
              <w:rPr>
                <w:rFonts w:cs="Calibri"/>
                <w:color w:val="000000"/>
                <w:sz w:val="18"/>
                <w:szCs w:val="18"/>
                <w:lang w:val="en-US"/>
              </w:rPr>
              <w:t> </w:t>
            </w:r>
          </w:p>
        </w:tc>
        <w:tc>
          <w:tcPr>
            <w:tcW w:w="851"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lang w:val="en-US"/>
              </w:rPr>
            </w:pPr>
            <w:r w:rsidRPr="0081539A">
              <w:rPr>
                <w:rFonts w:cs="Calibri"/>
                <w:color w:val="000000"/>
                <w:sz w:val="18"/>
                <w:szCs w:val="18"/>
                <w:lang w:val="en-US"/>
              </w:rPr>
              <w:t> </w:t>
            </w:r>
          </w:p>
        </w:tc>
        <w:tc>
          <w:tcPr>
            <w:tcW w:w="992"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lang w:val="en-US"/>
              </w:rPr>
            </w:pPr>
            <w:r w:rsidRPr="0081539A">
              <w:rPr>
                <w:rFonts w:cs="Calibri"/>
                <w:color w:val="000000"/>
                <w:sz w:val="18"/>
                <w:szCs w:val="18"/>
                <w:lang w:val="en-US"/>
              </w:rPr>
              <w:t> </w:t>
            </w:r>
          </w:p>
        </w:tc>
        <w:tc>
          <w:tcPr>
            <w:tcW w:w="1002"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lang w:val="en-US"/>
              </w:rPr>
            </w:pPr>
            <w:r w:rsidRPr="0081539A">
              <w:rPr>
                <w:rFonts w:cs="Calibri"/>
                <w:color w:val="000000"/>
                <w:sz w:val="18"/>
                <w:szCs w:val="18"/>
                <w:lang w:val="en-US"/>
              </w:rPr>
              <w:t> </w:t>
            </w:r>
          </w:p>
        </w:tc>
        <w:tc>
          <w:tcPr>
            <w:tcW w:w="850"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lang w:val="en-US"/>
              </w:rPr>
            </w:pPr>
            <w:r w:rsidRPr="0081539A">
              <w:rPr>
                <w:rFonts w:cs="Calibri"/>
                <w:color w:val="000000"/>
                <w:sz w:val="18"/>
                <w:szCs w:val="18"/>
                <w:lang w:val="en-US"/>
              </w:rPr>
              <w:t> </w:t>
            </w:r>
          </w:p>
        </w:tc>
        <w:tc>
          <w:tcPr>
            <w:tcW w:w="993"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lang w:val="en-US"/>
              </w:rPr>
            </w:pPr>
            <w:r w:rsidRPr="0081539A">
              <w:rPr>
                <w:rFonts w:cs="Calibri"/>
                <w:color w:val="000000"/>
                <w:sz w:val="18"/>
                <w:szCs w:val="18"/>
                <w:lang w:val="en-US"/>
              </w:rPr>
              <w:t> </w:t>
            </w:r>
          </w:p>
        </w:tc>
        <w:tc>
          <w:tcPr>
            <w:tcW w:w="992" w:type="dxa"/>
            <w:tcBorders>
              <w:top w:val="nil"/>
              <w:left w:val="nil"/>
              <w:bottom w:val="single" w:sz="4" w:space="0" w:color="5B9BD5"/>
              <w:right w:val="single" w:sz="4" w:space="0" w:color="5B9BD5"/>
            </w:tcBorders>
            <w:shd w:val="clear" w:color="000000" w:fill="BDD7EE"/>
            <w:noWrap/>
            <w:vAlign w:val="center"/>
            <w:hideMark/>
          </w:tcPr>
          <w:p w:rsidR="0081539A" w:rsidRPr="0081539A" w:rsidRDefault="0081539A" w:rsidP="0081539A">
            <w:pPr>
              <w:jc w:val="center"/>
              <w:rPr>
                <w:rFonts w:cs="Calibri"/>
                <w:color w:val="000000"/>
                <w:sz w:val="18"/>
                <w:szCs w:val="18"/>
                <w:lang w:val="en-US"/>
              </w:rPr>
            </w:pPr>
            <w:r w:rsidRPr="0081539A">
              <w:rPr>
                <w:rFonts w:cs="Calibri"/>
                <w:color w:val="000000"/>
                <w:sz w:val="18"/>
                <w:szCs w:val="18"/>
                <w:lang w:val="en-US"/>
              </w:rPr>
              <w:t> </w:t>
            </w:r>
          </w:p>
        </w:tc>
      </w:tr>
      <w:tr w:rsidR="00F7244A" w:rsidRPr="0081539A" w:rsidTr="003C7C79">
        <w:trPr>
          <w:trHeight w:val="315"/>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1701</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Cane or beet sugar and chemically pure sucrose, in solid form</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342,6</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282,7</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65,1</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62,9</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72,8</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81,9</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230,3</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48,6</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61,9</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54,2</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65,6</w:t>
            </w:r>
          </w:p>
        </w:tc>
      </w:tr>
      <w:tr w:rsidR="00F7244A" w:rsidRPr="0081539A" w:rsidTr="003C7C79">
        <w:trPr>
          <w:trHeight w:val="63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sz w:val="18"/>
                <w:szCs w:val="18"/>
              </w:rPr>
            </w:pPr>
            <w:r w:rsidRPr="0081539A">
              <w:rPr>
                <w:rFonts w:cs="Calibri"/>
                <w:i/>
                <w:iCs/>
                <w:sz w:val="18"/>
                <w:szCs w:val="18"/>
              </w:rPr>
              <w:t>2304</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sz w:val="18"/>
                <w:szCs w:val="18"/>
                <w:lang w:val="en-US"/>
              </w:rPr>
            </w:pPr>
            <w:r w:rsidRPr="0081539A">
              <w:rPr>
                <w:rFonts w:cs="Calibri"/>
                <w:i/>
                <w:iCs/>
                <w:sz w:val="18"/>
                <w:szCs w:val="18"/>
                <w:lang w:val="en-US"/>
              </w:rPr>
              <w:t>Oilcakes and other solid wastes obtained by extraction of soybean oil, unrefined or ground, not granulated or granulated.</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98,5</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94,6</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26,4</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23,4</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26,0</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18,8</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106,4</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28,1</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18,9</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33,5</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25,9</w:t>
            </w:r>
          </w:p>
        </w:tc>
      </w:tr>
      <w:tr w:rsidR="00F7244A" w:rsidRPr="0081539A" w:rsidTr="003C7C79">
        <w:trPr>
          <w:trHeight w:val="340"/>
        </w:trPr>
        <w:tc>
          <w:tcPr>
            <w:tcW w:w="767" w:type="dxa"/>
            <w:tcBorders>
              <w:top w:val="nil"/>
              <w:left w:val="single" w:sz="4" w:space="0" w:color="5B9BD5"/>
              <w:bottom w:val="single" w:sz="4" w:space="0" w:color="5B9BD5"/>
              <w:right w:val="single" w:sz="4" w:space="0" w:color="5B9BD5"/>
            </w:tcBorders>
            <w:shd w:val="clear" w:color="000000" w:fill="BDD7EE"/>
            <w:noWrap/>
            <w:vAlign w:val="center"/>
            <w:hideMark/>
          </w:tcPr>
          <w:p w:rsidR="00F7244A" w:rsidRPr="0081539A" w:rsidRDefault="00F7244A" w:rsidP="00F7244A">
            <w:pPr>
              <w:jc w:val="center"/>
              <w:rPr>
                <w:rFonts w:cs="Calibri"/>
                <w:color w:val="000000"/>
                <w:sz w:val="18"/>
                <w:szCs w:val="18"/>
              </w:rPr>
            </w:pPr>
            <w:r w:rsidRPr="0081539A">
              <w:rPr>
                <w:rFonts w:cs="Calibri"/>
                <w:color w:val="000000"/>
                <w:sz w:val="18"/>
                <w:szCs w:val="18"/>
              </w:rPr>
              <w:t>V</w:t>
            </w:r>
          </w:p>
        </w:tc>
        <w:tc>
          <w:tcPr>
            <w:tcW w:w="4195" w:type="dxa"/>
            <w:tcBorders>
              <w:top w:val="nil"/>
              <w:left w:val="nil"/>
              <w:bottom w:val="single" w:sz="4" w:space="0" w:color="5B9BD5"/>
              <w:right w:val="single" w:sz="4" w:space="0" w:color="5B9BD5"/>
            </w:tcBorders>
            <w:shd w:val="clear" w:color="000000" w:fill="BDD7EE"/>
            <w:noWrap/>
            <w:vAlign w:val="center"/>
            <w:hideMark/>
          </w:tcPr>
          <w:p w:rsidR="00F7244A" w:rsidRPr="0081539A" w:rsidRDefault="00F7244A" w:rsidP="00CB3A9B">
            <w:pPr>
              <w:ind w:left="174"/>
              <w:rPr>
                <w:rFonts w:cs="Calibri"/>
                <w:color w:val="000000"/>
                <w:sz w:val="18"/>
                <w:szCs w:val="18"/>
              </w:rPr>
            </w:pPr>
            <w:r w:rsidRPr="0081539A">
              <w:rPr>
                <w:rFonts w:cs="Calibri"/>
                <w:color w:val="000000"/>
                <w:sz w:val="18"/>
                <w:szCs w:val="18"/>
              </w:rPr>
              <w:t>Mineral products</w:t>
            </w: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841"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851"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850"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851"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1002"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850"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993"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r>
      <w:tr w:rsidR="00F7244A" w:rsidRPr="0081539A" w:rsidTr="003C7C79">
        <w:trPr>
          <w:trHeight w:val="68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2523</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sz w:val="18"/>
                <w:szCs w:val="18"/>
                <w:lang w:val="en-US"/>
              </w:rPr>
            </w:pPr>
            <w:r w:rsidRPr="0081539A">
              <w:rPr>
                <w:rFonts w:cs="Calibri"/>
                <w:i/>
                <w:iCs/>
                <w:sz w:val="18"/>
                <w:szCs w:val="18"/>
                <w:lang w:val="en-US"/>
              </w:rPr>
              <w:t>Portland cement, aluminous cement, slag cement, supersulphate cement and similar hydraulic cements, whether or not coloured or in the form of clinkers</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175,2</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159,6</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31,8</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58,0</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46,5</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23,3</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129,5</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18,0</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21,2</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49,8</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40,4</w:t>
            </w:r>
          </w:p>
        </w:tc>
      </w:tr>
      <w:tr w:rsidR="00F7244A" w:rsidRPr="0081539A" w:rsidTr="003C7C79">
        <w:trPr>
          <w:trHeight w:val="315"/>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2709</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Petroleum oils and oils obtained from bituminous minerals; crude</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227,6</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99,8</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17,8</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24,1</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15,0</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42,9</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202,3</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50,4</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45,5</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62,6</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43,8</w:t>
            </w:r>
          </w:p>
        </w:tc>
      </w:tr>
      <w:tr w:rsidR="00F7244A" w:rsidRPr="0081539A" w:rsidTr="003C7C79">
        <w:trPr>
          <w:trHeight w:val="68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2710</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Petroleum oils and oils from bituminous minerals, not crude; products  not included in anywhere else or containing 70%  of weight or more of oil</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481,0</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602,1</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153,1</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125,5</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120,5</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203,0</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565,7</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149,9</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191,7</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117,2</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106,9</w:t>
            </w:r>
          </w:p>
        </w:tc>
      </w:tr>
      <w:tr w:rsidR="00F7244A" w:rsidRPr="0081539A" w:rsidTr="003C7C79">
        <w:trPr>
          <w:trHeight w:val="340"/>
        </w:trPr>
        <w:tc>
          <w:tcPr>
            <w:tcW w:w="767" w:type="dxa"/>
            <w:tcBorders>
              <w:top w:val="nil"/>
              <w:left w:val="single" w:sz="4" w:space="0" w:color="5B9BD5"/>
              <w:bottom w:val="single" w:sz="4" w:space="0" w:color="5B9BD5"/>
              <w:right w:val="single" w:sz="4" w:space="0" w:color="5B9BD5"/>
            </w:tcBorders>
            <w:shd w:val="clear" w:color="000000" w:fill="BDD7EE"/>
            <w:noWrap/>
            <w:vAlign w:val="center"/>
            <w:hideMark/>
          </w:tcPr>
          <w:p w:rsidR="00F7244A" w:rsidRPr="0081539A" w:rsidRDefault="00F7244A" w:rsidP="00F7244A">
            <w:pPr>
              <w:jc w:val="center"/>
              <w:rPr>
                <w:rFonts w:cs="Calibri"/>
                <w:color w:val="000000"/>
                <w:sz w:val="18"/>
                <w:szCs w:val="18"/>
              </w:rPr>
            </w:pPr>
            <w:r w:rsidRPr="0081539A">
              <w:rPr>
                <w:rFonts w:cs="Calibri"/>
                <w:color w:val="000000"/>
                <w:sz w:val="18"/>
                <w:szCs w:val="18"/>
              </w:rPr>
              <w:t>VI</w:t>
            </w:r>
          </w:p>
        </w:tc>
        <w:tc>
          <w:tcPr>
            <w:tcW w:w="4195" w:type="dxa"/>
            <w:tcBorders>
              <w:top w:val="nil"/>
              <w:left w:val="nil"/>
              <w:bottom w:val="single" w:sz="4" w:space="0" w:color="5B9BD5"/>
              <w:right w:val="single" w:sz="4" w:space="0" w:color="5B9BD5"/>
            </w:tcBorders>
            <w:shd w:val="clear" w:color="000000" w:fill="BDD7EE"/>
            <w:noWrap/>
            <w:vAlign w:val="center"/>
            <w:hideMark/>
          </w:tcPr>
          <w:p w:rsidR="00F7244A" w:rsidRPr="0081539A" w:rsidRDefault="00F7244A" w:rsidP="00CB3A9B">
            <w:pPr>
              <w:ind w:left="174"/>
              <w:rPr>
                <w:rFonts w:cs="Calibri"/>
                <w:color w:val="000000"/>
                <w:sz w:val="18"/>
                <w:szCs w:val="18"/>
              </w:rPr>
            </w:pPr>
            <w:r w:rsidRPr="0081539A">
              <w:rPr>
                <w:rFonts w:cs="Calibri"/>
                <w:color w:val="000000"/>
                <w:sz w:val="18"/>
                <w:szCs w:val="18"/>
              </w:rPr>
              <w:t>Products of chemical industry</w:t>
            </w: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841"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851"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850"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851"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1002"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850"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993"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r>
      <w:tr w:rsidR="00F7244A" w:rsidRPr="0081539A" w:rsidTr="003C7C79">
        <w:trPr>
          <w:trHeight w:val="102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lastRenderedPageBreak/>
              <w:t>3002</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sz w:val="18"/>
                <w:szCs w:val="18"/>
                <w:lang w:val="en-US"/>
              </w:rPr>
            </w:pPr>
            <w:r w:rsidRPr="0081539A">
              <w:rPr>
                <w:rFonts w:cs="Calibri"/>
                <w:i/>
                <w:iCs/>
                <w:sz w:val="18"/>
                <w:szCs w:val="18"/>
                <w:lang w:val="en-US"/>
              </w:rPr>
              <w:t>Blood, human or animal; for therapeutic, prophylactic or diagnostic uses; antisera, other blood fractions, modified immunological products, (from biotechnological processes or not); vaccines, toxins, micro-organism cultures (not yeasts), similar products</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68,9</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112,4</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21,0</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19,8</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18,5</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53,1</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91,7</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15,2</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23,2</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25,4</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28,0</w:t>
            </w:r>
          </w:p>
        </w:tc>
      </w:tr>
      <w:tr w:rsidR="00F7244A" w:rsidRPr="0081539A" w:rsidTr="003C7C79">
        <w:trPr>
          <w:trHeight w:val="1077"/>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3004</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 xml:space="preserve">Medicaments; (not goods of heading no. 3002, 3005 or 3006) consisting of mixed or unmixed products for therapeutic or prophylactic use, put up in measured doses (incl. those in the form of transdermal admin. systems) or packed for retail sale </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763,6</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890,9</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191,5</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270,4</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193,9</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235,1</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1 115,8</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211,9</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191,9</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321,5</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390,5</w:t>
            </w:r>
          </w:p>
        </w:tc>
      </w:tr>
      <w:tr w:rsidR="00F7244A" w:rsidRPr="0081539A" w:rsidTr="003C7C79">
        <w:trPr>
          <w:trHeight w:val="964"/>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3808</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Insecticides, rodenticides, fungicides, herbicides, anti-emergence and plant growth regulators, disinfectants and the like, packaged in forms or packaging for retail sale or presented in the form of finished preparations sludge</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43,9</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72,4</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15,7</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31,0</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19,4</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6,3</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78,8</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14,3</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39,2</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15,7</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9,6</w:t>
            </w:r>
          </w:p>
        </w:tc>
      </w:tr>
      <w:tr w:rsidR="00F7244A" w:rsidRPr="0081539A" w:rsidTr="003C7C79">
        <w:trPr>
          <w:trHeight w:val="454"/>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3815</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sz w:val="18"/>
                <w:szCs w:val="18"/>
                <w:lang w:val="en-US"/>
              </w:rPr>
            </w:pPr>
            <w:r w:rsidRPr="0081539A">
              <w:rPr>
                <w:rFonts w:cs="Calibri"/>
                <w:i/>
                <w:iCs/>
                <w:sz w:val="18"/>
                <w:szCs w:val="18"/>
                <w:lang w:val="en-US"/>
              </w:rPr>
              <w:t>Reaction initiators, reaction accelerators and catalysts, not elsewhere specified:</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27,4</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80,5</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5,6</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9,7</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15,5</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49,6</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123,7</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51,4</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49,7</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7,1</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15,5</w:t>
            </w:r>
          </w:p>
        </w:tc>
      </w:tr>
      <w:tr w:rsidR="00F7244A" w:rsidRPr="00D040FC" w:rsidTr="003C7C79">
        <w:trPr>
          <w:trHeight w:val="315"/>
        </w:trPr>
        <w:tc>
          <w:tcPr>
            <w:tcW w:w="767" w:type="dxa"/>
            <w:tcBorders>
              <w:top w:val="nil"/>
              <w:left w:val="single" w:sz="4" w:space="0" w:color="5B9BD5"/>
              <w:bottom w:val="single" w:sz="4" w:space="0" w:color="5B9BD5"/>
              <w:right w:val="single" w:sz="4" w:space="0" w:color="5B9BD5"/>
            </w:tcBorders>
            <w:shd w:val="clear" w:color="000000" w:fill="BDD7EE"/>
            <w:noWrap/>
            <w:vAlign w:val="center"/>
            <w:hideMark/>
          </w:tcPr>
          <w:p w:rsidR="00F7244A" w:rsidRPr="0081539A" w:rsidRDefault="00F7244A" w:rsidP="00F7244A">
            <w:pPr>
              <w:jc w:val="center"/>
              <w:rPr>
                <w:rFonts w:cs="Calibri"/>
                <w:color w:val="000000"/>
                <w:sz w:val="18"/>
                <w:szCs w:val="18"/>
              </w:rPr>
            </w:pPr>
            <w:r w:rsidRPr="0081539A">
              <w:rPr>
                <w:rFonts w:cs="Calibri"/>
                <w:color w:val="000000"/>
                <w:sz w:val="18"/>
                <w:szCs w:val="18"/>
              </w:rPr>
              <w:t>VII</w:t>
            </w:r>
          </w:p>
        </w:tc>
        <w:tc>
          <w:tcPr>
            <w:tcW w:w="4195" w:type="dxa"/>
            <w:tcBorders>
              <w:top w:val="nil"/>
              <w:left w:val="nil"/>
              <w:bottom w:val="single" w:sz="4" w:space="0" w:color="5B9BD5"/>
              <w:right w:val="single" w:sz="4" w:space="0" w:color="5B9BD5"/>
            </w:tcBorders>
            <w:shd w:val="clear" w:color="000000" w:fill="BDD7EE"/>
            <w:noWrap/>
            <w:vAlign w:val="center"/>
            <w:hideMark/>
          </w:tcPr>
          <w:p w:rsidR="00F7244A" w:rsidRPr="0081539A" w:rsidRDefault="00F7244A" w:rsidP="00F7244A">
            <w:pPr>
              <w:ind w:firstLineChars="100" w:firstLine="180"/>
              <w:rPr>
                <w:rFonts w:cs="Calibri"/>
                <w:color w:val="000000"/>
                <w:sz w:val="18"/>
                <w:szCs w:val="18"/>
                <w:lang w:val="en-US"/>
              </w:rPr>
            </w:pPr>
            <w:r w:rsidRPr="0081539A">
              <w:rPr>
                <w:rFonts w:cs="Calibri"/>
                <w:color w:val="000000"/>
                <w:sz w:val="18"/>
                <w:szCs w:val="18"/>
                <w:lang w:val="en-US"/>
              </w:rPr>
              <w:t>Plastic materials and products: rubber</w:t>
            </w: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41"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1"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0"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1"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100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0"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3"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r>
      <w:tr w:rsidR="00F7244A" w:rsidRPr="0081539A" w:rsidTr="003C7C79">
        <w:trPr>
          <w:trHeight w:val="315"/>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3902</w:t>
            </w:r>
          </w:p>
        </w:tc>
        <w:tc>
          <w:tcPr>
            <w:tcW w:w="4195" w:type="dxa"/>
            <w:tcBorders>
              <w:top w:val="nil"/>
              <w:left w:val="nil"/>
              <w:bottom w:val="single" w:sz="4" w:space="0" w:color="5B9BD5"/>
              <w:right w:val="single" w:sz="4" w:space="0" w:color="5B9BD5"/>
            </w:tcBorders>
            <w:shd w:val="clear" w:color="auto" w:fill="auto"/>
            <w:noWrap/>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Polymers of propylene or of other olefins, in primary forms</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60,2</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72,8</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19,9</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17,8</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14,7</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20,5</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74,9</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33,3</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14,7</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10,0</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16,9</w:t>
            </w:r>
          </w:p>
        </w:tc>
      </w:tr>
      <w:tr w:rsidR="00F7244A" w:rsidRPr="0081539A" w:rsidTr="003C7C79">
        <w:trPr>
          <w:trHeight w:val="397"/>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3904</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Polymers of vinyl chloride or of other halogenated olefins, in primary forms</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71,5</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91,0</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20,9</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17,9</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26,6</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25,6</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65,6</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17,4</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15,3</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17,7</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15,3</w:t>
            </w:r>
          </w:p>
        </w:tc>
      </w:tr>
      <w:tr w:rsidR="00F7244A" w:rsidRPr="0081539A" w:rsidTr="003C7C79">
        <w:trPr>
          <w:trHeight w:val="68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3907</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Polyacetals, other polyethers and epoxy resins in primary forms; polycarbonates, alkyd resins, polyallyl esters and other polyesters in primary forms:</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109,5</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136,0</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22,9</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33,6</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44,5</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34,9</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115,3</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22,1</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35,7</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30,8</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26,8</w:t>
            </w:r>
          </w:p>
        </w:tc>
      </w:tr>
      <w:tr w:rsidR="00F7244A" w:rsidRPr="0081539A" w:rsidTr="003C7C79">
        <w:trPr>
          <w:trHeight w:val="794"/>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3920</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sz w:val="18"/>
                <w:szCs w:val="18"/>
                <w:lang w:val="en-US"/>
              </w:rPr>
            </w:pPr>
            <w:r w:rsidRPr="0081539A">
              <w:rPr>
                <w:rFonts w:cs="Calibri"/>
                <w:i/>
                <w:iCs/>
                <w:sz w:val="18"/>
                <w:szCs w:val="18"/>
                <w:lang w:val="en-US"/>
              </w:rPr>
              <w:t>Plastics; plates, sheets, film, foil and strip (not self-adhesive); non-cellular and not reinforced, laminated, supported or similarly combined with other materials, n.e.c. in chapter 39</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55,7</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60,3</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12,2</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14,5</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16,6</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17,0</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67,5</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13,3</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16,0</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20,1</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18,1</w:t>
            </w:r>
          </w:p>
        </w:tc>
      </w:tr>
      <w:tr w:rsidR="00F7244A" w:rsidRPr="0081539A" w:rsidTr="003C7C79">
        <w:trPr>
          <w:trHeight w:val="315"/>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4011</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New pneumatic tyres, of rubber</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177,3</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200,0</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48,0</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51,0</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54,1</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46,9</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201,6</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33,1</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54,7</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62,1</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51,7</w:t>
            </w:r>
          </w:p>
        </w:tc>
      </w:tr>
      <w:tr w:rsidR="00F7244A" w:rsidRPr="00D040FC" w:rsidTr="003C7C79">
        <w:trPr>
          <w:trHeight w:val="315"/>
        </w:trPr>
        <w:tc>
          <w:tcPr>
            <w:tcW w:w="767" w:type="dxa"/>
            <w:tcBorders>
              <w:top w:val="nil"/>
              <w:left w:val="single" w:sz="4" w:space="0" w:color="5B9BD5"/>
              <w:bottom w:val="single" w:sz="4" w:space="0" w:color="5B9BD5"/>
              <w:right w:val="single" w:sz="4" w:space="0" w:color="5B9BD5"/>
            </w:tcBorders>
            <w:shd w:val="clear" w:color="000000" w:fill="BDD7EE"/>
            <w:noWrap/>
            <w:vAlign w:val="center"/>
            <w:hideMark/>
          </w:tcPr>
          <w:p w:rsidR="00F7244A" w:rsidRPr="0081539A" w:rsidRDefault="00F7244A" w:rsidP="00F7244A">
            <w:pPr>
              <w:jc w:val="center"/>
              <w:rPr>
                <w:rFonts w:cs="Calibri"/>
                <w:color w:val="000000"/>
                <w:sz w:val="18"/>
                <w:szCs w:val="18"/>
              </w:rPr>
            </w:pPr>
            <w:r w:rsidRPr="0081539A">
              <w:rPr>
                <w:rFonts w:cs="Calibri"/>
                <w:color w:val="000000"/>
                <w:sz w:val="18"/>
                <w:szCs w:val="18"/>
              </w:rPr>
              <w:t>IX</w:t>
            </w:r>
          </w:p>
        </w:tc>
        <w:tc>
          <w:tcPr>
            <w:tcW w:w="4195" w:type="dxa"/>
            <w:tcBorders>
              <w:top w:val="nil"/>
              <w:left w:val="nil"/>
              <w:bottom w:val="single" w:sz="4" w:space="0" w:color="5B9BD5"/>
              <w:right w:val="single" w:sz="4" w:space="0" w:color="5B9BD5"/>
            </w:tcBorders>
            <w:shd w:val="clear" w:color="000000" w:fill="BDD7EE"/>
            <w:noWrap/>
            <w:vAlign w:val="center"/>
            <w:hideMark/>
          </w:tcPr>
          <w:p w:rsidR="00F7244A" w:rsidRPr="0081539A" w:rsidRDefault="00F7244A" w:rsidP="00CB3A9B">
            <w:pPr>
              <w:ind w:left="174"/>
              <w:rPr>
                <w:rFonts w:cs="Calibri"/>
                <w:color w:val="000000"/>
                <w:sz w:val="18"/>
                <w:szCs w:val="18"/>
                <w:lang w:val="en-US"/>
              </w:rPr>
            </w:pPr>
            <w:r w:rsidRPr="0081539A">
              <w:rPr>
                <w:rFonts w:cs="Calibri"/>
                <w:color w:val="000000"/>
                <w:sz w:val="18"/>
                <w:szCs w:val="18"/>
                <w:lang w:val="en-US"/>
              </w:rPr>
              <w:t>Wood and articles of wood</w:t>
            </w: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41"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1"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0"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1"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100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0"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3"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r>
      <w:tr w:rsidR="00F7244A" w:rsidRPr="0081539A" w:rsidTr="003C7C79">
        <w:trPr>
          <w:trHeight w:val="63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4407</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Wood sawn or chipped lengthwise, sliced or peeled, whether or not planed, sanded or endjointed, of a thickness exceeding 6 mm.</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356,3</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320,9</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73,0</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81,0</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99,4</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67,5</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318,9</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71,6</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56,2</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108,4</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82,6</w:t>
            </w:r>
          </w:p>
        </w:tc>
      </w:tr>
      <w:tr w:rsidR="00F7244A" w:rsidRPr="0081539A" w:rsidTr="003C7C79">
        <w:trPr>
          <w:trHeight w:val="63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4411</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Fibre board of wood or other ligneous materials, whether or not bonded with resins or other organic substances</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113,0</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128,4</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34,0</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28,1</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38,6</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27,7</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94,7</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21,3</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14,6</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29,6</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29,1</w:t>
            </w:r>
          </w:p>
        </w:tc>
      </w:tr>
      <w:tr w:rsidR="00F7244A" w:rsidRPr="00D040FC" w:rsidTr="003C7C79">
        <w:trPr>
          <w:trHeight w:val="315"/>
        </w:trPr>
        <w:tc>
          <w:tcPr>
            <w:tcW w:w="767" w:type="dxa"/>
            <w:tcBorders>
              <w:top w:val="nil"/>
              <w:left w:val="single" w:sz="4" w:space="0" w:color="5B9BD5"/>
              <w:bottom w:val="single" w:sz="4" w:space="0" w:color="5B9BD5"/>
              <w:right w:val="single" w:sz="4" w:space="0" w:color="5B9BD5"/>
            </w:tcBorders>
            <w:shd w:val="clear" w:color="000000" w:fill="BDD7EE"/>
            <w:noWrap/>
            <w:vAlign w:val="center"/>
            <w:hideMark/>
          </w:tcPr>
          <w:p w:rsidR="00F7244A" w:rsidRPr="0081539A" w:rsidRDefault="00F7244A" w:rsidP="00F7244A">
            <w:pPr>
              <w:jc w:val="center"/>
              <w:rPr>
                <w:rFonts w:cs="Calibri"/>
                <w:color w:val="000000"/>
                <w:sz w:val="18"/>
                <w:szCs w:val="18"/>
              </w:rPr>
            </w:pPr>
            <w:r w:rsidRPr="0081539A">
              <w:rPr>
                <w:rFonts w:cs="Calibri"/>
                <w:color w:val="000000"/>
                <w:sz w:val="18"/>
                <w:szCs w:val="18"/>
              </w:rPr>
              <w:t>XV</w:t>
            </w:r>
          </w:p>
        </w:tc>
        <w:tc>
          <w:tcPr>
            <w:tcW w:w="4195" w:type="dxa"/>
            <w:tcBorders>
              <w:top w:val="nil"/>
              <w:left w:val="nil"/>
              <w:bottom w:val="single" w:sz="4" w:space="0" w:color="5B9BD5"/>
              <w:right w:val="single" w:sz="4" w:space="0" w:color="5B9BD5"/>
            </w:tcBorders>
            <w:shd w:val="clear" w:color="000000" w:fill="BDD7EE"/>
            <w:noWrap/>
            <w:vAlign w:val="center"/>
            <w:hideMark/>
          </w:tcPr>
          <w:p w:rsidR="00F7244A" w:rsidRPr="0081539A" w:rsidRDefault="00F7244A" w:rsidP="00CB3A9B">
            <w:pPr>
              <w:ind w:left="174"/>
              <w:rPr>
                <w:rFonts w:cs="Calibri"/>
                <w:color w:val="000000"/>
                <w:sz w:val="18"/>
                <w:szCs w:val="18"/>
                <w:lang w:val="en-US"/>
              </w:rPr>
            </w:pPr>
            <w:r w:rsidRPr="0081539A">
              <w:rPr>
                <w:rFonts w:cs="Calibri"/>
                <w:color w:val="000000"/>
                <w:sz w:val="18"/>
                <w:szCs w:val="18"/>
                <w:lang w:val="en-US"/>
              </w:rPr>
              <w:t>Base metals and products of them</w:t>
            </w: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41"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1"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0"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1"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100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0"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3"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r>
      <w:tr w:rsidR="00F7244A" w:rsidRPr="0081539A" w:rsidTr="003C7C79">
        <w:trPr>
          <w:trHeight w:val="315"/>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7207</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Iron or non-alloy steel semi-finished products</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229,4</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212,6</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60,5</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66,6</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50,6</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34,8</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144,1</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35,8</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37,5</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30,6</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40,2</w:t>
            </w:r>
          </w:p>
        </w:tc>
      </w:tr>
      <w:tr w:rsidR="00F7244A" w:rsidRPr="0081539A" w:rsidTr="003C7C79">
        <w:trPr>
          <w:trHeight w:val="737"/>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lastRenderedPageBreak/>
              <w:t>7208</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Flat-rolled products of iron or non-alloyed steel, 600 mm wide or more, hot rolled, non-lacquered, without electroplating or other coating</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199,0</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249,2</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73,4</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53,9</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68,9</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53,0</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223,6</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65,6</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38,8</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52,2</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67,0</w:t>
            </w:r>
          </w:p>
        </w:tc>
      </w:tr>
      <w:tr w:rsidR="00F7244A" w:rsidRPr="0081539A" w:rsidTr="003C7C79">
        <w:trPr>
          <w:trHeight w:val="737"/>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7209</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Flat-rolled products of iron or non-alloyed steel, 600 mm wide or more, cold-rolled (cold-compressed), non-lacquered, without electroplating or other coating:</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116,2</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162,5</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29,8</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33,2</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49,5</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50,0</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143,2</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34,2</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40,1</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35,5</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33,4</w:t>
            </w:r>
          </w:p>
        </w:tc>
      </w:tr>
      <w:tr w:rsidR="00F7244A" w:rsidRPr="0081539A" w:rsidTr="003C7C79">
        <w:trPr>
          <w:trHeight w:val="51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7210</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Flat-rolled products of iron or non-alloyed steel, 600 mm wide or more, clad, plated or coated</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364,1</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390,3</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90,0</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92,9</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97,1</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110,3</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376,5</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84,5</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92,5</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97,9</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101,7</w:t>
            </w:r>
          </w:p>
        </w:tc>
      </w:tr>
      <w:tr w:rsidR="00F7244A" w:rsidRPr="0081539A" w:rsidTr="003C7C79">
        <w:trPr>
          <w:trHeight w:val="454"/>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7304</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Pipes, tubes and hollow profiles, seamless, of ferrous metals (except for cast iron)</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331,9</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240,6</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44,1</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50,0</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67,5</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79,0</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176,7</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45,7</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35,0</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66,0</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30,0</w:t>
            </w:r>
          </w:p>
        </w:tc>
      </w:tr>
      <w:tr w:rsidR="00F7244A" w:rsidRPr="0081539A" w:rsidTr="003C7C79">
        <w:trPr>
          <w:trHeight w:val="85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sz w:val="18"/>
                <w:szCs w:val="18"/>
              </w:rPr>
            </w:pPr>
            <w:r w:rsidRPr="0081539A">
              <w:rPr>
                <w:rFonts w:cs="Calibri"/>
                <w:i/>
                <w:iCs/>
                <w:sz w:val="18"/>
                <w:szCs w:val="18"/>
              </w:rPr>
              <w:t>7305</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sz w:val="18"/>
                <w:szCs w:val="18"/>
                <w:lang w:val="en-US"/>
              </w:rPr>
            </w:pPr>
            <w:r w:rsidRPr="0081539A">
              <w:rPr>
                <w:rFonts w:cs="Calibri"/>
                <w:i/>
                <w:iCs/>
                <w:sz w:val="18"/>
                <w:szCs w:val="18"/>
                <w:lang w:val="en-US"/>
              </w:rPr>
              <w:t>Other pipes and tubes (for example, welded, riveted or connected in a similar way), with a circular cross-section, the outer diameter of which is more then 406.4 mm, from ferrous metals:</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36,6</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57,6</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2,2</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2,9</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8,4</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44,0</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186,1</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84,0</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15,4</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65,2</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21,5</w:t>
            </w:r>
          </w:p>
        </w:tc>
      </w:tr>
      <w:tr w:rsidR="00F7244A" w:rsidRPr="0081539A" w:rsidTr="003C7C79">
        <w:trPr>
          <w:trHeight w:val="1247"/>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7308</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Metal structures from ferrous metals (except for prefabricated building structures of heading 9406) and their parts (for example, bridges and their sections, gateways, towers, lattice masts, roof ceilings, building trusses, doors and windows and their frames, thresholds</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142,0</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194,8</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49,4</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53,2</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54,5</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37,7</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85,3</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22,8</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18,7</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21,8</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22,0</w:t>
            </w:r>
          </w:p>
        </w:tc>
      </w:tr>
      <w:tr w:rsidR="00F7244A" w:rsidRPr="0081539A" w:rsidTr="003C7C79">
        <w:trPr>
          <w:trHeight w:val="315"/>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sz w:val="18"/>
                <w:szCs w:val="18"/>
              </w:rPr>
            </w:pPr>
            <w:r w:rsidRPr="0081539A">
              <w:rPr>
                <w:rFonts w:cs="Calibri"/>
                <w:i/>
                <w:iCs/>
                <w:sz w:val="18"/>
                <w:szCs w:val="18"/>
              </w:rPr>
              <w:t>7601</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sz w:val="18"/>
                <w:szCs w:val="18"/>
              </w:rPr>
            </w:pPr>
            <w:r w:rsidRPr="0081539A">
              <w:rPr>
                <w:rFonts w:cs="Calibri"/>
                <w:i/>
                <w:iCs/>
                <w:sz w:val="18"/>
                <w:szCs w:val="18"/>
              </w:rPr>
              <w:t>Untreated aluminum:</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96,1</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102,3</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23,1</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29,0</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24,8</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25,4</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110,3</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28,7</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11,6</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31,2</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38,8</w:t>
            </w:r>
          </w:p>
        </w:tc>
      </w:tr>
      <w:tr w:rsidR="00F7244A" w:rsidRPr="00D040FC" w:rsidTr="003C7C79">
        <w:trPr>
          <w:trHeight w:val="315"/>
        </w:trPr>
        <w:tc>
          <w:tcPr>
            <w:tcW w:w="767" w:type="dxa"/>
            <w:tcBorders>
              <w:top w:val="nil"/>
              <w:left w:val="single" w:sz="4" w:space="0" w:color="5B9BD5"/>
              <w:bottom w:val="single" w:sz="4" w:space="0" w:color="5B9BD5"/>
              <w:right w:val="single" w:sz="4" w:space="0" w:color="5B9BD5"/>
            </w:tcBorders>
            <w:shd w:val="clear" w:color="000000" w:fill="BDD7EE"/>
            <w:noWrap/>
            <w:vAlign w:val="center"/>
            <w:hideMark/>
          </w:tcPr>
          <w:p w:rsidR="00F7244A" w:rsidRPr="0081539A" w:rsidRDefault="00F7244A" w:rsidP="00F7244A">
            <w:pPr>
              <w:jc w:val="center"/>
              <w:rPr>
                <w:rFonts w:cs="Calibri"/>
                <w:color w:val="000000"/>
                <w:sz w:val="18"/>
                <w:szCs w:val="18"/>
              </w:rPr>
            </w:pPr>
            <w:r w:rsidRPr="0081539A">
              <w:rPr>
                <w:rFonts w:cs="Calibri"/>
                <w:color w:val="000000"/>
                <w:sz w:val="18"/>
                <w:szCs w:val="18"/>
              </w:rPr>
              <w:t>XVI</w:t>
            </w:r>
          </w:p>
        </w:tc>
        <w:tc>
          <w:tcPr>
            <w:tcW w:w="4195" w:type="dxa"/>
            <w:tcBorders>
              <w:top w:val="nil"/>
              <w:left w:val="nil"/>
              <w:bottom w:val="single" w:sz="4" w:space="0" w:color="5B9BD5"/>
              <w:right w:val="single" w:sz="4" w:space="0" w:color="5B9BD5"/>
            </w:tcBorders>
            <w:shd w:val="clear" w:color="000000" w:fill="BDD7EE"/>
            <w:vAlign w:val="center"/>
            <w:hideMark/>
          </w:tcPr>
          <w:p w:rsidR="00CB3A9B" w:rsidRDefault="00F7244A" w:rsidP="00CB3A9B">
            <w:pPr>
              <w:ind w:left="174"/>
              <w:rPr>
                <w:rFonts w:cs="Calibri"/>
                <w:color w:val="000000"/>
                <w:sz w:val="18"/>
                <w:szCs w:val="18"/>
                <w:lang w:val="en-US"/>
              </w:rPr>
            </w:pPr>
            <w:r w:rsidRPr="0081539A">
              <w:rPr>
                <w:rFonts w:cs="Calibri"/>
                <w:color w:val="000000"/>
                <w:sz w:val="18"/>
                <w:szCs w:val="18"/>
                <w:lang w:val="en-US"/>
              </w:rPr>
              <w:t xml:space="preserve">Machines, equipment, machinery; </w:t>
            </w:r>
          </w:p>
          <w:p w:rsidR="00F7244A" w:rsidRPr="0081539A" w:rsidRDefault="00F7244A" w:rsidP="00CB3A9B">
            <w:pPr>
              <w:ind w:left="174"/>
              <w:rPr>
                <w:rFonts w:cs="Calibri"/>
                <w:color w:val="000000"/>
                <w:sz w:val="18"/>
                <w:szCs w:val="18"/>
                <w:lang w:val="en-US"/>
              </w:rPr>
            </w:pPr>
            <w:r w:rsidRPr="0081539A">
              <w:rPr>
                <w:rFonts w:cs="Calibri"/>
                <w:color w:val="000000"/>
                <w:sz w:val="18"/>
                <w:szCs w:val="18"/>
                <w:lang w:val="en-US"/>
              </w:rPr>
              <w:t>electrical equipment</w:t>
            </w: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41"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1"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0"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1"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100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0"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3"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r>
      <w:tr w:rsidR="00F7244A" w:rsidRPr="0081539A" w:rsidTr="003C7C79">
        <w:trPr>
          <w:trHeight w:val="454"/>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sz w:val="18"/>
                <w:szCs w:val="18"/>
              </w:rPr>
            </w:pPr>
            <w:r w:rsidRPr="0081539A">
              <w:rPr>
                <w:rFonts w:cs="Calibri"/>
                <w:i/>
                <w:iCs/>
                <w:sz w:val="18"/>
                <w:szCs w:val="18"/>
              </w:rPr>
              <w:t>8409</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sz w:val="18"/>
                <w:szCs w:val="18"/>
                <w:lang w:val="en-US"/>
              </w:rPr>
            </w:pPr>
            <w:r w:rsidRPr="0081539A">
              <w:rPr>
                <w:rFonts w:cs="Calibri"/>
                <w:i/>
                <w:iCs/>
                <w:sz w:val="18"/>
                <w:szCs w:val="18"/>
                <w:lang w:val="en-US"/>
              </w:rPr>
              <w:t>Parts intended exclusively or mainly for engines of heading 8407 or 8408:</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89,6</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124,6</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31,7</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30,0</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25,9</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36,9</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112,0</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32,7</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32,8</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26,6</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20,0</w:t>
            </w:r>
          </w:p>
        </w:tc>
      </w:tr>
      <w:tr w:rsidR="00F7244A" w:rsidRPr="0081539A" w:rsidTr="003C7C79">
        <w:trPr>
          <w:trHeight w:val="315"/>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sz w:val="18"/>
                <w:szCs w:val="18"/>
              </w:rPr>
            </w:pPr>
            <w:r w:rsidRPr="0081539A">
              <w:rPr>
                <w:rFonts w:cs="Calibri"/>
                <w:i/>
                <w:iCs/>
                <w:sz w:val="18"/>
                <w:szCs w:val="18"/>
              </w:rPr>
              <w:t>8411</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sz w:val="18"/>
                <w:szCs w:val="18"/>
                <w:lang w:val="en-US"/>
              </w:rPr>
            </w:pPr>
            <w:r w:rsidRPr="0081539A">
              <w:rPr>
                <w:rFonts w:cs="Calibri"/>
                <w:i/>
                <w:iCs/>
                <w:sz w:val="18"/>
                <w:szCs w:val="18"/>
                <w:lang w:val="en-US"/>
              </w:rPr>
              <w:t>Turbojet and turboprop engines, other gas turbines:</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341,5</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67,4</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4,1</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7,1</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49,1</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7,1</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75,9</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17,2</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37,8</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7,6</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13,4</w:t>
            </w:r>
          </w:p>
        </w:tc>
      </w:tr>
      <w:tr w:rsidR="00F7244A" w:rsidRPr="0081539A" w:rsidTr="003C7C79">
        <w:trPr>
          <w:trHeight w:val="315"/>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sz w:val="18"/>
                <w:szCs w:val="18"/>
              </w:rPr>
            </w:pPr>
            <w:r w:rsidRPr="0081539A">
              <w:rPr>
                <w:rFonts w:cs="Calibri"/>
                <w:i/>
                <w:iCs/>
                <w:sz w:val="18"/>
                <w:szCs w:val="18"/>
              </w:rPr>
              <w:t>8413</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sz w:val="18"/>
                <w:szCs w:val="18"/>
                <w:lang w:val="en-US"/>
              </w:rPr>
            </w:pPr>
            <w:r w:rsidRPr="0081539A">
              <w:rPr>
                <w:rFonts w:cs="Calibri"/>
                <w:i/>
                <w:iCs/>
                <w:sz w:val="18"/>
                <w:szCs w:val="18"/>
                <w:lang w:val="en-US"/>
              </w:rPr>
              <w:t>Liquid pumps with or without flow meters; fluid lifts</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139,9</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155,3</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36,5</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48,6</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40,2</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29,9</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111,3</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26,6</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27,8</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25,1</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31,8</w:t>
            </w:r>
          </w:p>
        </w:tc>
      </w:tr>
      <w:tr w:rsidR="00F7244A" w:rsidRPr="0081539A" w:rsidTr="003C7C79">
        <w:trPr>
          <w:trHeight w:val="567"/>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8414</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sz w:val="18"/>
                <w:szCs w:val="18"/>
                <w:lang w:val="en-US"/>
              </w:rPr>
            </w:pPr>
            <w:r w:rsidRPr="0081539A">
              <w:rPr>
                <w:rFonts w:cs="Calibri"/>
                <w:i/>
                <w:iCs/>
                <w:sz w:val="18"/>
                <w:szCs w:val="18"/>
                <w:lang w:val="en-US"/>
              </w:rPr>
              <w:t xml:space="preserve">Air or vacuum pumps, air or other gas compressors and fans, ventilating or recycling hoods, incorporating a fan, whether or not fitted with filters, </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322,5</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275,8</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49,0</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71,8</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87,4</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67,6</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258,4</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58,5</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71,6</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59,5</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68,6</w:t>
            </w:r>
          </w:p>
        </w:tc>
      </w:tr>
      <w:tr w:rsidR="00F7244A" w:rsidRPr="0081539A" w:rsidTr="003C7C79">
        <w:trPr>
          <w:trHeight w:val="397"/>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sz w:val="18"/>
                <w:szCs w:val="18"/>
              </w:rPr>
            </w:pPr>
            <w:r w:rsidRPr="0081539A">
              <w:rPr>
                <w:rFonts w:cs="Calibri"/>
                <w:i/>
                <w:iCs/>
                <w:sz w:val="18"/>
                <w:szCs w:val="18"/>
              </w:rPr>
              <w:t>8417</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sz w:val="18"/>
                <w:szCs w:val="18"/>
                <w:lang w:val="en-US"/>
              </w:rPr>
            </w:pPr>
            <w:r w:rsidRPr="0081539A">
              <w:rPr>
                <w:rFonts w:cs="Calibri"/>
                <w:i/>
                <w:iCs/>
                <w:sz w:val="18"/>
                <w:szCs w:val="18"/>
                <w:lang w:val="en-US"/>
              </w:rPr>
              <w:t>Industrial or laboratory furnaces and chambers, including non-electric incinerators</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72,4</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104,2</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14,3</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29,2</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31,1</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29,5</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388,0</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29,2</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97,9</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253,3</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7,6</w:t>
            </w:r>
          </w:p>
        </w:tc>
      </w:tr>
      <w:tr w:rsidR="00F7244A" w:rsidRPr="0081539A" w:rsidTr="003C7C79">
        <w:trPr>
          <w:trHeight w:val="68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8418</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Air or vacuum pumps, air or gas compressors and fans; ventilation or recirculation exhaust hoods or cabinets with a fan, with or without filters:</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130,7</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149,7</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30,7</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50,9</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34,7</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33,5</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108,9</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22,1</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31,4</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25,0</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30,4</w:t>
            </w:r>
          </w:p>
        </w:tc>
      </w:tr>
      <w:tr w:rsidR="00F7244A" w:rsidRPr="0081539A" w:rsidTr="003C7C79">
        <w:trPr>
          <w:trHeight w:val="964"/>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lastRenderedPageBreak/>
              <w:t>8419</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Machines, equipment, industrial or laboratory, with electric or non-electric heating (excluding ovens, chambers and other equipment of heading 8514) for processing materials in a process with temperature changes, such as heating, cooking, temperature</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299,9</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216,6</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75,2</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42,8</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47,9</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50,7</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116,0</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18,5</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26,7</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42,2</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28,6</w:t>
            </w:r>
          </w:p>
        </w:tc>
      </w:tr>
      <w:tr w:rsidR="00F7244A" w:rsidRPr="0081539A" w:rsidTr="003C7C79">
        <w:trPr>
          <w:trHeight w:val="454"/>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8421</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Centrifuges, including centrifugal dryers; equipment and devices for filtering or purifying liquids or gases:</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202,2</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177,1</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40,2</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48,4</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46,4</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42,1</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146,1</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31,4</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46,2</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31,8</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36,6</w:t>
            </w:r>
          </w:p>
        </w:tc>
      </w:tr>
      <w:tr w:rsidR="00F7244A" w:rsidRPr="0081539A" w:rsidTr="003C7C79">
        <w:trPr>
          <w:trHeight w:val="794"/>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8429</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Bulldozers with fixed and rotary blades, graders, planners, scrapers, mechanical shovels, excavators, single-bucket loaders, tamping machines and road rollers, self-propelled</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293,5</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396,8</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68,6</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130,9</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111,4</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85,8</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237,6</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43,3</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46,1</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73,6</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74,6</w:t>
            </w:r>
          </w:p>
        </w:tc>
      </w:tr>
      <w:tr w:rsidR="00F7244A" w:rsidRPr="0081539A" w:rsidTr="003C7C79">
        <w:trPr>
          <w:trHeight w:val="397"/>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sz w:val="18"/>
                <w:szCs w:val="18"/>
              </w:rPr>
            </w:pPr>
            <w:r w:rsidRPr="0081539A">
              <w:rPr>
                <w:rFonts w:cs="Calibri"/>
                <w:i/>
                <w:iCs/>
                <w:sz w:val="18"/>
                <w:szCs w:val="18"/>
              </w:rPr>
              <w:t>8431</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sz w:val="18"/>
                <w:szCs w:val="18"/>
                <w:lang w:val="en-US"/>
              </w:rPr>
            </w:pPr>
            <w:r w:rsidRPr="0081539A">
              <w:rPr>
                <w:rFonts w:cs="Calibri"/>
                <w:i/>
                <w:iCs/>
                <w:sz w:val="18"/>
                <w:szCs w:val="18"/>
                <w:lang w:val="en-US"/>
              </w:rPr>
              <w:t>Parts intended exclusively or mainly for equipment of heading 8425 or 8430:</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79,3</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88,1</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13,4</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19,5</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31,7</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23,5</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115,8</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27,6</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37,0</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25,9</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25,3</w:t>
            </w:r>
          </w:p>
        </w:tc>
      </w:tr>
      <w:tr w:rsidR="00F7244A" w:rsidRPr="0081539A" w:rsidTr="003C7C79">
        <w:trPr>
          <w:trHeight w:val="945"/>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sz w:val="18"/>
                <w:szCs w:val="18"/>
              </w:rPr>
            </w:pPr>
            <w:r w:rsidRPr="0081539A">
              <w:rPr>
                <w:rFonts w:cs="Calibri"/>
                <w:i/>
                <w:iCs/>
                <w:sz w:val="18"/>
                <w:szCs w:val="18"/>
              </w:rPr>
              <w:t>8433</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sz w:val="18"/>
                <w:szCs w:val="18"/>
                <w:lang w:val="en-US"/>
              </w:rPr>
            </w:pPr>
            <w:r w:rsidRPr="0081539A">
              <w:rPr>
                <w:rFonts w:cs="Calibri"/>
                <w:i/>
                <w:iCs/>
                <w:sz w:val="18"/>
                <w:szCs w:val="18"/>
                <w:lang w:val="en-US"/>
              </w:rPr>
              <w:t>Harvesting and threshing machinery, straw and fodder balers, grass or hay mowers; machines for cleaning, sorting or grading eggs, fruit or other agricultural produce, other than machinery of heading</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78,1</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86,6</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5,4</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25,6</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50,1</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5,6</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104,5</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5,9</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23,7</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67,7</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7,2</w:t>
            </w:r>
          </w:p>
        </w:tc>
      </w:tr>
      <w:tr w:rsidR="00F7244A" w:rsidRPr="0081539A" w:rsidTr="003C7C79">
        <w:trPr>
          <w:trHeight w:val="85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sz w:val="18"/>
                <w:szCs w:val="18"/>
              </w:rPr>
            </w:pPr>
            <w:r w:rsidRPr="0081539A">
              <w:rPr>
                <w:rFonts w:cs="Calibri"/>
                <w:i/>
                <w:iCs/>
                <w:sz w:val="18"/>
                <w:szCs w:val="18"/>
              </w:rPr>
              <w:t>8436</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sz w:val="18"/>
                <w:szCs w:val="18"/>
                <w:lang w:val="en-US"/>
              </w:rPr>
            </w:pPr>
            <w:r w:rsidRPr="0081539A">
              <w:rPr>
                <w:rFonts w:cs="Calibri"/>
                <w:i/>
                <w:iCs/>
                <w:sz w:val="18"/>
                <w:szCs w:val="18"/>
                <w:lang w:val="en-US"/>
              </w:rPr>
              <w:t>Agricultural, horticultural, forestry, poultry or beekeeping equipment, including equipment for germinating seeds with mechanical or heating devices, others; poultry incubators and brooders:</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107,0</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71,4</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22,6</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18,6</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21,7</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8,5</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73,5</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8,3</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49,3</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8,8</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7,2</w:t>
            </w:r>
          </w:p>
        </w:tc>
      </w:tr>
      <w:tr w:rsidR="00F7244A" w:rsidRPr="0081539A" w:rsidTr="003C7C79">
        <w:trPr>
          <w:trHeight w:val="102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8445</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Machines for preparing textile fibers; spinning, quilting or twisting machines and other equipment for the manufacture of textile yarn; coco-netting or winding (including weft-netting) textile machines and machines preparing the text</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387,7</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283,1</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87,9</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71,5</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64,4</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59,4</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185,1</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60,7</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40,5</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33,5</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50,4</w:t>
            </w:r>
          </w:p>
        </w:tc>
      </w:tr>
      <w:tr w:rsidR="00F7244A" w:rsidRPr="0081539A" w:rsidTr="003C7C79">
        <w:trPr>
          <w:trHeight w:val="315"/>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sz w:val="18"/>
                <w:szCs w:val="18"/>
              </w:rPr>
            </w:pPr>
            <w:r w:rsidRPr="0081539A">
              <w:rPr>
                <w:rFonts w:cs="Calibri"/>
                <w:i/>
                <w:iCs/>
                <w:sz w:val="18"/>
                <w:szCs w:val="18"/>
              </w:rPr>
              <w:t>8455</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sz w:val="18"/>
                <w:szCs w:val="18"/>
                <w:lang w:val="en-US"/>
              </w:rPr>
            </w:pPr>
            <w:r w:rsidRPr="0081539A">
              <w:rPr>
                <w:rFonts w:cs="Calibri"/>
                <w:i/>
                <w:iCs/>
                <w:sz w:val="18"/>
                <w:szCs w:val="18"/>
                <w:lang w:val="en-US"/>
              </w:rPr>
              <w:t>Rolling mills and rolls for them</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30,6</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88,0</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8,2</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15,7</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34,3</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29,8</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62,5</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37,1</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9,1</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8,8</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7,6</w:t>
            </w:r>
          </w:p>
        </w:tc>
      </w:tr>
      <w:tr w:rsidR="00F7244A" w:rsidRPr="0081539A" w:rsidTr="003C7C79">
        <w:trPr>
          <w:trHeight w:val="907"/>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8471</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Computers and their units; magnetic or optical readers, machines for transferring data to storage media in coded form and machines for processing such information, not elsewhere named:</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87,4</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166,4</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36,3</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31,7</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36,2</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62,1</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143,9</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44,2</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40,5</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26,3</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32,9</w:t>
            </w:r>
          </w:p>
        </w:tc>
      </w:tr>
      <w:tr w:rsidR="00F7244A" w:rsidRPr="0081539A" w:rsidTr="003C7C79">
        <w:trPr>
          <w:trHeight w:val="907"/>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8474</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Equipment for sorting, screening, separation, washing, grinding, mixing or mixing soil, stone, ores or other minerals in a solid (including powdered or pasty) state;</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282,2</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575,8</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103,4</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148,9</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144,0</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179,5</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437,2</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101,5</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89,3</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83,3</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163,1</w:t>
            </w:r>
          </w:p>
        </w:tc>
      </w:tr>
      <w:tr w:rsidR="00F7244A" w:rsidRPr="0081539A" w:rsidTr="003C7C79">
        <w:trPr>
          <w:trHeight w:val="68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8477</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Machinery for the processing of rubber or plastics or for the manufacture of products from these materials, not specified or included elsewhere in this group</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140,8</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190,5</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43,2</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57,5</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35,8</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54,0</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185,1</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38,5</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38,2</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57,5</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50,9</w:t>
            </w:r>
          </w:p>
        </w:tc>
      </w:tr>
      <w:tr w:rsidR="00F7244A" w:rsidRPr="0081539A" w:rsidTr="003C7C79">
        <w:trPr>
          <w:trHeight w:val="51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lastRenderedPageBreak/>
              <w:t>8479</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Machines and mechanical devices that have individual functions, in another place of this group are not named or not included</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161,7</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272,0</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56,5</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81,8</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65,4</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68,2</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235,4</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54,6</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43,6</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64,1</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73,1</w:t>
            </w:r>
          </w:p>
        </w:tc>
      </w:tr>
      <w:tr w:rsidR="00F7244A" w:rsidRPr="0081539A" w:rsidTr="003C7C79">
        <w:trPr>
          <w:trHeight w:val="2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8481</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Valves, taps, vents and similar fittings for pipelines, boilers, cisterns, reservoir, tanks or similar containers, including pressure reducing and temperature controlled valves</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165,6</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201,3</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50,0</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53,9</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49,7</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47,8</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119,0</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28,5</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24,0</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30,0</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36,5</w:t>
            </w:r>
          </w:p>
        </w:tc>
      </w:tr>
      <w:tr w:rsidR="00F7244A" w:rsidRPr="0081539A" w:rsidTr="003C7C79">
        <w:trPr>
          <w:trHeight w:val="2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8517</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Electrical telephone or telegraph devices for wire communication, including telephone sets with a cordless handset and devices for wire line communication systems on a carrier frequency or for digital wire communication systems; videophones:</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115,1</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270,0</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55,1</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38,0</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59,1</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117,8</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376,2</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115,9</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76,2</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53,4</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130,7</w:t>
            </w:r>
          </w:p>
        </w:tc>
      </w:tr>
      <w:tr w:rsidR="00F7244A" w:rsidRPr="0081539A" w:rsidTr="003C7C79">
        <w:trPr>
          <w:trHeight w:val="2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8537</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Boards, panels, consoles, tables, switchboards and bases for electrical equipment, other, equipped with two or more devices of heading 8535 or 8536, for controlling or distributing electric current</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127,6</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166,5</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30,0</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46,5</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58,6</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31,4</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70,1</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26,5</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13,4</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14,2</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16,0</w:t>
            </w:r>
          </w:p>
        </w:tc>
      </w:tr>
      <w:tr w:rsidR="00F7244A" w:rsidRPr="00D040FC" w:rsidTr="003C7C79">
        <w:trPr>
          <w:trHeight w:val="283"/>
        </w:trPr>
        <w:tc>
          <w:tcPr>
            <w:tcW w:w="767" w:type="dxa"/>
            <w:tcBorders>
              <w:top w:val="nil"/>
              <w:left w:val="single" w:sz="4" w:space="0" w:color="5B9BD5"/>
              <w:bottom w:val="single" w:sz="4" w:space="0" w:color="5B9BD5"/>
              <w:right w:val="single" w:sz="4" w:space="0" w:color="5B9BD5"/>
            </w:tcBorders>
            <w:shd w:val="clear" w:color="000000" w:fill="BDD7EE"/>
            <w:noWrap/>
            <w:vAlign w:val="center"/>
            <w:hideMark/>
          </w:tcPr>
          <w:p w:rsidR="00F7244A" w:rsidRPr="0081539A" w:rsidRDefault="00F7244A" w:rsidP="00F7244A">
            <w:pPr>
              <w:jc w:val="center"/>
              <w:rPr>
                <w:rFonts w:cs="Calibri"/>
                <w:color w:val="000000"/>
                <w:sz w:val="18"/>
                <w:szCs w:val="18"/>
              </w:rPr>
            </w:pPr>
            <w:r w:rsidRPr="0081539A">
              <w:rPr>
                <w:rFonts w:cs="Calibri"/>
                <w:color w:val="000000"/>
                <w:sz w:val="18"/>
                <w:szCs w:val="18"/>
              </w:rPr>
              <w:t>XVII</w:t>
            </w:r>
          </w:p>
        </w:tc>
        <w:tc>
          <w:tcPr>
            <w:tcW w:w="4195" w:type="dxa"/>
            <w:tcBorders>
              <w:top w:val="nil"/>
              <w:left w:val="nil"/>
              <w:bottom w:val="single" w:sz="4" w:space="0" w:color="5B9BD5"/>
              <w:right w:val="single" w:sz="4" w:space="0" w:color="5B9BD5"/>
            </w:tcBorders>
            <w:shd w:val="clear" w:color="000000" w:fill="BDD7EE"/>
            <w:noWrap/>
            <w:vAlign w:val="center"/>
            <w:hideMark/>
          </w:tcPr>
          <w:p w:rsidR="00F7244A" w:rsidRPr="0081539A" w:rsidRDefault="00F7244A" w:rsidP="00CB3A9B">
            <w:pPr>
              <w:ind w:left="174"/>
              <w:rPr>
                <w:rFonts w:cs="Calibri"/>
                <w:color w:val="000000"/>
                <w:sz w:val="18"/>
                <w:szCs w:val="18"/>
                <w:lang w:val="en-US"/>
              </w:rPr>
            </w:pPr>
            <w:r w:rsidRPr="0081539A">
              <w:rPr>
                <w:rFonts w:cs="Calibri"/>
                <w:color w:val="000000"/>
                <w:sz w:val="18"/>
                <w:szCs w:val="18"/>
                <w:lang w:val="en-US"/>
              </w:rPr>
              <w:t>Means of land, air and water transport</w:t>
            </w: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41"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1"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0"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1"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100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0"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3"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2" w:type="dxa"/>
            <w:tcBorders>
              <w:top w:val="nil"/>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r>
      <w:tr w:rsidR="00F7244A" w:rsidRPr="0081539A" w:rsidTr="003C7C79">
        <w:trPr>
          <w:trHeight w:val="34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sz w:val="18"/>
                <w:szCs w:val="18"/>
              </w:rPr>
            </w:pPr>
            <w:r w:rsidRPr="0081539A">
              <w:rPr>
                <w:rFonts w:cs="Calibri"/>
                <w:i/>
                <w:iCs/>
                <w:sz w:val="18"/>
                <w:szCs w:val="18"/>
              </w:rPr>
              <w:t>8701</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sz w:val="18"/>
                <w:szCs w:val="18"/>
                <w:lang w:val="en-US"/>
              </w:rPr>
            </w:pPr>
            <w:r w:rsidRPr="0081539A">
              <w:rPr>
                <w:rFonts w:cs="Calibri"/>
                <w:i/>
                <w:iCs/>
                <w:sz w:val="18"/>
                <w:szCs w:val="18"/>
                <w:lang w:val="en-US"/>
              </w:rPr>
              <w:t>Tractors (except for tractors of heading 8709)</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141,0</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243,1</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42,9</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73,2</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103,9</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23,2</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96,9</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29,0</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20,9</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30,4</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16,5</w:t>
            </w:r>
          </w:p>
        </w:tc>
      </w:tr>
      <w:tr w:rsidR="00F7244A" w:rsidRPr="0081539A" w:rsidTr="003C7C79">
        <w:trPr>
          <w:trHeight w:val="794"/>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8703</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Automobiles and other motor vehicles mainly intended for the transport of people (other than motor vehicles of heading 8702), including cargo-passenger vans and racing cars:</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340,2</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553,1</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129,3</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102,1</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90,9</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230,8</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498,0</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124,4</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119,2</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128,8</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125,6</w:t>
            </w:r>
          </w:p>
        </w:tc>
      </w:tr>
      <w:tr w:rsidR="00F7244A" w:rsidRPr="0081539A" w:rsidTr="003C7C79">
        <w:trPr>
          <w:trHeight w:val="34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8704</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Motor vehicles for the transport of goods</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303,1</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228,9</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66,2</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44,0</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74,8</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43,8</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201,5</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12,9</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27,5</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86,1</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75,1</w:t>
            </w:r>
          </w:p>
        </w:tc>
      </w:tr>
      <w:tr w:rsidR="00F7244A" w:rsidRPr="0081539A" w:rsidTr="003C7C79">
        <w:trPr>
          <w:trHeight w:val="315"/>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8708</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color w:val="000000"/>
                <w:sz w:val="18"/>
                <w:szCs w:val="18"/>
                <w:lang w:val="en-US"/>
              </w:rPr>
            </w:pPr>
            <w:r w:rsidRPr="0081539A">
              <w:rPr>
                <w:rFonts w:cs="Calibri"/>
                <w:i/>
                <w:iCs/>
                <w:color w:val="000000"/>
                <w:sz w:val="18"/>
                <w:szCs w:val="18"/>
                <w:lang w:val="en-US"/>
              </w:rPr>
              <w:t>Parts and accessories of motor vehicles of heading 8701 - 8705</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961,8</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943,2</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220,3</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212,8</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223,4</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286,7</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977,6</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243,1</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279,0</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267,1</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188,5</w:t>
            </w:r>
          </w:p>
        </w:tc>
      </w:tr>
      <w:tr w:rsidR="00F7244A" w:rsidRPr="00D040FC" w:rsidTr="003C7C79">
        <w:trPr>
          <w:trHeight w:val="315"/>
        </w:trPr>
        <w:tc>
          <w:tcPr>
            <w:tcW w:w="767" w:type="dxa"/>
            <w:tcBorders>
              <w:top w:val="single" w:sz="4" w:space="0" w:color="5B9BD5"/>
              <w:left w:val="single" w:sz="4" w:space="0" w:color="5B9BD5"/>
              <w:bottom w:val="single" w:sz="4" w:space="0" w:color="5B9BD5"/>
              <w:right w:val="single" w:sz="4" w:space="0" w:color="5B9BD5"/>
            </w:tcBorders>
            <w:shd w:val="clear" w:color="000000" w:fill="BDD7EE"/>
            <w:noWrap/>
            <w:vAlign w:val="center"/>
            <w:hideMark/>
          </w:tcPr>
          <w:p w:rsidR="00F7244A" w:rsidRPr="0081539A" w:rsidRDefault="00F7244A" w:rsidP="00F7244A">
            <w:pPr>
              <w:jc w:val="center"/>
              <w:rPr>
                <w:rFonts w:cs="Calibri"/>
                <w:color w:val="000000"/>
                <w:sz w:val="18"/>
                <w:szCs w:val="18"/>
              </w:rPr>
            </w:pPr>
            <w:r w:rsidRPr="0081539A">
              <w:rPr>
                <w:rFonts w:cs="Calibri"/>
                <w:color w:val="000000"/>
                <w:sz w:val="18"/>
                <w:szCs w:val="18"/>
              </w:rPr>
              <w:t>XVIII</w:t>
            </w:r>
          </w:p>
        </w:tc>
        <w:tc>
          <w:tcPr>
            <w:tcW w:w="4195" w:type="dxa"/>
            <w:tcBorders>
              <w:top w:val="single" w:sz="4" w:space="0" w:color="5B9BD5"/>
              <w:left w:val="nil"/>
              <w:bottom w:val="single" w:sz="4" w:space="0" w:color="5B9BD5"/>
              <w:right w:val="single" w:sz="4" w:space="0" w:color="5B9BD5"/>
            </w:tcBorders>
            <w:shd w:val="clear" w:color="000000" w:fill="BDD7EE"/>
            <w:noWrap/>
            <w:vAlign w:val="center"/>
            <w:hideMark/>
          </w:tcPr>
          <w:p w:rsidR="00F7244A" w:rsidRPr="0081539A" w:rsidRDefault="00F7244A" w:rsidP="00F7244A">
            <w:pPr>
              <w:ind w:firstLineChars="100" w:firstLine="180"/>
              <w:rPr>
                <w:rFonts w:cs="Calibri"/>
                <w:sz w:val="18"/>
                <w:szCs w:val="18"/>
                <w:lang w:val="en-US"/>
              </w:rPr>
            </w:pPr>
            <w:r w:rsidRPr="0081539A">
              <w:rPr>
                <w:rFonts w:cs="Calibri"/>
                <w:sz w:val="18"/>
                <w:szCs w:val="18"/>
                <w:lang w:val="en-US"/>
              </w:rPr>
              <w:t>Optical, photographic instruments and apparatus</w:t>
            </w:r>
          </w:p>
        </w:tc>
        <w:tc>
          <w:tcPr>
            <w:tcW w:w="992" w:type="dxa"/>
            <w:tcBorders>
              <w:top w:val="single" w:sz="4" w:space="0" w:color="5B9BD5"/>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2" w:type="dxa"/>
            <w:tcBorders>
              <w:top w:val="single" w:sz="4" w:space="0" w:color="5B9BD5"/>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41" w:type="dxa"/>
            <w:tcBorders>
              <w:top w:val="single" w:sz="4" w:space="0" w:color="5B9BD5"/>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1" w:type="dxa"/>
            <w:tcBorders>
              <w:top w:val="single" w:sz="4" w:space="0" w:color="5B9BD5"/>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0" w:type="dxa"/>
            <w:tcBorders>
              <w:top w:val="single" w:sz="4" w:space="0" w:color="5B9BD5"/>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1" w:type="dxa"/>
            <w:tcBorders>
              <w:top w:val="single" w:sz="4" w:space="0" w:color="5B9BD5"/>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2" w:type="dxa"/>
            <w:tcBorders>
              <w:top w:val="single" w:sz="4" w:space="0" w:color="5B9BD5"/>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1002" w:type="dxa"/>
            <w:tcBorders>
              <w:top w:val="single" w:sz="4" w:space="0" w:color="5B9BD5"/>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850" w:type="dxa"/>
            <w:tcBorders>
              <w:top w:val="single" w:sz="4" w:space="0" w:color="5B9BD5"/>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3" w:type="dxa"/>
            <w:tcBorders>
              <w:top w:val="single" w:sz="4" w:space="0" w:color="5B9BD5"/>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c>
          <w:tcPr>
            <w:tcW w:w="992" w:type="dxa"/>
            <w:tcBorders>
              <w:top w:val="single" w:sz="4" w:space="0" w:color="5B9BD5"/>
              <w:left w:val="nil"/>
              <w:bottom w:val="single" w:sz="4" w:space="0" w:color="5B9BD5"/>
              <w:right w:val="single" w:sz="4" w:space="0" w:color="5B9BD5"/>
            </w:tcBorders>
            <w:shd w:val="clear" w:color="000000" w:fill="BDD7EE"/>
            <w:noWrap/>
            <w:vAlign w:val="center"/>
            <w:hideMark/>
          </w:tcPr>
          <w:p w:rsidR="00F7244A" w:rsidRPr="00EA77C8" w:rsidRDefault="00F7244A" w:rsidP="00F7244A">
            <w:pPr>
              <w:jc w:val="center"/>
              <w:rPr>
                <w:rFonts w:cs="Calibri"/>
                <w:color w:val="000000"/>
                <w:sz w:val="16"/>
                <w:szCs w:val="16"/>
                <w:lang w:val="en-US"/>
              </w:rPr>
            </w:pPr>
          </w:p>
        </w:tc>
      </w:tr>
      <w:tr w:rsidR="00F7244A" w:rsidRPr="0081539A" w:rsidTr="003C7C79">
        <w:trPr>
          <w:trHeight w:val="850"/>
        </w:trPr>
        <w:tc>
          <w:tcPr>
            <w:tcW w:w="767"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9018</w:t>
            </w:r>
          </w:p>
        </w:tc>
        <w:tc>
          <w:tcPr>
            <w:tcW w:w="4195" w:type="dxa"/>
            <w:tcBorders>
              <w:top w:val="single" w:sz="4" w:space="0" w:color="5B9BD5"/>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sz w:val="18"/>
                <w:szCs w:val="18"/>
                <w:lang w:val="en-US"/>
              </w:rPr>
            </w:pPr>
            <w:r w:rsidRPr="0081539A">
              <w:rPr>
                <w:rFonts w:cs="Calibri"/>
                <w:i/>
                <w:iCs/>
                <w:sz w:val="18"/>
                <w:szCs w:val="18"/>
                <w:lang w:val="en-US"/>
              </w:rPr>
              <w:t>Instruments and appliances used in medical, surgical, dental or veterinary sciences, including scintigraphic apparatus, other electro-medical apparatus and sight testing instruments</w:t>
            </w:r>
          </w:p>
        </w:tc>
        <w:tc>
          <w:tcPr>
            <w:tcW w:w="992" w:type="dxa"/>
            <w:tcBorders>
              <w:top w:val="single" w:sz="4" w:space="0" w:color="5B9BD5"/>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100,7</w:t>
            </w:r>
          </w:p>
        </w:tc>
        <w:tc>
          <w:tcPr>
            <w:tcW w:w="992" w:type="dxa"/>
            <w:tcBorders>
              <w:top w:val="single" w:sz="4" w:space="0" w:color="5B9BD5"/>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120,0</w:t>
            </w:r>
          </w:p>
        </w:tc>
        <w:tc>
          <w:tcPr>
            <w:tcW w:w="841" w:type="dxa"/>
            <w:tcBorders>
              <w:top w:val="single" w:sz="4" w:space="0" w:color="5B9BD5"/>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16,5</w:t>
            </w:r>
          </w:p>
        </w:tc>
        <w:tc>
          <w:tcPr>
            <w:tcW w:w="851" w:type="dxa"/>
            <w:tcBorders>
              <w:top w:val="single" w:sz="4" w:space="0" w:color="5B9BD5"/>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26,0</w:t>
            </w:r>
          </w:p>
        </w:tc>
        <w:tc>
          <w:tcPr>
            <w:tcW w:w="850" w:type="dxa"/>
            <w:tcBorders>
              <w:top w:val="single" w:sz="4" w:space="0" w:color="5B9BD5"/>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39,2</w:t>
            </w:r>
          </w:p>
        </w:tc>
        <w:tc>
          <w:tcPr>
            <w:tcW w:w="851" w:type="dxa"/>
            <w:tcBorders>
              <w:top w:val="single" w:sz="4" w:space="0" w:color="5B9BD5"/>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38,2</w:t>
            </w:r>
          </w:p>
        </w:tc>
        <w:tc>
          <w:tcPr>
            <w:tcW w:w="992" w:type="dxa"/>
            <w:tcBorders>
              <w:top w:val="single" w:sz="4" w:space="0" w:color="5B9BD5"/>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148,9</w:t>
            </w:r>
          </w:p>
        </w:tc>
        <w:tc>
          <w:tcPr>
            <w:tcW w:w="1002" w:type="dxa"/>
            <w:tcBorders>
              <w:top w:val="single" w:sz="4" w:space="0" w:color="5B9BD5"/>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35,8</w:t>
            </w:r>
          </w:p>
        </w:tc>
        <w:tc>
          <w:tcPr>
            <w:tcW w:w="850" w:type="dxa"/>
            <w:tcBorders>
              <w:top w:val="single" w:sz="4" w:space="0" w:color="5B9BD5"/>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28,9</w:t>
            </w:r>
          </w:p>
        </w:tc>
        <w:tc>
          <w:tcPr>
            <w:tcW w:w="993" w:type="dxa"/>
            <w:tcBorders>
              <w:top w:val="single" w:sz="4" w:space="0" w:color="5B9BD5"/>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32,6</w:t>
            </w:r>
          </w:p>
        </w:tc>
        <w:tc>
          <w:tcPr>
            <w:tcW w:w="992" w:type="dxa"/>
            <w:tcBorders>
              <w:top w:val="single" w:sz="4" w:space="0" w:color="5B9BD5"/>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51,6</w:t>
            </w:r>
          </w:p>
        </w:tc>
      </w:tr>
      <w:tr w:rsidR="00F7244A" w:rsidRPr="0081539A" w:rsidTr="003C7C79">
        <w:trPr>
          <w:trHeight w:val="850"/>
        </w:trPr>
        <w:tc>
          <w:tcPr>
            <w:tcW w:w="767" w:type="dxa"/>
            <w:tcBorders>
              <w:top w:val="single" w:sz="4" w:space="0" w:color="5B9BD5"/>
              <w:left w:val="single" w:sz="4" w:space="0" w:color="5B9BD5"/>
              <w:bottom w:val="single" w:sz="4" w:space="0" w:color="5B9BD5" w:themeColor="accent1"/>
              <w:right w:val="single" w:sz="4" w:space="0" w:color="5B9BD5"/>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9019</w:t>
            </w:r>
          </w:p>
        </w:tc>
        <w:tc>
          <w:tcPr>
            <w:tcW w:w="4195" w:type="dxa"/>
            <w:tcBorders>
              <w:top w:val="single" w:sz="4" w:space="0" w:color="5B9BD5"/>
              <w:left w:val="nil"/>
              <w:bottom w:val="single" w:sz="4" w:space="0" w:color="5B9BD5" w:themeColor="accent1"/>
              <w:right w:val="single" w:sz="4" w:space="0" w:color="5B9BD5"/>
            </w:tcBorders>
            <w:shd w:val="clear" w:color="auto" w:fill="auto"/>
            <w:vAlign w:val="center"/>
            <w:hideMark/>
          </w:tcPr>
          <w:p w:rsidR="00F7244A" w:rsidRPr="0081539A" w:rsidRDefault="00F7244A" w:rsidP="00CB3A9B">
            <w:pPr>
              <w:rPr>
                <w:rFonts w:cs="Calibri"/>
                <w:i/>
                <w:iCs/>
                <w:sz w:val="18"/>
                <w:szCs w:val="18"/>
                <w:lang w:val="en-US"/>
              </w:rPr>
            </w:pPr>
            <w:r w:rsidRPr="0081539A">
              <w:rPr>
                <w:rFonts w:cs="Calibri"/>
                <w:i/>
                <w:iCs/>
                <w:sz w:val="18"/>
                <w:szCs w:val="18"/>
                <w:lang w:val="en-US"/>
              </w:rPr>
              <w:t>Mechano-therapy, massage appliances; psychological aptitude testing apparatus; ozone, oxygen, aerosol therapy, artificial respiration or other therapeutic respiration apparatus</w:t>
            </w:r>
          </w:p>
        </w:tc>
        <w:tc>
          <w:tcPr>
            <w:tcW w:w="992" w:type="dxa"/>
            <w:tcBorders>
              <w:top w:val="single" w:sz="4" w:space="0" w:color="5B9BD5"/>
              <w:left w:val="nil"/>
              <w:bottom w:val="single" w:sz="4" w:space="0" w:color="5B9BD5" w:themeColor="accent1"/>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5,8</w:t>
            </w:r>
          </w:p>
        </w:tc>
        <w:tc>
          <w:tcPr>
            <w:tcW w:w="992" w:type="dxa"/>
            <w:tcBorders>
              <w:top w:val="single" w:sz="4" w:space="0" w:color="5B9BD5"/>
              <w:left w:val="nil"/>
              <w:bottom w:val="single" w:sz="4" w:space="0" w:color="5B9BD5" w:themeColor="accent1"/>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13,7</w:t>
            </w:r>
          </w:p>
        </w:tc>
        <w:tc>
          <w:tcPr>
            <w:tcW w:w="841" w:type="dxa"/>
            <w:tcBorders>
              <w:top w:val="single" w:sz="4" w:space="0" w:color="5B9BD5"/>
              <w:left w:val="nil"/>
              <w:bottom w:val="single" w:sz="4" w:space="0" w:color="5B9BD5" w:themeColor="accent1"/>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2,0</w:t>
            </w:r>
          </w:p>
        </w:tc>
        <w:tc>
          <w:tcPr>
            <w:tcW w:w="851" w:type="dxa"/>
            <w:tcBorders>
              <w:top w:val="single" w:sz="4" w:space="0" w:color="5B9BD5"/>
              <w:left w:val="nil"/>
              <w:bottom w:val="single" w:sz="4" w:space="0" w:color="5B9BD5" w:themeColor="accent1"/>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2,4</w:t>
            </w:r>
          </w:p>
        </w:tc>
        <w:tc>
          <w:tcPr>
            <w:tcW w:w="850" w:type="dxa"/>
            <w:tcBorders>
              <w:top w:val="single" w:sz="4" w:space="0" w:color="5B9BD5"/>
              <w:left w:val="nil"/>
              <w:bottom w:val="single" w:sz="4" w:space="0" w:color="5B9BD5" w:themeColor="accent1"/>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1,5</w:t>
            </w:r>
          </w:p>
        </w:tc>
        <w:tc>
          <w:tcPr>
            <w:tcW w:w="851" w:type="dxa"/>
            <w:tcBorders>
              <w:top w:val="single" w:sz="4" w:space="0" w:color="5B9BD5"/>
              <w:left w:val="nil"/>
              <w:bottom w:val="single" w:sz="4" w:space="0" w:color="5B9BD5" w:themeColor="accent1"/>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7,9</w:t>
            </w:r>
          </w:p>
        </w:tc>
        <w:tc>
          <w:tcPr>
            <w:tcW w:w="992" w:type="dxa"/>
            <w:tcBorders>
              <w:top w:val="single" w:sz="4" w:space="0" w:color="5B9BD5"/>
              <w:left w:val="nil"/>
              <w:bottom w:val="single" w:sz="4" w:space="0" w:color="5B9BD5" w:themeColor="accent1"/>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67,3</w:t>
            </w:r>
          </w:p>
        </w:tc>
        <w:tc>
          <w:tcPr>
            <w:tcW w:w="1002" w:type="dxa"/>
            <w:tcBorders>
              <w:top w:val="single" w:sz="4" w:space="0" w:color="5B9BD5"/>
              <w:left w:val="nil"/>
              <w:bottom w:val="single" w:sz="4" w:space="0" w:color="5B9BD5" w:themeColor="accent1"/>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2,6</w:t>
            </w:r>
          </w:p>
        </w:tc>
        <w:tc>
          <w:tcPr>
            <w:tcW w:w="850" w:type="dxa"/>
            <w:tcBorders>
              <w:top w:val="single" w:sz="4" w:space="0" w:color="5B9BD5"/>
              <w:left w:val="nil"/>
              <w:bottom w:val="single" w:sz="4" w:space="0" w:color="5B9BD5" w:themeColor="accent1"/>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12,6</w:t>
            </w:r>
          </w:p>
        </w:tc>
        <w:tc>
          <w:tcPr>
            <w:tcW w:w="993" w:type="dxa"/>
            <w:tcBorders>
              <w:top w:val="single" w:sz="4" w:space="0" w:color="5B9BD5"/>
              <w:left w:val="nil"/>
              <w:bottom w:val="single" w:sz="4" w:space="0" w:color="5B9BD5" w:themeColor="accent1"/>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27,0</w:t>
            </w:r>
          </w:p>
        </w:tc>
        <w:tc>
          <w:tcPr>
            <w:tcW w:w="992" w:type="dxa"/>
            <w:tcBorders>
              <w:top w:val="single" w:sz="4" w:space="0" w:color="5B9BD5"/>
              <w:left w:val="nil"/>
              <w:bottom w:val="single" w:sz="4" w:space="0" w:color="5B9BD5" w:themeColor="accent1"/>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25,0</w:t>
            </w:r>
          </w:p>
        </w:tc>
      </w:tr>
      <w:tr w:rsidR="00F7244A" w:rsidRPr="0081539A" w:rsidTr="003C7C79">
        <w:trPr>
          <w:trHeight w:val="454"/>
        </w:trPr>
        <w:tc>
          <w:tcPr>
            <w:tcW w:w="7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7244A" w:rsidRPr="0081539A" w:rsidRDefault="00F7244A" w:rsidP="00F7244A">
            <w:pPr>
              <w:jc w:val="center"/>
              <w:rPr>
                <w:rFonts w:cs="Calibri"/>
                <w:i/>
                <w:iCs/>
                <w:color w:val="000000"/>
                <w:sz w:val="18"/>
                <w:szCs w:val="18"/>
              </w:rPr>
            </w:pPr>
            <w:r w:rsidRPr="0081539A">
              <w:rPr>
                <w:rFonts w:cs="Calibri"/>
                <w:i/>
                <w:iCs/>
                <w:color w:val="000000"/>
                <w:sz w:val="18"/>
                <w:szCs w:val="18"/>
              </w:rPr>
              <w:t>9028</w:t>
            </w:r>
          </w:p>
        </w:tc>
        <w:tc>
          <w:tcPr>
            <w:tcW w:w="419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F7244A" w:rsidRPr="0081539A" w:rsidRDefault="00F7244A" w:rsidP="00CB3A9B">
            <w:pPr>
              <w:rPr>
                <w:rFonts w:cs="Calibri"/>
                <w:i/>
                <w:iCs/>
                <w:sz w:val="18"/>
                <w:szCs w:val="18"/>
                <w:lang w:val="en-US"/>
              </w:rPr>
            </w:pPr>
            <w:r w:rsidRPr="0081539A">
              <w:rPr>
                <w:rFonts w:cs="Calibri"/>
                <w:i/>
                <w:iCs/>
                <w:sz w:val="18"/>
                <w:szCs w:val="18"/>
                <w:lang w:val="en-US"/>
              </w:rPr>
              <w:t>Gas, liquid or electricity supply or production meters, including calibrating meters therefor</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9,8</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132,4</w:t>
            </w:r>
          </w:p>
        </w:tc>
        <w:tc>
          <w:tcPr>
            <w:tcW w:w="84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28,4</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18,4</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44,6</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40,9</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124,1</w:t>
            </w:r>
          </w:p>
        </w:tc>
        <w:tc>
          <w:tcPr>
            <w:tcW w:w="10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23,4</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18,5</w:t>
            </w:r>
          </w:p>
        </w:tc>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30,2</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52,1</w:t>
            </w:r>
          </w:p>
        </w:tc>
      </w:tr>
      <w:tr w:rsidR="00F7244A" w:rsidRPr="0081539A" w:rsidTr="003C7C79">
        <w:trPr>
          <w:trHeight w:val="283"/>
        </w:trPr>
        <w:tc>
          <w:tcPr>
            <w:tcW w:w="767" w:type="dxa"/>
            <w:tcBorders>
              <w:top w:val="single" w:sz="4" w:space="0" w:color="5B9BD5" w:themeColor="accent1"/>
              <w:left w:val="single" w:sz="4" w:space="0" w:color="5B9BD5"/>
              <w:bottom w:val="single" w:sz="4" w:space="0" w:color="5B9BD5"/>
              <w:right w:val="single" w:sz="4" w:space="0" w:color="5B9BD5"/>
            </w:tcBorders>
            <w:shd w:val="clear" w:color="000000" w:fill="BDD7EE"/>
            <w:noWrap/>
            <w:vAlign w:val="center"/>
            <w:hideMark/>
          </w:tcPr>
          <w:p w:rsidR="00F7244A" w:rsidRPr="0081539A" w:rsidRDefault="00F7244A" w:rsidP="00F7244A">
            <w:pPr>
              <w:jc w:val="center"/>
              <w:rPr>
                <w:rFonts w:cs="Calibri"/>
                <w:sz w:val="18"/>
                <w:szCs w:val="18"/>
              </w:rPr>
            </w:pPr>
            <w:r w:rsidRPr="0081539A">
              <w:rPr>
                <w:rFonts w:cs="Calibri"/>
                <w:sz w:val="18"/>
                <w:szCs w:val="18"/>
              </w:rPr>
              <w:t>XX</w:t>
            </w:r>
          </w:p>
        </w:tc>
        <w:tc>
          <w:tcPr>
            <w:tcW w:w="4195" w:type="dxa"/>
            <w:tcBorders>
              <w:top w:val="single" w:sz="4" w:space="0" w:color="5B9BD5" w:themeColor="accent1"/>
              <w:left w:val="nil"/>
              <w:bottom w:val="single" w:sz="4" w:space="0" w:color="5B9BD5"/>
              <w:right w:val="single" w:sz="4" w:space="0" w:color="5B9BD5"/>
            </w:tcBorders>
            <w:shd w:val="clear" w:color="000000" w:fill="BDD7EE"/>
            <w:noWrap/>
            <w:vAlign w:val="center"/>
            <w:hideMark/>
          </w:tcPr>
          <w:p w:rsidR="00F7244A" w:rsidRPr="0081539A" w:rsidRDefault="00F7244A" w:rsidP="00CB3A9B">
            <w:pPr>
              <w:ind w:left="174"/>
              <w:rPr>
                <w:rFonts w:cs="Calibri"/>
                <w:sz w:val="18"/>
                <w:szCs w:val="18"/>
              </w:rPr>
            </w:pPr>
            <w:r w:rsidRPr="0081539A">
              <w:rPr>
                <w:rFonts w:cs="Calibri"/>
                <w:sz w:val="18"/>
                <w:szCs w:val="18"/>
              </w:rPr>
              <w:t>Miscellaneous manufactured goods</w:t>
            </w:r>
          </w:p>
        </w:tc>
        <w:tc>
          <w:tcPr>
            <w:tcW w:w="992" w:type="dxa"/>
            <w:tcBorders>
              <w:top w:val="single" w:sz="4" w:space="0" w:color="5B9BD5" w:themeColor="accent1"/>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992" w:type="dxa"/>
            <w:tcBorders>
              <w:top w:val="single" w:sz="4" w:space="0" w:color="5B9BD5" w:themeColor="accent1"/>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841" w:type="dxa"/>
            <w:tcBorders>
              <w:top w:val="single" w:sz="4" w:space="0" w:color="5B9BD5" w:themeColor="accent1"/>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851" w:type="dxa"/>
            <w:tcBorders>
              <w:top w:val="single" w:sz="4" w:space="0" w:color="5B9BD5" w:themeColor="accent1"/>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850" w:type="dxa"/>
            <w:tcBorders>
              <w:top w:val="single" w:sz="4" w:space="0" w:color="5B9BD5" w:themeColor="accent1"/>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851" w:type="dxa"/>
            <w:tcBorders>
              <w:top w:val="single" w:sz="4" w:space="0" w:color="5B9BD5" w:themeColor="accent1"/>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992" w:type="dxa"/>
            <w:tcBorders>
              <w:top w:val="single" w:sz="4" w:space="0" w:color="5B9BD5" w:themeColor="accent1"/>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1002" w:type="dxa"/>
            <w:tcBorders>
              <w:top w:val="single" w:sz="4" w:space="0" w:color="5B9BD5" w:themeColor="accent1"/>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850" w:type="dxa"/>
            <w:tcBorders>
              <w:top w:val="single" w:sz="4" w:space="0" w:color="5B9BD5" w:themeColor="accent1"/>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993" w:type="dxa"/>
            <w:tcBorders>
              <w:top w:val="single" w:sz="4" w:space="0" w:color="5B9BD5" w:themeColor="accent1"/>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c>
          <w:tcPr>
            <w:tcW w:w="992" w:type="dxa"/>
            <w:tcBorders>
              <w:top w:val="single" w:sz="4" w:space="0" w:color="5B9BD5" w:themeColor="accent1"/>
              <w:left w:val="nil"/>
              <w:bottom w:val="single" w:sz="4" w:space="0" w:color="5B9BD5"/>
              <w:right w:val="single" w:sz="4" w:space="0" w:color="5B9BD5"/>
            </w:tcBorders>
            <w:shd w:val="clear" w:color="000000" w:fill="BDD7EE"/>
            <w:noWrap/>
            <w:vAlign w:val="center"/>
            <w:hideMark/>
          </w:tcPr>
          <w:p w:rsidR="00F7244A" w:rsidRPr="00F7244A" w:rsidRDefault="00F7244A" w:rsidP="00F7244A">
            <w:pPr>
              <w:jc w:val="center"/>
              <w:rPr>
                <w:rFonts w:cs="Calibri"/>
                <w:color w:val="000000"/>
                <w:sz w:val="16"/>
                <w:szCs w:val="16"/>
              </w:rPr>
            </w:pPr>
          </w:p>
        </w:tc>
      </w:tr>
      <w:tr w:rsidR="00F7244A" w:rsidRPr="0081539A" w:rsidTr="003C7C79">
        <w:trPr>
          <w:trHeight w:val="290"/>
        </w:trPr>
        <w:tc>
          <w:tcPr>
            <w:tcW w:w="767" w:type="dxa"/>
            <w:tcBorders>
              <w:top w:val="nil"/>
              <w:left w:val="single" w:sz="4" w:space="0" w:color="5B9BD5"/>
              <w:bottom w:val="single" w:sz="4" w:space="0" w:color="5B9BD5"/>
              <w:right w:val="single" w:sz="4" w:space="0" w:color="5B9BD5"/>
            </w:tcBorders>
            <w:shd w:val="clear" w:color="auto" w:fill="auto"/>
            <w:noWrap/>
            <w:vAlign w:val="center"/>
            <w:hideMark/>
          </w:tcPr>
          <w:p w:rsidR="00F7244A" w:rsidRPr="0081539A" w:rsidRDefault="00F7244A" w:rsidP="00F7244A">
            <w:pPr>
              <w:jc w:val="center"/>
              <w:rPr>
                <w:rFonts w:cs="Calibri"/>
                <w:i/>
                <w:iCs/>
                <w:sz w:val="18"/>
                <w:szCs w:val="18"/>
              </w:rPr>
            </w:pPr>
            <w:r w:rsidRPr="0081539A">
              <w:rPr>
                <w:rFonts w:cs="Calibri"/>
                <w:i/>
                <w:iCs/>
                <w:sz w:val="18"/>
                <w:szCs w:val="18"/>
              </w:rPr>
              <w:t>9406</w:t>
            </w:r>
          </w:p>
        </w:tc>
        <w:tc>
          <w:tcPr>
            <w:tcW w:w="4195" w:type="dxa"/>
            <w:tcBorders>
              <w:top w:val="nil"/>
              <w:left w:val="nil"/>
              <w:bottom w:val="single" w:sz="4" w:space="0" w:color="5B9BD5"/>
              <w:right w:val="single" w:sz="4" w:space="0" w:color="5B9BD5"/>
            </w:tcBorders>
            <w:shd w:val="clear" w:color="auto" w:fill="auto"/>
            <w:vAlign w:val="center"/>
            <w:hideMark/>
          </w:tcPr>
          <w:p w:rsidR="00F7244A" w:rsidRPr="0081539A" w:rsidRDefault="00F7244A" w:rsidP="00CB3A9B">
            <w:pPr>
              <w:rPr>
                <w:rFonts w:cs="Calibri"/>
                <w:i/>
                <w:iCs/>
                <w:sz w:val="18"/>
                <w:szCs w:val="18"/>
              </w:rPr>
            </w:pPr>
            <w:r w:rsidRPr="0081539A">
              <w:rPr>
                <w:rFonts w:cs="Calibri"/>
                <w:i/>
                <w:iCs/>
                <w:sz w:val="18"/>
                <w:szCs w:val="18"/>
              </w:rPr>
              <w:t>Building constructions, prefabricated:</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179,3</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431,2</w:t>
            </w:r>
          </w:p>
        </w:tc>
        <w:tc>
          <w:tcPr>
            <w:tcW w:w="84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89,6</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109,6</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119,2</w:t>
            </w:r>
          </w:p>
        </w:tc>
        <w:tc>
          <w:tcPr>
            <w:tcW w:w="851"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112,8</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279,2</w:t>
            </w:r>
          </w:p>
        </w:tc>
        <w:tc>
          <w:tcPr>
            <w:tcW w:w="100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52,6</w:t>
            </w:r>
          </w:p>
        </w:tc>
        <w:tc>
          <w:tcPr>
            <w:tcW w:w="850"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63,4</w:t>
            </w:r>
          </w:p>
        </w:tc>
        <w:tc>
          <w:tcPr>
            <w:tcW w:w="993"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84,1</w:t>
            </w:r>
          </w:p>
        </w:tc>
        <w:tc>
          <w:tcPr>
            <w:tcW w:w="992" w:type="dxa"/>
            <w:tcBorders>
              <w:top w:val="nil"/>
              <w:left w:val="nil"/>
              <w:bottom w:val="single" w:sz="4" w:space="0" w:color="5B9BD5"/>
              <w:right w:val="single" w:sz="4" w:space="0" w:color="5B9BD5"/>
            </w:tcBorders>
            <w:shd w:val="clear" w:color="auto" w:fill="auto"/>
            <w:noWrap/>
            <w:vAlign w:val="center"/>
            <w:hideMark/>
          </w:tcPr>
          <w:p w:rsidR="00F7244A" w:rsidRPr="00F7244A" w:rsidRDefault="00F7244A" w:rsidP="00F7244A">
            <w:pPr>
              <w:jc w:val="center"/>
              <w:rPr>
                <w:rFonts w:cs="Calibri"/>
                <w:i/>
                <w:iCs/>
                <w:color w:val="000000"/>
                <w:sz w:val="16"/>
                <w:szCs w:val="16"/>
              </w:rPr>
            </w:pPr>
            <w:r w:rsidRPr="00F7244A">
              <w:rPr>
                <w:rFonts w:cs="Calibri"/>
                <w:i/>
                <w:iCs/>
                <w:color w:val="000000"/>
                <w:sz w:val="16"/>
                <w:szCs w:val="16"/>
              </w:rPr>
              <w:t>79,0</w:t>
            </w:r>
          </w:p>
        </w:tc>
      </w:tr>
    </w:tbl>
    <w:p w:rsidR="002F3AD6" w:rsidRPr="00F45A80" w:rsidRDefault="002F3AD6" w:rsidP="008E63FA">
      <w:pPr>
        <w:rPr>
          <w:rFonts w:cs="Arial"/>
          <w:lang w:val="en-US"/>
        </w:rPr>
        <w:sectPr w:rsidR="002F3AD6" w:rsidRPr="00F45A80" w:rsidSect="00111FEA">
          <w:pgSz w:w="16838" w:h="11906" w:orient="landscape"/>
          <w:pgMar w:top="1134" w:right="1021" w:bottom="709" w:left="1134" w:header="709" w:footer="709" w:gutter="0"/>
          <w:cols w:space="708"/>
          <w:docGrid w:linePitch="360"/>
        </w:sectPr>
      </w:pPr>
    </w:p>
    <w:p w:rsidR="00951B5C" w:rsidRPr="00ED5572" w:rsidRDefault="005D5DBF" w:rsidP="00F159FA">
      <w:pPr>
        <w:ind w:right="-314"/>
        <w:jc w:val="right"/>
        <w:rPr>
          <w:i/>
          <w:sz w:val="22"/>
          <w:szCs w:val="22"/>
          <w:lang w:val="en-US"/>
        </w:rPr>
      </w:pPr>
      <w:r w:rsidRPr="00ED5572">
        <w:rPr>
          <w:i/>
          <w:sz w:val="22"/>
          <w:szCs w:val="22"/>
          <w:lang w:val="en-US"/>
        </w:rPr>
        <w:lastRenderedPageBreak/>
        <w:t>Addenda</w:t>
      </w:r>
      <w:r w:rsidR="00951B5C" w:rsidRPr="00ED5572">
        <w:rPr>
          <w:i/>
          <w:sz w:val="22"/>
          <w:szCs w:val="22"/>
          <w:lang w:val="en-US"/>
        </w:rPr>
        <w:t xml:space="preserve"> </w:t>
      </w:r>
      <w:r w:rsidR="00F74013">
        <w:rPr>
          <w:i/>
          <w:sz w:val="22"/>
          <w:szCs w:val="22"/>
          <w:lang w:val="en-US"/>
        </w:rPr>
        <w:t>7</w:t>
      </w:r>
    </w:p>
    <w:p w:rsidR="008E63FA" w:rsidRPr="00ED5572" w:rsidRDefault="005D5DBF" w:rsidP="008E63FA">
      <w:pPr>
        <w:pStyle w:val="1"/>
        <w:ind w:left="0"/>
        <w:jc w:val="center"/>
        <w:rPr>
          <w:rFonts w:ascii="Calibri" w:hAnsi="Calibri"/>
          <w:sz w:val="24"/>
          <w:szCs w:val="24"/>
          <w:lang w:val="en-US"/>
        </w:rPr>
      </w:pPr>
      <w:bookmarkStart w:id="29" w:name="_Toc67050807"/>
      <w:r w:rsidRPr="00F74013">
        <w:rPr>
          <w:rFonts w:ascii="Calibri" w:hAnsi="Calibri" w:cs="Calibri"/>
          <w:sz w:val="24"/>
          <w:szCs w:val="24"/>
          <w:lang w:val="en-US"/>
        </w:rPr>
        <w:t xml:space="preserve">REGIONAL STRUCTURE OF INTERNATIONAL MERCHANDISE TRADE </w:t>
      </w:r>
      <w:r w:rsidR="0073603C" w:rsidRPr="00F74013">
        <w:rPr>
          <w:rFonts w:ascii="Calibri" w:hAnsi="Calibri" w:cs="Calibri"/>
          <w:sz w:val="24"/>
          <w:szCs w:val="24"/>
          <w:lang w:val="en-US"/>
        </w:rPr>
        <w:t xml:space="preserve">FOR </w:t>
      </w:r>
      <w:r w:rsidRPr="00F74013">
        <w:rPr>
          <w:rFonts w:ascii="Calibri" w:hAnsi="Calibri" w:cs="Calibri"/>
          <w:sz w:val="24"/>
          <w:szCs w:val="24"/>
          <w:lang w:val="en-US"/>
        </w:rPr>
        <w:t>201</w:t>
      </w:r>
      <w:r w:rsidR="004F40DD" w:rsidRPr="00F74013">
        <w:rPr>
          <w:rFonts w:ascii="Calibri" w:hAnsi="Calibri" w:cs="Calibri"/>
          <w:sz w:val="24"/>
          <w:szCs w:val="24"/>
          <w:lang w:val="en-US"/>
        </w:rPr>
        <w:t>8</w:t>
      </w:r>
      <w:r w:rsidR="00B33C6E">
        <w:rPr>
          <w:rFonts w:ascii="Calibri" w:hAnsi="Calibri" w:cs="Calibri"/>
          <w:sz w:val="24"/>
          <w:szCs w:val="24"/>
          <w:lang w:val="en-US"/>
        </w:rPr>
        <w:t xml:space="preserve"> AND</w:t>
      </w:r>
      <w:r w:rsidRPr="00F74013">
        <w:rPr>
          <w:rFonts w:ascii="Calibri" w:hAnsi="Calibri" w:cs="Calibri"/>
          <w:sz w:val="24"/>
          <w:szCs w:val="24"/>
          <w:lang w:val="en-US"/>
        </w:rPr>
        <w:t xml:space="preserve"> 20</w:t>
      </w:r>
      <w:r w:rsidR="008E4653" w:rsidRPr="00F74013">
        <w:rPr>
          <w:rFonts w:ascii="Calibri" w:hAnsi="Calibri" w:cs="Calibri"/>
          <w:sz w:val="24"/>
          <w:szCs w:val="24"/>
          <w:lang w:val="en-US"/>
        </w:rPr>
        <w:t>20</w:t>
      </w:r>
      <w:bookmarkEnd w:id="29"/>
    </w:p>
    <w:p w:rsidR="008E63FA" w:rsidRPr="00F45A80" w:rsidRDefault="00585EBB" w:rsidP="00F159FA">
      <w:pPr>
        <w:ind w:right="-314"/>
        <w:contextualSpacing/>
        <w:jc w:val="right"/>
        <w:rPr>
          <w:i/>
          <w:sz w:val="20"/>
          <w:szCs w:val="20"/>
          <w:lang w:val="en-US"/>
        </w:rPr>
      </w:pPr>
      <w:r w:rsidRPr="00F45A80">
        <w:rPr>
          <w:i/>
          <w:sz w:val="20"/>
          <w:szCs w:val="20"/>
          <w:lang w:val="en-US"/>
        </w:rPr>
        <w:t>(</w:t>
      </w:r>
      <w:r w:rsidR="005D5DBF" w:rsidRPr="00F45A80">
        <w:rPr>
          <w:i/>
          <w:sz w:val="20"/>
          <w:szCs w:val="20"/>
          <w:lang w:val="en-US"/>
        </w:rPr>
        <w:t>mln</w:t>
      </w:r>
      <w:r w:rsidR="008E63FA" w:rsidRPr="00F45A80">
        <w:rPr>
          <w:i/>
          <w:sz w:val="20"/>
          <w:szCs w:val="20"/>
          <w:lang w:val="en-US"/>
        </w:rPr>
        <w:t>. </w:t>
      </w:r>
      <w:r w:rsidR="005D5DBF" w:rsidRPr="00F45A80">
        <w:rPr>
          <w:i/>
          <w:sz w:val="20"/>
          <w:szCs w:val="20"/>
          <w:lang w:val="en-US"/>
        </w:rPr>
        <w:t>USD</w:t>
      </w:r>
      <w:r w:rsidR="008E63FA" w:rsidRPr="00F45A80">
        <w:rPr>
          <w:i/>
          <w:sz w:val="20"/>
          <w:szCs w:val="20"/>
          <w:lang w:val="en-US"/>
        </w:rPr>
        <w:t>.</w:t>
      </w:r>
      <w:r w:rsidRPr="00F45A80">
        <w:rPr>
          <w:i/>
          <w:sz w:val="20"/>
          <w:szCs w:val="20"/>
          <w:lang w:val="en-US"/>
        </w:rPr>
        <w:t>)</w:t>
      </w:r>
    </w:p>
    <w:tbl>
      <w:tblPr>
        <w:tblW w:w="1505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0" w:type="dxa"/>
          <w:right w:w="0" w:type="dxa"/>
        </w:tblCellMar>
        <w:tblLook w:val="04A0" w:firstRow="1" w:lastRow="0" w:firstColumn="1" w:lastColumn="0" w:noHBand="0" w:noVBand="1"/>
      </w:tblPr>
      <w:tblGrid>
        <w:gridCol w:w="2551"/>
        <w:gridCol w:w="850"/>
        <w:gridCol w:w="850"/>
        <w:gridCol w:w="996"/>
        <w:gridCol w:w="850"/>
        <w:gridCol w:w="737"/>
        <w:gridCol w:w="850"/>
        <w:gridCol w:w="737"/>
        <w:gridCol w:w="992"/>
        <w:gridCol w:w="737"/>
        <w:gridCol w:w="850"/>
        <w:gridCol w:w="737"/>
        <w:gridCol w:w="850"/>
        <w:gridCol w:w="737"/>
        <w:gridCol w:w="992"/>
        <w:gridCol w:w="737"/>
      </w:tblGrid>
      <w:tr w:rsidR="00F159FA" w:rsidRPr="004F40DD" w:rsidTr="00F159FA">
        <w:trPr>
          <w:trHeight w:val="160"/>
          <w:tblHeader/>
        </w:trPr>
        <w:tc>
          <w:tcPr>
            <w:tcW w:w="2551" w:type="dxa"/>
            <w:vMerge w:val="restart"/>
            <w:shd w:val="clear" w:color="auto" w:fill="auto"/>
            <w:vAlign w:val="center"/>
            <w:hideMark/>
          </w:tcPr>
          <w:p w:rsidR="00F159FA" w:rsidRPr="004F40DD" w:rsidRDefault="00F159FA">
            <w:pPr>
              <w:jc w:val="center"/>
              <w:rPr>
                <w:rFonts w:cs="Calibri"/>
                <w:b/>
                <w:bCs/>
                <w:color w:val="000000"/>
                <w:sz w:val="18"/>
                <w:szCs w:val="18"/>
              </w:rPr>
            </w:pPr>
            <w:r w:rsidRPr="004F40DD">
              <w:rPr>
                <w:rFonts w:cs="Calibri"/>
                <w:b/>
                <w:bCs/>
                <w:color w:val="000000"/>
                <w:sz w:val="18"/>
                <w:szCs w:val="18"/>
              </w:rPr>
              <w:t>Region/Country</w:t>
            </w:r>
          </w:p>
        </w:tc>
        <w:tc>
          <w:tcPr>
            <w:tcW w:w="2696" w:type="dxa"/>
            <w:gridSpan w:val="3"/>
            <w:shd w:val="clear" w:color="auto" w:fill="auto"/>
            <w:noWrap/>
            <w:vAlign w:val="center"/>
          </w:tcPr>
          <w:p w:rsidR="00F159FA" w:rsidRPr="00F159FA" w:rsidRDefault="00F159FA" w:rsidP="00453A33">
            <w:pPr>
              <w:jc w:val="center"/>
              <w:rPr>
                <w:rFonts w:cs="Calibri"/>
                <w:b/>
                <w:bCs/>
                <w:color w:val="000000"/>
                <w:sz w:val="18"/>
                <w:szCs w:val="18"/>
                <w:lang w:val="en-US"/>
              </w:rPr>
            </w:pPr>
            <w:r>
              <w:rPr>
                <w:rFonts w:cs="Calibri"/>
                <w:b/>
                <w:bCs/>
                <w:color w:val="000000"/>
                <w:sz w:val="18"/>
                <w:szCs w:val="18"/>
                <w:lang w:val="en-US"/>
              </w:rPr>
              <w:t>For 2018</w:t>
            </w:r>
          </w:p>
        </w:tc>
        <w:tc>
          <w:tcPr>
            <w:tcW w:w="4903" w:type="dxa"/>
            <w:gridSpan w:val="6"/>
            <w:shd w:val="clear" w:color="auto" w:fill="auto"/>
            <w:noWrap/>
            <w:vAlign w:val="center"/>
          </w:tcPr>
          <w:p w:rsidR="00F159FA" w:rsidRPr="00F159FA" w:rsidRDefault="00F159FA" w:rsidP="004F40DD">
            <w:pPr>
              <w:jc w:val="center"/>
              <w:rPr>
                <w:rFonts w:cs="Calibri"/>
                <w:b/>
                <w:bCs/>
                <w:color w:val="000000"/>
                <w:sz w:val="18"/>
                <w:szCs w:val="18"/>
                <w:lang w:val="en-US"/>
              </w:rPr>
            </w:pPr>
            <w:r>
              <w:rPr>
                <w:rFonts w:cs="Calibri"/>
                <w:b/>
                <w:bCs/>
                <w:color w:val="000000"/>
                <w:sz w:val="18"/>
                <w:szCs w:val="18"/>
                <w:lang w:val="en-US"/>
              </w:rPr>
              <w:t>For 2019</w:t>
            </w:r>
          </w:p>
        </w:tc>
        <w:tc>
          <w:tcPr>
            <w:tcW w:w="4903" w:type="dxa"/>
            <w:gridSpan w:val="6"/>
            <w:shd w:val="clear" w:color="auto" w:fill="auto"/>
            <w:noWrap/>
            <w:vAlign w:val="center"/>
          </w:tcPr>
          <w:p w:rsidR="00F159FA" w:rsidRPr="00F159FA" w:rsidRDefault="00F159FA" w:rsidP="004F40DD">
            <w:pPr>
              <w:jc w:val="center"/>
              <w:rPr>
                <w:rFonts w:cs="Calibri"/>
                <w:b/>
                <w:bCs/>
                <w:color w:val="000000"/>
                <w:sz w:val="18"/>
                <w:szCs w:val="18"/>
                <w:lang w:val="en-US"/>
              </w:rPr>
            </w:pPr>
            <w:r>
              <w:rPr>
                <w:rFonts w:cs="Calibri"/>
                <w:b/>
                <w:bCs/>
                <w:color w:val="000000"/>
                <w:sz w:val="18"/>
                <w:szCs w:val="18"/>
                <w:lang w:val="en-US"/>
              </w:rPr>
              <w:t>For 2020</w:t>
            </w:r>
          </w:p>
        </w:tc>
      </w:tr>
      <w:tr w:rsidR="00F74013" w:rsidRPr="004F40DD" w:rsidTr="00F159FA">
        <w:trPr>
          <w:trHeight w:val="391"/>
          <w:tblHeader/>
        </w:trPr>
        <w:tc>
          <w:tcPr>
            <w:tcW w:w="2551" w:type="dxa"/>
            <w:vMerge/>
            <w:vAlign w:val="center"/>
            <w:hideMark/>
          </w:tcPr>
          <w:p w:rsidR="004F40DD" w:rsidRPr="004F40DD" w:rsidRDefault="004F40DD">
            <w:pPr>
              <w:rPr>
                <w:rFonts w:cs="Calibri"/>
                <w:b/>
                <w:bCs/>
                <w:color w:val="000000"/>
                <w:sz w:val="18"/>
                <w:szCs w:val="18"/>
              </w:rPr>
            </w:pPr>
          </w:p>
        </w:tc>
        <w:tc>
          <w:tcPr>
            <w:tcW w:w="850" w:type="dxa"/>
            <w:shd w:val="clear" w:color="auto" w:fill="auto"/>
            <w:noWrap/>
            <w:vAlign w:val="center"/>
            <w:hideMark/>
          </w:tcPr>
          <w:p w:rsidR="004F40DD" w:rsidRPr="004F40DD" w:rsidRDefault="004F40DD">
            <w:pPr>
              <w:jc w:val="center"/>
              <w:rPr>
                <w:rFonts w:cs="Calibri"/>
                <w:b/>
                <w:bCs/>
                <w:color w:val="000000"/>
                <w:sz w:val="18"/>
                <w:szCs w:val="18"/>
              </w:rPr>
            </w:pPr>
            <w:r w:rsidRPr="004F40DD">
              <w:rPr>
                <w:rFonts w:cs="Calibri"/>
                <w:b/>
                <w:bCs/>
                <w:color w:val="000000"/>
                <w:sz w:val="18"/>
                <w:szCs w:val="18"/>
              </w:rPr>
              <w:t xml:space="preserve"> export </w:t>
            </w:r>
          </w:p>
        </w:tc>
        <w:tc>
          <w:tcPr>
            <w:tcW w:w="850" w:type="dxa"/>
            <w:shd w:val="clear" w:color="auto" w:fill="auto"/>
            <w:noWrap/>
            <w:vAlign w:val="center"/>
            <w:hideMark/>
          </w:tcPr>
          <w:p w:rsidR="004F40DD" w:rsidRPr="004F40DD" w:rsidRDefault="004F40DD">
            <w:pPr>
              <w:jc w:val="center"/>
              <w:rPr>
                <w:rFonts w:cs="Calibri"/>
                <w:b/>
                <w:bCs/>
                <w:color w:val="000000"/>
                <w:sz w:val="18"/>
                <w:szCs w:val="18"/>
              </w:rPr>
            </w:pPr>
            <w:r w:rsidRPr="004F40DD">
              <w:rPr>
                <w:rFonts w:cs="Calibri"/>
                <w:b/>
                <w:bCs/>
                <w:color w:val="000000"/>
                <w:sz w:val="18"/>
                <w:szCs w:val="18"/>
              </w:rPr>
              <w:t xml:space="preserve"> import </w:t>
            </w:r>
          </w:p>
        </w:tc>
        <w:tc>
          <w:tcPr>
            <w:tcW w:w="996" w:type="dxa"/>
            <w:shd w:val="clear" w:color="auto" w:fill="auto"/>
            <w:vAlign w:val="center"/>
            <w:hideMark/>
          </w:tcPr>
          <w:p w:rsidR="004F40DD" w:rsidRPr="004F40DD" w:rsidRDefault="004F40DD">
            <w:pPr>
              <w:jc w:val="center"/>
              <w:rPr>
                <w:rFonts w:cs="Calibri"/>
                <w:b/>
                <w:bCs/>
                <w:color w:val="000000"/>
                <w:sz w:val="18"/>
                <w:szCs w:val="18"/>
              </w:rPr>
            </w:pPr>
            <w:r w:rsidRPr="004F40DD">
              <w:rPr>
                <w:rFonts w:cs="Calibri"/>
                <w:b/>
                <w:bCs/>
                <w:color w:val="000000"/>
                <w:sz w:val="18"/>
                <w:szCs w:val="18"/>
              </w:rPr>
              <w:t xml:space="preserve"> commodity turnover </w:t>
            </w:r>
          </w:p>
        </w:tc>
        <w:tc>
          <w:tcPr>
            <w:tcW w:w="850" w:type="dxa"/>
            <w:shd w:val="clear" w:color="auto" w:fill="auto"/>
            <w:noWrap/>
            <w:vAlign w:val="center"/>
            <w:hideMark/>
          </w:tcPr>
          <w:p w:rsidR="004F40DD" w:rsidRPr="004F40DD" w:rsidRDefault="004F40DD">
            <w:pPr>
              <w:jc w:val="center"/>
              <w:rPr>
                <w:rFonts w:cs="Calibri"/>
                <w:b/>
                <w:bCs/>
                <w:color w:val="000000"/>
                <w:sz w:val="18"/>
                <w:szCs w:val="18"/>
              </w:rPr>
            </w:pPr>
            <w:r w:rsidRPr="004F40DD">
              <w:rPr>
                <w:rFonts w:cs="Calibri"/>
                <w:b/>
                <w:bCs/>
                <w:color w:val="000000"/>
                <w:sz w:val="18"/>
                <w:szCs w:val="18"/>
              </w:rPr>
              <w:t xml:space="preserve"> export </w:t>
            </w:r>
          </w:p>
        </w:tc>
        <w:tc>
          <w:tcPr>
            <w:tcW w:w="737" w:type="dxa"/>
            <w:shd w:val="clear" w:color="auto" w:fill="auto"/>
            <w:noWrap/>
            <w:vAlign w:val="center"/>
            <w:hideMark/>
          </w:tcPr>
          <w:p w:rsidR="004F40DD" w:rsidRPr="004F40DD" w:rsidRDefault="004F40DD">
            <w:pPr>
              <w:jc w:val="center"/>
              <w:rPr>
                <w:rFonts w:cs="Calibri"/>
                <w:b/>
                <w:bCs/>
                <w:color w:val="000000"/>
                <w:sz w:val="18"/>
                <w:szCs w:val="18"/>
              </w:rPr>
            </w:pPr>
            <w:r w:rsidRPr="004F40DD">
              <w:rPr>
                <w:rFonts w:cs="Calibri"/>
                <w:b/>
                <w:bCs/>
                <w:color w:val="000000"/>
                <w:sz w:val="18"/>
                <w:szCs w:val="18"/>
              </w:rPr>
              <w:t>%</w:t>
            </w:r>
          </w:p>
        </w:tc>
        <w:tc>
          <w:tcPr>
            <w:tcW w:w="850" w:type="dxa"/>
            <w:shd w:val="clear" w:color="auto" w:fill="auto"/>
            <w:noWrap/>
            <w:vAlign w:val="center"/>
            <w:hideMark/>
          </w:tcPr>
          <w:p w:rsidR="004F40DD" w:rsidRPr="004F40DD" w:rsidRDefault="004F40DD">
            <w:pPr>
              <w:jc w:val="center"/>
              <w:rPr>
                <w:rFonts w:cs="Calibri"/>
                <w:b/>
                <w:bCs/>
                <w:color w:val="000000"/>
                <w:sz w:val="18"/>
                <w:szCs w:val="18"/>
              </w:rPr>
            </w:pPr>
            <w:r w:rsidRPr="004F40DD">
              <w:rPr>
                <w:rFonts w:cs="Calibri"/>
                <w:b/>
                <w:bCs/>
                <w:color w:val="000000"/>
                <w:sz w:val="18"/>
                <w:szCs w:val="18"/>
              </w:rPr>
              <w:t xml:space="preserve"> import </w:t>
            </w:r>
          </w:p>
        </w:tc>
        <w:tc>
          <w:tcPr>
            <w:tcW w:w="737" w:type="dxa"/>
            <w:shd w:val="clear" w:color="auto" w:fill="auto"/>
            <w:noWrap/>
            <w:vAlign w:val="center"/>
            <w:hideMark/>
          </w:tcPr>
          <w:p w:rsidR="004F40DD" w:rsidRPr="004F40DD" w:rsidRDefault="004F40DD">
            <w:pPr>
              <w:jc w:val="center"/>
              <w:rPr>
                <w:rFonts w:cs="Calibri"/>
                <w:b/>
                <w:bCs/>
                <w:color w:val="000000"/>
                <w:sz w:val="18"/>
                <w:szCs w:val="18"/>
              </w:rPr>
            </w:pPr>
            <w:r w:rsidRPr="004F40DD">
              <w:rPr>
                <w:rFonts w:cs="Calibri"/>
                <w:b/>
                <w:bCs/>
                <w:color w:val="000000"/>
                <w:sz w:val="18"/>
                <w:szCs w:val="18"/>
              </w:rPr>
              <w:t>%</w:t>
            </w:r>
          </w:p>
        </w:tc>
        <w:tc>
          <w:tcPr>
            <w:tcW w:w="992" w:type="dxa"/>
            <w:shd w:val="clear" w:color="auto" w:fill="auto"/>
            <w:vAlign w:val="center"/>
            <w:hideMark/>
          </w:tcPr>
          <w:p w:rsidR="004F40DD" w:rsidRPr="004F40DD" w:rsidRDefault="004F40DD">
            <w:pPr>
              <w:jc w:val="center"/>
              <w:rPr>
                <w:rFonts w:cs="Calibri"/>
                <w:b/>
                <w:bCs/>
                <w:color w:val="000000"/>
                <w:sz w:val="18"/>
                <w:szCs w:val="18"/>
              </w:rPr>
            </w:pPr>
            <w:r w:rsidRPr="004F40DD">
              <w:rPr>
                <w:rFonts w:cs="Calibri"/>
                <w:b/>
                <w:bCs/>
                <w:color w:val="000000"/>
                <w:sz w:val="18"/>
                <w:szCs w:val="18"/>
              </w:rPr>
              <w:t xml:space="preserve"> commodity turnover </w:t>
            </w:r>
          </w:p>
        </w:tc>
        <w:tc>
          <w:tcPr>
            <w:tcW w:w="737" w:type="dxa"/>
            <w:shd w:val="clear" w:color="auto" w:fill="auto"/>
            <w:noWrap/>
            <w:vAlign w:val="center"/>
            <w:hideMark/>
          </w:tcPr>
          <w:p w:rsidR="004F40DD" w:rsidRPr="004F40DD" w:rsidRDefault="004F40DD">
            <w:pPr>
              <w:jc w:val="center"/>
              <w:rPr>
                <w:rFonts w:cs="Calibri"/>
                <w:b/>
                <w:bCs/>
                <w:color w:val="000000"/>
                <w:sz w:val="18"/>
                <w:szCs w:val="18"/>
              </w:rPr>
            </w:pPr>
            <w:r w:rsidRPr="004F40DD">
              <w:rPr>
                <w:rFonts w:cs="Calibri"/>
                <w:b/>
                <w:bCs/>
                <w:color w:val="000000"/>
                <w:sz w:val="18"/>
                <w:szCs w:val="18"/>
              </w:rPr>
              <w:t>%</w:t>
            </w:r>
          </w:p>
        </w:tc>
        <w:tc>
          <w:tcPr>
            <w:tcW w:w="850" w:type="dxa"/>
            <w:shd w:val="clear" w:color="auto" w:fill="auto"/>
            <w:noWrap/>
            <w:vAlign w:val="center"/>
            <w:hideMark/>
          </w:tcPr>
          <w:p w:rsidR="004F40DD" w:rsidRPr="004F40DD" w:rsidRDefault="004F40DD">
            <w:pPr>
              <w:jc w:val="center"/>
              <w:rPr>
                <w:rFonts w:cs="Calibri"/>
                <w:b/>
                <w:bCs/>
                <w:color w:val="000000"/>
                <w:sz w:val="18"/>
                <w:szCs w:val="18"/>
              </w:rPr>
            </w:pPr>
            <w:r w:rsidRPr="004F40DD">
              <w:rPr>
                <w:rFonts w:cs="Calibri"/>
                <w:b/>
                <w:bCs/>
                <w:color w:val="000000"/>
                <w:sz w:val="18"/>
                <w:szCs w:val="18"/>
              </w:rPr>
              <w:t xml:space="preserve"> export </w:t>
            </w:r>
          </w:p>
        </w:tc>
        <w:tc>
          <w:tcPr>
            <w:tcW w:w="737" w:type="dxa"/>
            <w:shd w:val="clear" w:color="auto" w:fill="auto"/>
            <w:noWrap/>
            <w:vAlign w:val="center"/>
            <w:hideMark/>
          </w:tcPr>
          <w:p w:rsidR="004F40DD" w:rsidRPr="004F40DD" w:rsidRDefault="004F40DD">
            <w:pPr>
              <w:jc w:val="center"/>
              <w:rPr>
                <w:rFonts w:cs="Calibri"/>
                <w:b/>
                <w:bCs/>
                <w:color w:val="000000"/>
                <w:sz w:val="18"/>
                <w:szCs w:val="18"/>
              </w:rPr>
            </w:pPr>
            <w:r w:rsidRPr="004F40DD">
              <w:rPr>
                <w:rFonts w:cs="Calibri"/>
                <w:b/>
                <w:bCs/>
                <w:color w:val="000000"/>
                <w:sz w:val="18"/>
                <w:szCs w:val="18"/>
              </w:rPr>
              <w:t>%</w:t>
            </w:r>
          </w:p>
        </w:tc>
        <w:tc>
          <w:tcPr>
            <w:tcW w:w="850" w:type="dxa"/>
            <w:shd w:val="clear" w:color="auto" w:fill="auto"/>
            <w:noWrap/>
            <w:vAlign w:val="center"/>
            <w:hideMark/>
          </w:tcPr>
          <w:p w:rsidR="004F40DD" w:rsidRPr="004F40DD" w:rsidRDefault="004F40DD">
            <w:pPr>
              <w:jc w:val="center"/>
              <w:rPr>
                <w:rFonts w:cs="Calibri"/>
                <w:b/>
                <w:bCs/>
                <w:color w:val="000000"/>
                <w:sz w:val="18"/>
                <w:szCs w:val="18"/>
              </w:rPr>
            </w:pPr>
            <w:r w:rsidRPr="004F40DD">
              <w:rPr>
                <w:rFonts w:cs="Calibri"/>
                <w:b/>
                <w:bCs/>
                <w:color w:val="000000"/>
                <w:sz w:val="18"/>
                <w:szCs w:val="18"/>
              </w:rPr>
              <w:t xml:space="preserve"> import </w:t>
            </w:r>
          </w:p>
        </w:tc>
        <w:tc>
          <w:tcPr>
            <w:tcW w:w="737" w:type="dxa"/>
            <w:shd w:val="clear" w:color="auto" w:fill="auto"/>
            <w:noWrap/>
            <w:vAlign w:val="center"/>
            <w:hideMark/>
          </w:tcPr>
          <w:p w:rsidR="004F40DD" w:rsidRPr="004F40DD" w:rsidRDefault="004F40DD">
            <w:pPr>
              <w:jc w:val="center"/>
              <w:rPr>
                <w:rFonts w:cs="Calibri"/>
                <w:b/>
                <w:bCs/>
                <w:color w:val="000000"/>
                <w:sz w:val="18"/>
                <w:szCs w:val="18"/>
              </w:rPr>
            </w:pPr>
            <w:r w:rsidRPr="004F40DD">
              <w:rPr>
                <w:rFonts w:cs="Calibri"/>
                <w:b/>
                <w:bCs/>
                <w:color w:val="000000"/>
                <w:sz w:val="18"/>
                <w:szCs w:val="18"/>
              </w:rPr>
              <w:t>%</w:t>
            </w:r>
          </w:p>
        </w:tc>
        <w:tc>
          <w:tcPr>
            <w:tcW w:w="992" w:type="dxa"/>
            <w:shd w:val="clear" w:color="auto" w:fill="auto"/>
            <w:vAlign w:val="center"/>
            <w:hideMark/>
          </w:tcPr>
          <w:p w:rsidR="004F40DD" w:rsidRPr="004F40DD" w:rsidRDefault="004F40DD">
            <w:pPr>
              <w:jc w:val="center"/>
              <w:rPr>
                <w:rFonts w:cs="Calibri"/>
                <w:b/>
                <w:bCs/>
                <w:color w:val="000000"/>
                <w:sz w:val="18"/>
                <w:szCs w:val="18"/>
              </w:rPr>
            </w:pPr>
            <w:r w:rsidRPr="004F40DD">
              <w:rPr>
                <w:rFonts w:cs="Calibri"/>
                <w:b/>
                <w:bCs/>
                <w:color w:val="000000"/>
                <w:sz w:val="18"/>
                <w:szCs w:val="18"/>
              </w:rPr>
              <w:t xml:space="preserve"> commodity turnover </w:t>
            </w:r>
          </w:p>
        </w:tc>
        <w:tc>
          <w:tcPr>
            <w:tcW w:w="737" w:type="dxa"/>
            <w:shd w:val="clear" w:color="auto" w:fill="auto"/>
            <w:noWrap/>
            <w:vAlign w:val="center"/>
            <w:hideMark/>
          </w:tcPr>
          <w:p w:rsidR="004F40DD" w:rsidRPr="004F40DD" w:rsidRDefault="004F40DD">
            <w:pPr>
              <w:jc w:val="center"/>
              <w:rPr>
                <w:rFonts w:cs="Calibri"/>
                <w:b/>
                <w:bCs/>
                <w:color w:val="000000"/>
                <w:sz w:val="18"/>
                <w:szCs w:val="18"/>
              </w:rPr>
            </w:pPr>
            <w:r w:rsidRPr="004F40DD">
              <w:rPr>
                <w:rFonts w:cs="Calibri"/>
                <w:b/>
                <w:bCs/>
                <w:color w:val="000000"/>
                <w:sz w:val="18"/>
                <w:szCs w:val="18"/>
              </w:rPr>
              <w:t>%</w:t>
            </w:r>
          </w:p>
        </w:tc>
      </w:tr>
      <w:tr w:rsidR="00F159FA" w:rsidRPr="004F40DD" w:rsidTr="00F159FA">
        <w:trPr>
          <w:trHeight w:val="244"/>
        </w:trPr>
        <w:tc>
          <w:tcPr>
            <w:tcW w:w="2551" w:type="dxa"/>
            <w:shd w:val="clear" w:color="000000" w:fill="BDD7EE"/>
            <w:noWrap/>
            <w:vAlign w:val="bottom"/>
            <w:hideMark/>
          </w:tcPr>
          <w:p w:rsidR="00F159FA" w:rsidRPr="004F40DD" w:rsidRDefault="00F159FA" w:rsidP="00F159FA">
            <w:pPr>
              <w:ind w:left="133"/>
              <w:rPr>
                <w:rFonts w:cs="Calibri"/>
                <w:b/>
                <w:bCs/>
                <w:color w:val="000000"/>
                <w:sz w:val="18"/>
                <w:szCs w:val="18"/>
              </w:rPr>
            </w:pPr>
            <w:r w:rsidRPr="004F40DD">
              <w:rPr>
                <w:rFonts w:cs="Calibri"/>
                <w:b/>
                <w:bCs/>
                <w:color w:val="000000"/>
                <w:sz w:val="18"/>
                <w:szCs w:val="18"/>
              </w:rPr>
              <w:t>TOTAL</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11 09</w:t>
            </w:r>
            <w:r>
              <w:rPr>
                <w:rFonts w:asciiTheme="minorHAnsi" w:hAnsiTheme="minorHAnsi" w:cstheme="minorHAnsi"/>
                <w:b/>
                <w:bCs/>
                <w:color w:val="000000"/>
                <w:sz w:val="16"/>
                <w:szCs w:val="16"/>
              </w:rPr>
              <w:t>5</w:t>
            </w:r>
            <w:r w:rsidRPr="00C92486">
              <w:rPr>
                <w:rFonts w:asciiTheme="minorHAnsi" w:hAnsiTheme="minorHAnsi" w:cstheme="minorHAnsi"/>
                <w:b/>
                <w:bCs/>
                <w:color w:val="000000"/>
                <w:sz w:val="16"/>
                <w:szCs w:val="16"/>
              </w:rPr>
              <w:t>,</w:t>
            </w:r>
            <w:r>
              <w:rPr>
                <w:rFonts w:asciiTheme="minorHAnsi" w:hAnsiTheme="minorHAnsi" w:cstheme="minorHAnsi"/>
                <w:b/>
                <w:bCs/>
                <w:color w:val="000000"/>
                <w:sz w:val="16"/>
                <w:szCs w:val="16"/>
              </w:rPr>
              <w:t>4</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18 900,8</w:t>
            </w:r>
          </w:p>
        </w:tc>
        <w:tc>
          <w:tcPr>
            <w:tcW w:w="996"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29 99</w:t>
            </w:r>
            <w:r>
              <w:rPr>
                <w:rFonts w:asciiTheme="minorHAnsi" w:hAnsiTheme="minorHAnsi" w:cstheme="minorHAnsi"/>
                <w:b/>
                <w:bCs/>
                <w:color w:val="000000"/>
                <w:sz w:val="16"/>
                <w:szCs w:val="16"/>
              </w:rPr>
              <w:t>6</w:t>
            </w:r>
            <w:r w:rsidRPr="00C92486">
              <w:rPr>
                <w:rFonts w:asciiTheme="minorHAnsi" w:hAnsiTheme="minorHAnsi" w:cstheme="minorHAnsi"/>
                <w:b/>
                <w:bCs/>
                <w:color w:val="000000"/>
                <w:sz w:val="16"/>
                <w:szCs w:val="16"/>
              </w:rPr>
              <w:t>,</w:t>
            </w:r>
            <w:r>
              <w:rPr>
                <w:rFonts w:asciiTheme="minorHAnsi" w:hAnsiTheme="minorHAnsi" w:cstheme="minorHAnsi"/>
                <w:b/>
                <w:bCs/>
                <w:color w:val="000000"/>
                <w:sz w:val="16"/>
                <w:szCs w:val="16"/>
              </w:rPr>
              <w:t>2</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13 664,6</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Pr>
                <w:rFonts w:asciiTheme="minorHAnsi" w:hAnsiTheme="minorHAnsi" w:cstheme="minorHAnsi"/>
                <w:i/>
                <w:iCs/>
                <w:color w:val="000000"/>
                <w:sz w:val="16"/>
                <w:szCs w:val="16"/>
              </w:rPr>
              <w:t>100</w:t>
            </w:r>
            <w:r w:rsidRPr="00C92486">
              <w:rPr>
                <w:rFonts w:asciiTheme="minorHAnsi" w:hAnsiTheme="minorHAnsi" w:cstheme="minorHAnsi"/>
                <w:i/>
                <w:iCs/>
                <w:color w:val="000000"/>
                <w:sz w:val="16"/>
                <w:szCs w:val="16"/>
              </w:rPr>
              <w:t>%</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22 487,3</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100%</w:t>
            </w:r>
          </w:p>
        </w:tc>
        <w:tc>
          <w:tcPr>
            <w:tcW w:w="992"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36 151,9</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Pr>
                <w:rFonts w:asciiTheme="minorHAnsi" w:hAnsiTheme="minorHAnsi" w:cstheme="minorHAnsi"/>
                <w:i/>
                <w:iCs/>
                <w:color w:val="000000"/>
                <w:sz w:val="16"/>
                <w:szCs w:val="16"/>
              </w:rPr>
              <w:t>100</w:t>
            </w:r>
            <w:r w:rsidRPr="00C92486">
              <w:rPr>
                <w:rFonts w:asciiTheme="minorHAnsi" w:hAnsiTheme="minorHAnsi" w:cstheme="minorHAnsi"/>
                <w:i/>
                <w:iCs/>
                <w:color w:val="000000"/>
                <w:sz w:val="16"/>
                <w:szCs w:val="16"/>
              </w:rPr>
              <w:t>%</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12 779,2</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Pr>
                <w:rFonts w:asciiTheme="minorHAnsi" w:hAnsiTheme="minorHAnsi" w:cstheme="minorHAnsi"/>
                <w:i/>
                <w:iCs/>
                <w:color w:val="000000"/>
                <w:sz w:val="16"/>
                <w:szCs w:val="16"/>
              </w:rPr>
              <w:t>100</w:t>
            </w:r>
            <w:r w:rsidRPr="00C92486">
              <w:rPr>
                <w:rFonts w:asciiTheme="minorHAnsi" w:hAnsiTheme="minorHAnsi" w:cstheme="minorHAnsi"/>
                <w:i/>
                <w:iCs/>
                <w:color w:val="000000"/>
                <w:sz w:val="16"/>
                <w:szCs w:val="16"/>
              </w:rPr>
              <w:t>%</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20 520,6</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Pr>
                <w:rFonts w:asciiTheme="minorHAnsi" w:hAnsiTheme="minorHAnsi" w:cstheme="minorHAnsi"/>
                <w:i/>
                <w:iCs/>
                <w:color w:val="000000"/>
                <w:sz w:val="16"/>
                <w:szCs w:val="16"/>
              </w:rPr>
              <w:t>100</w:t>
            </w:r>
            <w:r w:rsidRPr="00C92486">
              <w:rPr>
                <w:rFonts w:asciiTheme="minorHAnsi" w:hAnsiTheme="minorHAnsi" w:cstheme="minorHAnsi"/>
                <w:i/>
                <w:iCs/>
                <w:color w:val="000000"/>
                <w:sz w:val="16"/>
                <w:szCs w:val="16"/>
              </w:rPr>
              <w:t>%</w:t>
            </w:r>
          </w:p>
        </w:tc>
        <w:tc>
          <w:tcPr>
            <w:tcW w:w="992"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33 299,8</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Pr>
                <w:rFonts w:asciiTheme="minorHAnsi" w:hAnsiTheme="minorHAnsi" w:cstheme="minorHAnsi"/>
                <w:i/>
                <w:iCs/>
                <w:color w:val="000000"/>
                <w:sz w:val="16"/>
                <w:szCs w:val="16"/>
              </w:rPr>
              <w:t>100</w:t>
            </w:r>
            <w:r w:rsidRPr="00C92486">
              <w:rPr>
                <w:rFonts w:asciiTheme="minorHAnsi" w:hAnsiTheme="minorHAnsi" w:cstheme="minorHAnsi"/>
                <w:i/>
                <w:iCs/>
                <w:color w:val="000000"/>
                <w:sz w:val="16"/>
                <w:szCs w:val="16"/>
              </w:rPr>
              <w:t>%</w:t>
            </w:r>
          </w:p>
        </w:tc>
      </w:tr>
      <w:tr w:rsidR="00F159FA" w:rsidRPr="004F40DD" w:rsidTr="00F159FA">
        <w:trPr>
          <w:trHeight w:val="244"/>
        </w:trPr>
        <w:tc>
          <w:tcPr>
            <w:tcW w:w="2551" w:type="dxa"/>
            <w:shd w:val="clear" w:color="000000" w:fill="BDD7EE"/>
            <w:noWrap/>
            <w:vAlign w:val="bottom"/>
            <w:hideMark/>
          </w:tcPr>
          <w:p w:rsidR="00F159FA" w:rsidRPr="004F40DD" w:rsidRDefault="00F159FA" w:rsidP="00F159FA">
            <w:pPr>
              <w:ind w:left="133"/>
              <w:rPr>
                <w:rFonts w:cs="Calibri"/>
                <w:b/>
                <w:bCs/>
                <w:color w:val="000000"/>
                <w:sz w:val="18"/>
                <w:szCs w:val="18"/>
              </w:rPr>
            </w:pPr>
            <w:r w:rsidRPr="004F40DD">
              <w:rPr>
                <w:rFonts w:cs="Calibri"/>
                <w:b/>
                <w:bCs/>
                <w:color w:val="000000"/>
                <w:sz w:val="18"/>
                <w:szCs w:val="18"/>
              </w:rPr>
              <w:t>CIS countries</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3 782,8</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5 957,4</w:t>
            </w:r>
          </w:p>
        </w:tc>
        <w:tc>
          <w:tcPr>
            <w:tcW w:w="996"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9 740,2</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4 356,2</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31,9%</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7 402,3</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33%</w:t>
            </w:r>
          </w:p>
        </w:tc>
        <w:tc>
          <w:tcPr>
            <w:tcW w:w="992"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11 758,5</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32,5%</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3 193,9</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25,0%</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7 512,5</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36,6%</w:t>
            </w:r>
          </w:p>
        </w:tc>
        <w:tc>
          <w:tcPr>
            <w:tcW w:w="992"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10 706,4</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32,2%</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RUSSIA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1 852,3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3 416,3</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5 268,6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2 030,7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14,9%</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4 159,8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18%</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6 190,5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17,1%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1 166,6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9,1%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4 341,1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21,2%</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5 507,8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16,5%</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KAZAKHSTAN</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1 346,3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1 639,6</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2 985,9</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1 233,9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9,0%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2 105,7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9%</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3 339,5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9,2%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729,3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5,7%</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2 127,0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10,4%</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2 856,3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8,6%</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KYRGYZSTAN</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253,0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150,9</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403,9</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636,0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4,7%</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140,2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776,3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708,2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5,5%</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170,4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0,8%</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878,6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2,6%</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UKRAINE</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84,3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321,8</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406,1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109,5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0,8%</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277,8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387,3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0,9%</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305,9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1,5%</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425,9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1,3%</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TURKMENISTAN</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38,8</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228,7</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267,5</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56,1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377,2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433,3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76,0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266,4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1,3%</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342,4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 xml:space="preserve">TAJIKISTAN </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136,6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55,1</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191,7</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194,7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121,7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316,4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0,9%</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299,0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61,6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360,6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1,1%</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BELARUS</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38,9</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126,3</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165,2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45,0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190,8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235,8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0,7%</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39,3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209,6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248,9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0,7%</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AZERBAIJAN</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16,3</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46,4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47,5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25,7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73,3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51,2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27,7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78,9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ARMENIA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2,5</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2,4</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4,9</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7,0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000000" w:fill="BDD7EE"/>
            <w:noWrap/>
            <w:vAlign w:val="bottom"/>
            <w:hideMark/>
          </w:tcPr>
          <w:p w:rsidR="00F159FA" w:rsidRPr="004F40DD" w:rsidRDefault="00F159FA" w:rsidP="00F159FA">
            <w:pPr>
              <w:ind w:left="133"/>
              <w:rPr>
                <w:rFonts w:cs="Calibri"/>
                <w:b/>
                <w:bCs/>
                <w:color w:val="000000"/>
                <w:sz w:val="18"/>
                <w:szCs w:val="18"/>
              </w:rPr>
            </w:pPr>
            <w:r w:rsidRPr="004F40DD">
              <w:rPr>
                <w:rFonts w:cs="Calibri"/>
                <w:b/>
                <w:bCs/>
                <w:color w:val="000000"/>
                <w:sz w:val="18"/>
                <w:szCs w:val="18"/>
              </w:rPr>
              <w:t>ASIA</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3 195,8</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7 590,5</w:t>
            </w:r>
          </w:p>
        </w:tc>
        <w:tc>
          <w:tcPr>
            <w:tcW w:w="996"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10 786,3</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2 726,8</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20,0%</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9 169,3</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40,8%</w:t>
            </w:r>
          </w:p>
        </w:tc>
        <w:tc>
          <w:tcPr>
            <w:tcW w:w="992"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11 896,1</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32,9%</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2 304,2</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18,0%</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7 514,6</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36,6%</w:t>
            </w:r>
          </w:p>
        </w:tc>
        <w:tc>
          <w:tcPr>
            <w:tcW w:w="992"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9 818,8</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29,5%</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CHINA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2 341,1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3 762,7</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6 103,8</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1 829,2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13,4%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5 017,7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22,3%</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6 846,9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18,9%</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1 341,9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10,5%</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4 369,7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21,3%</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5 711,6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17,2%</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REPUBLIC OF KOREA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22,0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2 113,4</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2 135,5</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23,1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2 725,8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12,1%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2 748,8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7,6%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23,0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1 846,8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9,0%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1 869,8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5,6%</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INDIA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8,7</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244,5</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253,2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305,2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1,4%</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315,6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0,9%</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130,9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412,0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542,8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1,6%</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 xml:space="preserve">AFGHANISTAN </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457,9</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1,5</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459,4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430,7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3,2%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433,3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444,1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3,5%</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445,2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1,3%</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IRAN</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166,6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130,8</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297,5</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217,7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253,3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471,0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137,9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114,1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0,6%</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252,0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0,8%</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JAPAN</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0,9</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839,1</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840,0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232,5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234,4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188,3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0,9%</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191,5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0,6%</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UNITED ARAB EMIRATES</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18,8</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230,5</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249,3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17,7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314,9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1,4%</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332,6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0,9%</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16,9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261,1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1,3%</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278,0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0,8%</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THAILAND</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12,1</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12,7</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104,4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0,5%</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104,6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PAKISTAN</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29,8</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65,1</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94,9</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96,0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0,7%</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26,2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122,2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97,5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0,8%</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30,8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128,3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0,4%</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MALAYSIA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61,9</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66,9</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97,8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0,4%</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101,5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55,1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57,9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VIETNAM</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29,0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22,6</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51,7</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15,0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51,0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65,9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33,9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46,6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BANGLADESH</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38,7</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15,0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53,6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23,5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15,1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38,6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25,6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13,8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39,4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INDONESIA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38,6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8,1</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46,7</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20,7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16,5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37,3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20,3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13,3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33,6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SINGAPORE</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11,9</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13,1</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25,0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44,7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46,3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7,9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23,9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31,8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ISRAEL</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31,3</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33,8</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24,0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26,4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31,9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IRAQ</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13,6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13,6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20,8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21,2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18,7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19,7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TAIWAN</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15,3</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17,6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16,2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16,9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9,2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SAUDI ARABIA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18,9</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20,5</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PHILIPPINES</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lastRenderedPageBreak/>
              <w:t>MONGOLIA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1,8</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3,2</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JORDAN</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KUWAIT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SYRIA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PALESTINE</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MYANMA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QATAR</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0,5</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0,5</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9,9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LEBANON</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YEMEN</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OMAN</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8C30D9" w:rsidRDefault="00F159FA" w:rsidP="00F159FA">
            <w:pPr>
              <w:jc w:val="right"/>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w:t>
            </w:r>
          </w:p>
        </w:tc>
      </w:tr>
      <w:tr w:rsidR="00F159FA" w:rsidRPr="004F40DD" w:rsidTr="00F159FA">
        <w:trPr>
          <w:trHeight w:val="244"/>
        </w:trPr>
        <w:tc>
          <w:tcPr>
            <w:tcW w:w="2551" w:type="dxa"/>
            <w:shd w:val="clear" w:color="000000" w:fill="BDD7EE"/>
            <w:noWrap/>
            <w:vAlign w:val="bottom"/>
            <w:hideMark/>
          </w:tcPr>
          <w:p w:rsidR="00F159FA" w:rsidRPr="004F40DD" w:rsidRDefault="00F159FA" w:rsidP="00F159FA">
            <w:pPr>
              <w:ind w:left="133"/>
              <w:rPr>
                <w:rFonts w:cs="Calibri"/>
                <w:b/>
                <w:bCs/>
                <w:color w:val="000000"/>
                <w:sz w:val="18"/>
                <w:szCs w:val="18"/>
              </w:rPr>
            </w:pPr>
            <w:r w:rsidRPr="004F40DD">
              <w:rPr>
                <w:rFonts w:cs="Calibri"/>
                <w:b/>
                <w:bCs/>
                <w:color w:val="000000"/>
                <w:sz w:val="18"/>
                <w:szCs w:val="18"/>
              </w:rPr>
              <w:t>EUROPE</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4 093,3</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4 790,7</w:t>
            </w:r>
          </w:p>
        </w:tc>
        <w:tc>
          <w:tcPr>
            <w:tcW w:w="996"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8 884,0</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6 549,9</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47,9%</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5 083,2</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22,6%</w:t>
            </w:r>
          </w:p>
        </w:tc>
        <w:tc>
          <w:tcPr>
            <w:tcW w:w="992"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11 633,2</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32,2%</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7 104,7</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55,6%</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5 014,1</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24,4%</w:t>
            </w:r>
          </w:p>
        </w:tc>
        <w:tc>
          <w:tcPr>
            <w:tcW w:w="992"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12 118,8</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36,4%</w:t>
            </w:r>
          </w:p>
        </w:tc>
      </w:tr>
      <w:tr w:rsidR="00F159FA" w:rsidRPr="004F40DD" w:rsidTr="00F159FA">
        <w:trPr>
          <w:trHeight w:val="244"/>
        </w:trPr>
        <w:tc>
          <w:tcPr>
            <w:tcW w:w="2551" w:type="dxa"/>
            <w:shd w:val="clear" w:color="000000" w:fill="BDD7EE"/>
            <w:noWrap/>
            <w:vAlign w:val="bottom"/>
            <w:hideMark/>
          </w:tcPr>
          <w:p w:rsidR="00F159FA" w:rsidRPr="004F40DD" w:rsidRDefault="00F159FA" w:rsidP="00F159FA">
            <w:pPr>
              <w:ind w:left="133"/>
              <w:rPr>
                <w:rFonts w:cs="Calibri"/>
                <w:b/>
                <w:bCs/>
                <w:color w:val="000000"/>
                <w:sz w:val="18"/>
                <w:szCs w:val="18"/>
              </w:rPr>
            </w:pPr>
            <w:r w:rsidRPr="004F40DD">
              <w:rPr>
                <w:rFonts w:cs="Calibri"/>
                <w:b/>
                <w:bCs/>
                <w:color w:val="000000"/>
                <w:sz w:val="18"/>
                <w:szCs w:val="18"/>
              </w:rPr>
              <w:t>Eurozone</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332,4</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3 353,1</w:t>
            </w:r>
          </w:p>
        </w:tc>
        <w:tc>
          <w:tcPr>
            <w:tcW w:w="996"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3 685,5</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375,3</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2,7%</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3 438,2</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15,3%</w:t>
            </w:r>
          </w:p>
        </w:tc>
        <w:tc>
          <w:tcPr>
            <w:tcW w:w="992"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3 813,5</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10,5%</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270,4</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2,1%</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3 649,3</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17,8%</w:t>
            </w:r>
          </w:p>
        </w:tc>
        <w:tc>
          <w:tcPr>
            <w:tcW w:w="992"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3 919,7</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11,8%</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GERMANY</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22,0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852,2</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874,2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27,7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815,6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3,6%</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843,3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23,4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692,5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3,4%</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716,0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2,2%</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CZECH REPUBLIC</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4,8</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86,7</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91,4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175,7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0,8%</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179,7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0,5%</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498,1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2,4%</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501,3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1,5%</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LITHUANIA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14,3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781,2</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795,6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25,0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677,9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3,0%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703,0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1,9%</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31,6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640,2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3,1%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671,8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LATVIA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36,1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461,1</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497,2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33,7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348,8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1,6%</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382,5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32,2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375,0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1,8%</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407,2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1,2%</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ITALY</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12,9</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328,1</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341,0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27,7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355,2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1,6%</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382,9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13,8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249,2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1,2%</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263,0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0,8%</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NETHERLANDS</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129,9</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140,0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14,7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151,5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0,7%</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166,2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0,5%</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19,3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222,3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241,6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0,7%</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FRANCE</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164,1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103,1</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267,2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179,9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123,2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0,5%</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303,1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0,8%</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73,3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138,9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0,7%</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212,2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0,6%</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POLAND</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36,7</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117,5</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154,2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40,3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144,0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0,6%</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184,3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0,5%</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54,8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139,5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0,7%</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194,3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0,6%</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ESTONIA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16,2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43,4</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59,6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83,2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0,4%</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87,0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106,5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0,5%</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110,4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HUNGARY</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46,1</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46,5</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67,0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67,4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114,5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0,6%</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114,8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AUSTRIA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101,4</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101,7</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125,3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0,6%</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125,9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103,5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0,5%</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104,5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SLOVENIA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32,5</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32,6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43,1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43,2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56,9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57,0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BELGIUM</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81,0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85,6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85,3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0,4%</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89,2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47,5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50,9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FINLAND</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29,4</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29,4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41,7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41,7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47,3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47,4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IRELAND</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24,2</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24,2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25,3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25,3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38,3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38,3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DENMARK</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14,9</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14,9</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57,5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57,5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32,8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32,8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SPAIN</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51,3</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52,4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35,2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36,3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39,5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40,6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BULGARIA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16,7</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20,4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25,4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35,6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37,4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SWEDEN</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9,8</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9,8</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7,7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7,8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23,7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23,9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ROMANIA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1,5</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23,3</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24,8</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22,2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23,5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13,2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15,2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CYPRUS</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SLOVAKIA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8,9</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9,3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7,5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9,9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9,9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LUXEMBOURG</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4,4</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lastRenderedPageBreak/>
              <w:t>PORTUGAL</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1,9</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GREECE</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3,2</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MALTE</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0,5</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0,5</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CROATIA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0,3</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0,5</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000000" w:fill="BDD7EE"/>
            <w:noWrap/>
            <w:vAlign w:val="bottom"/>
            <w:hideMark/>
          </w:tcPr>
          <w:p w:rsidR="00F159FA" w:rsidRPr="004F40DD" w:rsidRDefault="00F159FA" w:rsidP="00F159FA">
            <w:pPr>
              <w:ind w:left="133"/>
              <w:rPr>
                <w:rFonts w:cs="Calibri"/>
                <w:b/>
                <w:bCs/>
                <w:color w:val="000000"/>
                <w:sz w:val="18"/>
                <w:szCs w:val="18"/>
              </w:rPr>
            </w:pPr>
            <w:r w:rsidRPr="004F40DD">
              <w:rPr>
                <w:rFonts w:cs="Calibri"/>
                <w:b/>
                <w:bCs/>
                <w:color w:val="000000"/>
                <w:sz w:val="18"/>
                <w:szCs w:val="18"/>
              </w:rPr>
              <w:t>COUNTRIES OUTSIDE</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3 760,9</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1 437,6</w:t>
            </w:r>
          </w:p>
        </w:tc>
        <w:tc>
          <w:tcPr>
            <w:tcW w:w="996"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5 198,5</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6 174,6</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45,2%</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1 645,1</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7,3%</w:t>
            </w:r>
          </w:p>
        </w:tc>
        <w:tc>
          <w:tcPr>
            <w:tcW w:w="992"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7 819,7</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21,6%</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6 834,3</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53,5%</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1 364,8</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6,7%</w:t>
            </w:r>
          </w:p>
        </w:tc>
        <w:tc>
          <w:tcPr>
            <w:tcW w:w="992"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8 199,1</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24,6%</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 xml:space="preserve">UNITED KINGDOM </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41,9</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49,9</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2 344,3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17,2%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45,9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2 390,3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6,6%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5 807,8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45,4%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21,0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5 828,8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17,5%</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TURKEY</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797,8</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1 122,7</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1 920,5</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1 087,0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8,0%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1 322,7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5,9%</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2 409,7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6,7%</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989,5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7,7%</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1 147,2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5,6%</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2 136,7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6,4%</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GEORGIA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9,1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95,0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104,1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17,6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106,7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0,5%</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124,2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19,9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86,6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0,4%</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106,5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SWITZERLAND</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2 940,6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162,2</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3 102,8</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2 718,5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19,9%</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158,4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0,7%</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2 877,0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8,0%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100,9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0,5%</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106,8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REPUBLIC OF MOLDOVA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3,2</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7,8</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SERBIA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10,8</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7,1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NORWAY</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1,4</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BOSNIA AND HERZEGOVINA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0,7</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0,7</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LIECHTENSTEIN</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0,3</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ALBANIA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SAN MARINO</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MONTENEGRO</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MONACO</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000000" w:fill="BDD7EE"/>
            <w:noWrap/>
            <w:vAlign w:val="bottom"/>
            <w:hideMark/>
          </w:tcPr>
          <w:p w:rsidR="00F159FA" w:rsidRPr="004F40DD" w:rsidRDefault="00F159FA" w:rsidP="00F159FA">
            <w:pPr>
              <w:ind w:left="133"/>
              <w:rPr>
                <w:rFonts w:cs="Calibri"/>
                <w:b/>
                <w:bCs/>
                <w:color w:val="000000"/>
                <w:sz w:val="18"/>
                <w:szCs w:val="18"/>
              </w:rPr>
            </w:pPr>
            <w:r w:rsidRPr="004F40DD">
              <w:rPr>
                <w:rFonts w:cs="Calibri"/>
                <w:b/>
                <w:bCs/>
                <w:color w:val="000000"/>
                <w:sz w:val="18"/>
                <w:szCs w:val="18"/>
              </w:rPr>
              <w:t>OTHER COUNTRIES</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24,2</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563,1</w:t>
            </w:r>
          </w:p>
        </w:tc>
        <w:tc>
          <w:tcPr>
            <w:tcW w:w="996"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587,4</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34,4</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834,4</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3,7%</w:t>
            </w:r>
          </w:p>
        </w:tc>
        <w:tc>
          <w:tcPr>
            <w:tcW w:w="992"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868,9</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2,4%</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176,4</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1,4%</w:t>
            </w:r>
          </w:p>
        </w:tc>
        <w:tc>
          <w:tcPr>
            <w:tcW w:w="850"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479,5</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2,3%</w:t>
            </w:r>
          </w:p>
        </w:tc>
        <w:tc>
          <w:tcPr>
            <w:tcW w:w="992" w:type="dxa"/>
            <w:shd w:val="clear" w:color="000000" w:fill="BDD7EE"/>
            <w:noWrap/>
            <w:vAlign w:val="center"/>
          </w:tcPr>
          <w:p w:rsidR="00F159FA" w:rsidRPr="00C92486" w:rsidRDefault="00F159FA" w:rsidP="00F159FA">
            <w:pPr>
              <w:jc w:val="right"/>
              <w:rPr>
                <w:rFonts w:asciiTheme="minorHAnsi" w:hAnsiTheme="minorHAnsi" w:cstheme="minorHAnsi"/>
                <w:b/>
                <w:bCs/>
                <w:color w:val="000000"/>
                <w:sz w:val="16"/>
                <w:szCs w:val="16"/>
              </w:rPr>
            </w:pPr>
            <w:r w:rsidRPr="00C92486">
              <w:rPr>
                <w:rFonts w:asciiTheme="minorHAnsi" w:hAnsiTheme="minorHAnsi" w:cstheme="minorHAnsi"/>
                <w:b/>
                <w:bCs/>
                <w:color w:val="000000"/>
                <w:sz w:val="16"/>
                <w:szCs w:val="16"/>
              </w:rPr>
              <w:t>655,9</w:t>
            </w:r>
          </w:p>
        </w:tc>
        <w:tc>
          <w:tcPr>
            <w:tcW w:w="737" w:type="dxa"/>
            <w:shd w:val="clear" w:color="000000" w:fill="BDD7EE"/>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USA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8,8</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441,5</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450,3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474,2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2,1%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482,7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274,0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1,3%</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284,1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0,9%</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CANADA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137,1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1,1%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148,5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0,4%</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HONG KONG</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4,7</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39,6</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44,2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68,7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70,3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66,8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68,6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BRAZIL</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40,6</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40,6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121,7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0,5%</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122,6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67,5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69,4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0,2%</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EGYPT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3,5</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8,4</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8,6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21,2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19,0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20,8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ECUADOR</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12,7</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12,7</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27,2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27,2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22,6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22,6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AUSTRALIA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0,3</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0,1%</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MEXICO</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3,6</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96,7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0,4%</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96,7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SOUTH AFRICA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3,8</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3,8</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KENYA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2,6</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5,5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NEW ZEALAND</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MOROCCO</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1,7</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1,7</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ARGENTINA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3,6</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3,6</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SRI LANKA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0,7</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PERU</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MALI</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lastRenderedPageBreak/>
              <w:t>MACEDONIA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GUATEMALA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LIBYA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ANGUILLA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3,6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0,6</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4,2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ALGERIA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TUNISIA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1,3</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1,4</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0,8</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NIGERIA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CHILE</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0,2</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HONDURAS</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COTE D'IVOIRE</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COLOMBIA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COSTA-RICA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CUBA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10,9</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F159FA"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lang w:val="en-US"/>
              </w:rPr>
            </w:pPr>
            <w:r w:rsidRPr="004F40DD">
              <w:rPr>
                <w:rFonts w:cs="Calibri"/>
                <w:color w:val="000000"/>
                <w:sz w:val="18"/>
                <w:szCs w:val="18"/>
                <w:lang w:val="en-US"/>
              </w:rPr>
              <w:t>BRITAN.TER.IN IND OCEAN</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ICELAND</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GHANA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CAMEROON</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2,8</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2,8</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DOMINICA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SENEGAL</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UGANDA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 xml:space="preserve"> MALDIVES </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 xml:space="preserve"> NEPAL </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 xml:space="preserve"> ETHIOPIA </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 xml:space="preserve"> SEYSHEL </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 xml:space="preserve"> PARAGUAY </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 xml:space="preserve"> GAYANA </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 xml:space="preserve"> LAOS </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0,3</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 xml:space="preserve"> MOZAMBIQUE </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0,7</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 xml:space="preserve"> ZIMBABWE </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0,4</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 xml:space="preserve"> PUERTO RICO </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 xml:space="preserve"> SURINAM </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 xml:space="preserve"> BERMUDA </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0,5</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r w:rsidR="00F159FA" w:rsidRPr="004F40DD" w:rsidTr="00F159FA">
        <w:trPr>
          <w:trHeight w:val="244"/>
        </w:trPr>
        <w:tc>
          <w:tcPr>
            <w:tcW w:w="2551" w:type="dxa"/>
            <w:shd w:val="clear" w:color="auto" w:fill="auto"/>
            <w:noWrap/>
            <w:vAlign w:val="bottom"/>
            <w:hideMark/>
          </w:tcPr>
          <w:p w:rsidR="00F159FA" w:rsidRPr="004F40DD" w:rsidRDefault="00F159FA" w:rsidP="00F159FA">
            <w:pPr>
              <w:ind w:left="275"/>
              <w:rPr>
                <w:rFonts w:cs="Calibri"/>
                <w:color w:val="000000"/>
                <w:sz w:val="18"/>
                <w:szCs w:val="18"/>
              </w:rPr>
            </w:pPr>
            <w:r w:rsidRPr="004F40DD">
              <w:rPr>
                <w:rFonts w:cs="Calibri"/>
                <w:color w:val="000000"/>
                <w:sz w:val="18"/>
                <w:szCs w:val="18"/>
              </w:rPr>
              <w:t>VENEZUELA</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996"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0,1</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850"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c>
          <w:tcPr>
            <w:tcW w:w="992" w:type="dxa"/>
            <w:shd w:val="clear" w:color="auto" w:fill="auto"/>
            <w:noWrap/>
            <w:vAlign w:val="center"/>
          </w:tcPr>
          <w:p w:rsidR="00F159FA" w:rsidRPr="00C92486" w:rsidRDefault="00F159FA" w:rsidP="00F159FA">
            <w:pPr>
              <w:jc w:val="right"/>
              <w:rPr>
                <w:rFonts w:asciiTheme="minorHAnsi" w:hAnsiTheme="minorHAnsi" w:cstheme="minorHAnsi"/>
                <w:color w:val="000000"/>
                <w:sz w:val="16"/>
                <w:szCs w:val="16"/>
              </w:rPr>
            </w:pPr>
            <w:r w:rsidRPr="00C92486">
              <w:rPr>
                <w:rFonts w:asciiTheme="minorHAnsi" w:hAnsiTheme="minorHAnsi" w:cstheme="minorHAnsi"/>
                <w:color w:val="000000"/>
                <w:sz w:val="16"/>
                <w:szCs w:val="16"/>
              </w:rPr>
              <w:t>-</w:t>
            </w:r>
          </w:p>
        </w:tc>
        <w:tc>
          <w:tcPr>
            <w:tcW w:w="737" w:type="dxa"/>
            <w:shd w:val="clear" w:color="auto" w:fill="auto"/>
            <w:noWrap/>
            <w:vAlign w:val="center"/>
          </w:tcPr>
          <w:p w:rsidR="00F159FA" w:rsidRPr="00C92486" w:rsidRDefault="00F159FA" w:rsidP="00F159FA">
            <w:pPr>
              <w:jc w:val="right"/>
              <w:rPr>
                <w:rFonts w:asciiTheme="minorHAnsi" w:hAnsiTheme="minorHAnsi" w:cstheme="minorHAnsi"/>
                <w:i/>
                <w:iCs/>
                <w:color w:val="000000"/>
                <w:sz w:val="16"/>
                <w:szCs w:val="16"/>
              </w:rPr>
            </w:pPr>
            <w:r w:rsidRPr="00C92486">
              <w:rPr>
                <w:rFonts w:asciiTheme="minorHAnsi" w:hAnsiTheme="minorHAnsi" w:cstheme="minorHAnsi"/>
                <w:i/>
                <w:iCs/>
                <w:color w:val="000000"/>
                <w:sz w:val="16"/>
                <w:szCs w:val="16"/>
              </w:rPr>
              <w:t>0,0%</w:t>
            </w:r>
          </w:p>
        </w:tc>
      </w:tr>
    </w:tbl>
    <w:p w:rsidR="00951B5C" w:rsidRPr="00F45A80" w:rsidRDefault="004F40DD" w:rsidP="0036584D">
      <w:pPr>
        <w:tabs>
          <w:tab w:val="left" w:pos="1428"/>
        </w:tabs>
        <w:contextualSpacing/>
        <w:rPr>
          <w:rFonts w:cs="Arial"/>
          <w:i/>
          <w:lang w:val="en-US"/>
        </w:rPr>
      </w:pPr>
      <w:r w:rsidRPr="00F45A80">
        <w:rPr>
          <w:i/>
          <w:iCs/>
          <w:color w:val="000000"/>
          <w:sz w:val="20"/>
          <w:szCs w:val="20"/>
          <w:lang w:val="en-US"/>
        </w:rPr>
        <w:t>*</w:t>
      </w:r>
      <w:r w:rsidRPr="00F45A80">
        <w:rPr>
          <w:rFonts w:cs="Calibri"/>
          <w:i/>
          <w:iCs/>
          <w:color w:val="000000"/>
          <w:sz w:val="20"/>
          <w:lang w:val="en-US"/>
        </w:rPr>
        <w:t xml:space="preserve"> without adjustments for C</w:t>
      </w:r>
      <w:r w:rsidR="005D5DBF" w:rsidRPr="00F45A80">
        <w:rPr>
          <w:rFonts w:cs="Calibri"/>
          <w:i/>
          <w:iCs/>
          <w:color w:val="000000"/>
          <w:sz w:val="20"/>
          <w:lang w:val="en-US"/>
        </w:rPr>
        <w:t>IP / FOB, shuttle export / import and goods purchased in ports</w:t>
      </w:r>
      <w:r w:rsidR="005D5DBF" w:rsidRPr="00F45A80">
        <w:rPr>
          <w:rFonts w:cs="Calibri"/>
          <w:i/>
          <w:sz w:val="16"/>
          <w:szCs w:val="20"/>
          <w:lang w:val="en-US"/>
        </w:rPr>
        <w:t xml:space="preserve"> </w:t>
      </w:r>
      <w:r w:rsidR="005D5DBF" w:rsidRPr="00F45A80">
        <w:rPr>
          <w:rFonts w:cs="Calibri"/>
          <w:i/>
          <w:sz w:val="14"/>
          <w:szCs w:val="18"/>
          <w:lang w:val="en-US"/>
        </w:rPr>
        <w:t xml:space="preserve"> </w:t>
      </w:r>
    </w:p>
    <w:p w:rsidR="008C3B97" w:rsidRPr="00F45A80" w:rsidRDefault="008C3B97" w:rsidP="008E63FA">
      <w:pPr>
        <w:shd w:val="clear" w:color="auto" w:fill="FFFF00"/>
        <w:jc w:val="right"/>
        <w:rPr>
          <w:rFonts w:cs="Arial"/>
          <w:lang w:val="en-US"/>
        </w:rPr>
        <w:sectPr w:rsidR="008C3B97" w:rsidRPr="00F45A80" w:rsidSect="00097A78">
          <w:pgSz w:w="16838" w:h="11906" w:orient="landscape"/>
          <w:pgMar w:top="1134" w:right="1134" w:bottom="707" w:left="1134" w:header="709" w:footer="709" w:gutter="0"/>
          <w:cols w:space="708"/>
          <w:docGrid w:linePitch="360"/>
        </w:sectPr>
      </w:pPr>
    </w:p>
    <w:p w:rsidR="009304D9" w:rsidRPr="00ED5572" w:rsidRDefault="009304D9" w:rsidP="00910239">
      <w:pPr>
        <w:jc w:val="right"/>
        <w:rPr>
          <w:i/>
          <w:sz w:val="22"/>
          <w:szCs w:val="22"/>
          <w:lang w:val="en-US"/>
        </w:rPr>
      </w:pPr>
      <w:r w:rsidRPr="00ED5572">
        <w:rPr>
          <w:i/>
          <w:sz w:val="22"/>
          <w:szCs w:val="22"/>
          <w:lang w:val="en-US"/>
        </w:rPr>
        <w:lastRenderedPageBreak/>
        <w:t xml:space="preserve">Addenda </w:t>
      </w:r>
      <w:r w:rsidR="00D410A3">
        <w:rPr>
          <w:i/>
          <w:sz w:val="22"/>
          <w:szCs w:val="22"/>
          <w:lang w:val="en-US"/>
        </w:rPr>
        <w:t>8</w:t>
      </w:r>
    </w:p>
    <w:p w:rsidR="009304D9" w:rsidRPr="00DA1443" w:rsidRDefault="009304D9" w:rsidP="00910239">
      <w:pPr>
        <w:pStyle w:val="1"/>
        <w:ind w:left="0"/>
        <w:jc w:val="center"/>
        <w:rPr>
          <w:rFonts w:ascii="Calibri" w:hAnsi="Calibri" w:cs="Calibri"/>
          <w:sz w:val="24"/>
          <w:szCs w:val="24"/>
          <w:lang w:val="en-US"/>
        </w:rPr>
      </w:pPr>
      <w:bookmarkStart w:id="30" w:name="_Toc67050808"/>
      <w:bookmarkStart w:id="31" w:name="_Toc19615962"/>
      <w:r w:rsidRPr="00D410A3">
        <w:rPr>
          <w:rFonts w:ascii="Calibri" w:hAnsi="Calibri" w:cs="Calibri"/>
          <w:sz w:val="24"/>
          <w:szCs w:val="24"/>
          <w:lang w:val="en-US"/>
        </w:rPr>
        <w:t xml:space="preserve">EXTENDED CLASSIFICATION OF BALANCE OF INTERNATIONAL SERVICES </w:t>
      </w:r>
      <w:r w:rsidR="00B7276D" w:rsidRPr="00D410A3">
        <w:rPr>
          <w:rFonts w:ascii="Calibri" w:hAnsi="Calibri" w:cs="Calibri"/>
          <w:sz w:val="24"/>
          <w:szCs w:val="24"/>
          <w:lang w:val="en-US"/>
        </w:rPr>
        <w:t xml:space="preserve">FOR </w:t>
      </w:r>
      <w:r w:rsidRPr="00D410A3">
        <w:rPr>
          <w:rFonts w:ascii="Calibri" w:hAnsi="Calibri" w:cs="Calibri"/>
          <w:sz w:val="24"/>
          <w:szCs w:val="24"/>
          <w:lang w:val="en-US"/>
        </w:rPr>
        <w:t>201</w:t>
      </w:r>
      <w:r w:rsidR="00C63156" w:rsidRPr="00D410A3">
        <w:rPr>
          <w:rFonts w:ascii="Calibri" w:hAnsi="Calibri" w:cs="Calibri"/>
          <w:sz w:val="24"/>
          <w:szCs w:val="24"/>
          <w:lang w:val="en-US"/>
        </w:rPr>
        <w:t>8</w:t>
      </w:r>
      <w:r w:rsidRPr="00D410A3">
        <w:rPr>
          <w:rFonts w:ascii="Calibri" w:hAnsi="Calibri" w:cs="Calibri"/>
          <w:sz w:val="24"/>
          <w:szCs w:val="24"/>
          <w:lang w:val="en-US"/>
        </w:rPr>
        <w:t xml:space="preserve"> </w:t>
      </w:r>
      <w:r w:rsidR="00B33C6E">
        <w:rPr>
          <w:rFonts w:ascii="Calibri" w:hAnsi="Calibri" w:cs="Calibri"/>
          <w:sz w:val="24"/>
          <w:szCs w:val="24"/>
          <w:lang w:val="en-US"/>
        </w:rPr>
        <w:t>AND</w:t>
      </w:r>
      <w:r w:rsidRPr="00D410A3">
        <w:rPr>
          <w:rFonts w:ascii="Calibri" w:hAnsi="Calibri" w:cs="Calibri"/>
          <w:sz w:val="24"/>
          <w:szCs w:val="24"/>
          <w:lang w:val="en-US"/>
        </w:rPr>
        <w:t xml:space="preserve"> 20</w:t>
      </w:r>
      <w:r w:rsidR="0002404D" w:rsidRPr="00D410A3">
        <w:rPr>
          <w:rFonts w:ascii="Calibri" w:hAnsi="Calibri" w:cs="Calibri"/>
          <w:sz w:val="24"/>
          <w:szCs w:val="24"/>
          <w:lang w:val="en-US"/>
        </w:rPr>
        <w:t>20</w:t>
      </w:r>
      <w:bookmarkEnd w:id="30"/>
    </w:p>
    <w:bookmarkEnd w:id="31"/>
    <w:p w:rsidR="009304D9" w:rsidRPr="00DA1443" w:rsidRDefault="009304D9" w:rsidP="00381008">
      <w:pPr>
        <w:tabs>
          <w:tab w:val="left" w:pos="1428"/>
        </w:tabs>
        <w:ind w:right="-31"/>
        <w:jc w:val="right"/>
        <w:rPr>
          <w:i/>
          <w:sz w:val="20"/>
          <w:szCs w:val="20"/>
          <w:lang w:val="en-US"/>
        </w:rPr>
      </w:pPr>
      <w:r w:rsidRPr="00DA1443">
        <w:rPr>
          <w:i/>
          <w:sz w:val="20"/>
          <w:szCs w:val="20"/>
          <w:lang w:val="en-US"/>
        </w:rPr>
        <w:t>(mln. USD)</w:t>
      </w:r>
    </w:p>
    <w:tbl>
      <w:tblPr>
        <w:tblW w:w="15310" w:type="dxa"/>
        <w:tblInd w:w="-289" w:type="dxa"/>
        <w:tblLook w:val="04A0" w:firstRow="1" w:lastRow="0" w:firstColumn="1" w:lastColumn="0" w:noHBand="0" w:noVBand="1"/>
      </w:tblPr>
      <w:tblGrid>
        <w:gridCol w:w="4253"/>
        <w:gridCol w:w="993"/>
        <w:gridCol w:w="850"/>
        <w:gridCol w:w="1134"/>
        <w:gridCol w:w="992"/>
        <w:gridCol w:w="993"/>
        <w:gridCol w:w="992"/>
        <w:gridCol w:w="992"/>
        <w:gridCol w:w="992"/>
        <w:gridCol w:w="993"/>
        <w:gridCol w:w="1134"/>
        <w:gridCol w:w="992"/>
      </w:tblGrid>
      <w:tr w:rsidR="00705CFC" w:rsidRPr="00705CFC" w:rsidTr="00B911C9">
        <w:trPr>
          <w:trHeight w:val="360"/>
          <w:tblHeader/>
        </w:trPr>
        <w:tc>
          <w:tcPr>
            <w:tcW w:w="4253" w:type="dxa"/>
            <w:vMerge w:val="restart"/>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rsidR="00705CFC" w:rsidRPr="00705CFC" w:rsidRDefault="00705CFC" w:rsidP="00705CFC">
            <w:pPr>
              <w:jc w:val="center"/>
              <w:rPr>
                <w:rFonts w:cs="Calibri"/>
                <w:color w:val="000000"/>
                <w:sz w:val="18"/>
                <w:szCs w:val="18"/>
              </w:rPr>
            </w:pPr>
            <w:r w:rsidRPr="00705CFC">
              <w:rPr>
                <w:rFonts w:cs="Calibri"/>
                <w:color w:val="000000"/>
                <w:sz w:val="18"/>
                <w:szCs w:val="18"/>
              </w:rPr>
              <w:t> </w:t>
            </w:r>
          </w:p>
        </w:tc>
        <w:tc>
          <w:tcPr>
            <w:tcW w:w="993" w:type="dxa"/>
            <w:vMerge w:val="restart"/>
            <w:tcBorders>
              <w:top w:val="single" w:sz="4" w:space="0" w:color="5B9BD5"/>
              <w:left w:val="single" w:sz="4" w:space="0" w:color="5B9BD5"/>
              <w:bottom w:val="single" w:sz="4" w:space="0" w:color="5B9BD5"/>
              <w:right w:val="single" w:sz="4" w:space="0" w:color="5B9BD5"/>
            </w:tcBorders>
            <w:shd w:val="clear" w:color="auto" w:fill="auto"/>
            <w:vAlign w:val="center"/>
            <w:hideMark/>
          </w:tcPr>
          <w:p w:rsidR="00705CFC" w:rsidRPr="00D410A3" w:rsidRDefault="00705CFC" w:rsidP="00B060F7">
            <w:pPr>
              <w:jc w:val="center"/>
              <w:rPr>
                <w:rFonts w:cs="Calibri"/>
                <w:b/>
                <w:color w:val="000000"/>
                <w:sz w:val="22"/>
                <w:szCs w:val="22"/>
              </w:rPr>
            </w:pPr>
            <w:r w:rsidRPr="00D410A3">
              <w:rPr>
                <w:rFonts w:cs="Calibri"/>
                <w:b/>
                <w:color w:val="000000"/>
                <w:sz w:val="22"/>
                <w:szCs w:val="22"/>
              </w:rPr>
              <w:t>2018</w:t>
            </w:r>
          </w:p>
        </w:tc>
        <w:tc>
          <w:tcPr>
            <w:tcW w:w="850" w:type="dxa"/>
            <w:vMerge w:val="restart"/>
            <w:tcBorders>
              <w:top w:val="single" w:sz="4" w:space="0" w:color="5B9BD5"/>
              <w:left w:val="single" w:sz="4" w:space="0" w:color="5B9BD5"/>
              <w:bottom w:val="single" w:sz="4" w:space="0" w:color="5B9BD5"/>
              <w:right w:val="single" w:sz="4" w:space="0" w:color="5B9BD5"/>
            </w:tcBorders>
            <w:shd w:val="clear" w:color="auto" w:fill="auto"/>
            <w:vAlign w:val="center"/>
            <w:hideMark/>
          </w:tcPr>
          <w:p w:rsidR="00705CFC" w:rsidRPr="00D410A3" w:rsidRDefault="00705CFC" w:rsidP="00B060F7">
            <w:pPr>
              <w:jc w:val="center"/>
              <w:rPr>
                <w:rFonts w:cs="Calibri"/>
                <w:b/>
                <w:color w:val="000000"/>
                <w:sz w:val="22"/>
                <w:szCs w:val="22"/>
              </w:rPr>
            </w:pPr>
            <w:r w:rsidRPr="00D410A3">
              <w:rPr>
                <w:rFonts w:cs="Calibri"/>
                <w:b/>
                <w:color w:val="000000"/>
                <w:sz w:val="22"/>
                <w:szCs w:val="22"/>
              </w:rPr>
              <w:t>2019</w:t>
            </w:r>
          </w:p>
        </w:tc>
        <w:tc>
          <w:tcPr>
            <w:tcW w:w="4111" w:type="dxa"/>
            <w:gridSpan w:val="4"/>
            <w:tcBorders>
              <w:top w:val="single" w:sz="4" w:space="0" w:color="5B9BD5"/>
              <w:left w:val="nil"/>
              <w:bottom w:val="single" w:sz="4" w:space="0" w:color="5B9BD5"/>
              <w:right w:val="single" w:sz="4" w:space="0" w:color="5B9BD5"/>
            </w:tcBorders>
            <w:shd w:val="clear" w:color="auto" w:fill="auto"/>
            <w:noWrap/>
            <w:vAlign w:val="center"/>
            <w:hideMark/>
          </w:tcPr>
          <w:p w:rsidR="00705CFC" w:rsidRPr="00D410A3" w:rsidRDefault="00705CFC" w:rsidP="00B060F7">
            <w:pPr>
              <w:jc w:val="center"/>
              <w:rPr>
                <w:rFonts w:cs="Calibri"/>
                <w:b/>
                <w:color w:val="000000"/>
                <w:sz w:val="22"/>
                <w:szCs w:val="22"/>
              </w:rPr>
            </w:pPr>
            <w:r w:rsidRPr="00D410A3">
              <w:rPr>
                <w:rFonts w:cs="Calibri"/>
                <w:b/>
                <w:color w:val="000000"/>
                <w:sz w:val="22"/>
                <w:szCs w:val="22"/>
              </w:rPr>
              <w:t>2019</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auto"/>
            <w:vAlign w:val="center"/>
            <w:hideMark/>
          </w:tcPr>
          <w:p w:rsidR="00705CFC" w:rsidRPr="00D410A3" w:rsidRDefault="00705CFC" w:rsidP="00B060F7">
            <w:pPr>
              <w:jc w:val="center"/>
              <w:rPr>
                <w:rFonts w:cs="Calibri"/>
                <w:b/>
                <w:color w:val="000000"/>
                <w:sz w:val="22"/>
                <w:szCs w:val="22"/>
              </w:rPr>
            </w:pPr>
            <w:r w:rsidRPr="00D410A3">
              <w:rPr>
                <w:rFonts w:cs="Calibri"/>
                <w:b/>
                <w:color w:val="000000"/>
                <w:sz w:val="22"/>
                <w:szCs w:val="22"/>
              </w:rPr>
              <w:t>2020</w:t>
            </w:r>
          </w:p>
        </w:tc>
        <w:tc>
          <w:tcPr>
            <w:tcW w:w="4111" w:type="dxa"/>
            <w:gridSpan w:val="4"/>
            <w:tcBorders>
              <w:top w:val="single" w:sz="4" w:space="0" w:color="5B9BD5"/>
              <w:left w:val="nil"/>
              <w:bottom w:val="single" w:sz="4" w:space="0" w:color="5B9BD5"/>
              <w:right w:val="single" w:sz="4" w:space="0" w:color="5B9BD5"/>
            </w:tcBorders>
            <w:shd w:val="clear" w:color="auto" w:fill="auto"/>
            <w:noWrap/>
            <w:vAlign w:val="center"/>
            <w:hideMark/>
          </w:tcPr>
          <w:p w:rsidR="00705CFC" w:rsidRPr="00D410A3" w:rsidRDefault="00705CFC" w:rsidP="00B060F7">
            <w:pPr>
              <w:jc w:val="center"/>
              <w:rPr>
                <w:rFonts w:cs="Calibri"/>
                <w:b/>
                <w:color w:val="000000"/>
                <w:sz w:val="22"/>
                <w:szCs w:val="22"/>
              </w:rPr>
            </w:pPr>
            <w:r w:rsidRPr="00D410A3">
              <w:rPr>
                <w:rFonts w:cs="Calibri"/>
                <w:b/>
                <w:color w:val="000000"/>
                <w:sz w:val="22"/>
                <w:szCs w:val="22"/>
              </w:rPr>
              <w:t>2020</w:t>
            </w:r>
          </w:p>
        </w:tc>
      </w:tr>
      <w:tr w:rsidR="00D410A3" w:rsidRPr="00705CFC" w:rsidTr="00D410A3">
        <w:trPr>
          <w:trHeight w:val="317"/>
          <w:tblHeader/>
        </w:trPr>
        <w:tc>
          <w:tcPr>
            <w:tcW w:w="4253" w:type="dxa"/>
            <w:vMerge/>
            <w:tcBorders>
              <w:top w:val="single" w:sz="4" w:space="0" w:color="5B9BD5"/>
              <w:left w:val="single" w:sz="4" w:space="0" w:color="5B9BD5"/>
              <w:bottom w:val="single" w:sz="4" w:space="0" w:color="5B9BD5"/>
              <w:right w:val="single" w:sz="4" w:space="0" w:color="5B9BD5"/>
            </w:tcBorders>
            <w:vAlign w:val="center"/>
            <w:hideMark/>
          </w:tcPr>
          <w:p w:rsidR="00D410A3" w:rsidRPr="00705CFC" w:rsidRDefault="00D410A3" w:rsidP="00D410A3">
            <w:pPr>
              <w:rPr>
                <w:rFonts w:cs="Calibri"/>
                <w:color w:val="000000"/>
                <w:sz w:val="18"/>
                <w:szCs w:val="18"/>
              </w:rPr>
            </w:pPr>
          </w:p>
        </w:tc>
        <w:tc>
          <w:tcPr>
            <w:tcW w:w="993" w:type="dxa"/>
            <w:vMerge/>
            <w:tcBorders>
              <w:top w:val="single" w:sz="4" w:space="0" w:color="5B9BD5"/>
              <w:left w:val="single" w:sz="4" w:space="0" w:color="5B9BD5"/>
              <w:bottom w:val="single" w:sz="4" w:space="0" w:color="5B9BD5"/>
              <w:right w:val="single" w:sz="4" w:space="0" w:color="5B9BD5"/>
            </w:tcBorders>
            <w:vAlign w:val="center"/>
            <w:hideMark/>
          </w:tcPr>
          <w:p w:rsidR="00D410A3" w:rsidRPr="00705CFC" w:rsidRDefault="00D410A3" w:rsidP="00D410A3">
            <w:pPr>
              <w:jc w:val="center"/>
              <w:rPr>
                <w:rFonts w:cs="Calibri"/>
                <w:color w:val="000000"/>
                <w:sz w:val="22"/>
                <w:szCs w:val="22"/>
              </w:rPr>
            </w:pPr>
          </w:p>
        </w:tc>
        <w:tc>
          <w:tcPr>
            <w:tcW w:w="850" w:type="dxa"/>
            <w:vMerge/>
            <w:tcBorders>
              <w:top w:val="single" w:sz="4" w:space="0" w:color="5B9BD5"/>
              <w:left w:val="single" w:sz="4" w:space="0" w:color="5B9BD5"/>
              <w:bottom w:val="single" w:sz="4" w:space="0" w:color="5B9BD5"/>
              <w:right w:val="single" w:sz="4" w:space="0" w:color="5B9BD5"/>
            </w:tcBorders>
            <w:vAlign w:val="center"/>
            <w:hideMark/>
          </w:tcPr>
          <w:p w:rsidR="00D410A3" w:rsidRPr="00705CFC" w:rsidRDefault="00D410A3" w:rsidP="00D410A3">
            <w:pPr>
              <w:jc w:val="center"/>
              <w:rPr>
                <w:rFonts w:cs="Calibri"/>
                <w:color w:val="000000"/>
                <w:sz w:val="22"/>
                <w:szCs w:val="22"/>
              </w:rPr>
            </w:pPr>
          </w:p>
        </w:tc>
        <w:tc>
          <w:tcPr>
            <w:tcW w:w="1134" w:type="dxa"/>
            <w:tcBorders>
              <w:top w:val="nil"/>
              <w:left w:val="nil"/>
              <w:bottom w:val="single" w:sz="4" w:space="0" w:color="5B9BD5"/>
              <w:right w:val="single" w:sz="4" w:space="0" w:color="5B9BD5"/>
            </w:tcBorders>
            <w:shd w:val="clear" w:color="auto" w:fill="auto"/>
            <w:noWrap/>
            <w:vAlign w:val="center"/>
            <w:hideMark/>
          </w:tcPr>
          <w:p w:rsidR="00D410A3" w:rsidRPr="00D410A3" w:rsidRDefault="00D410A3" w:rsidP="00D410A3">
            <w:pPr>
              <w:jc w:val="center"/>
              <w:rPr>
                <w:rFonts w:cs="Calibri"/>
                <w:color w:val="000000"/>
                <w:sz w:val="22"/>
                <w:szCs w:val="22"/>
                <w:lang w:val="en-US"/>
              </w:rPr>
            </w:pPr>
            <w:r>
              <w:rPr>
                <w:rFonts w:cs="Calibri"/>
                <w:color w:val="000000"/>
                <w:sz w:val="22"/>
                <w:szCs w:val="22"/>
                <w:lang w:val="en-US"/>
              </w:rPr>
              <w:t>Q1</w:t>
            </w:r>
          </w:p>
        </w:tc>
        <w:tc>
          <w:tcPr>
            <w:tcW w:w="992" w:type="dxa"/>
            <w:tcBorders>
              <w:top w:val="nil"/>
              <w:left w:val="nil"/>
              <w:bottom w:val="single" w:sz="4" w:space="0" w:color="5B9BD5"/>
              <w:right w:val="single" w:sz="4" w:space="0" w:color="5B9BD5"/>
            </w:tcBorders>
            <w:shd w:val="clear" w:color="auto" w:fill="auto"/>
            <w:noWrap/>
            <w:vAlign w:val="center"/>
            <w:hideMark/>
          </w:tcPr>
          <w:p w:rsidR="00D410A3" w:rsidRPr="00D410A3" w:rsidRDefault="00D410A3" w:rsidP="00D410A3">
            <w:pPr>
              <w:jc w:val="center"/>
              <w:rPr>
                <w:rFonts w:cs="Calibri"/>
                <w:color w:val="000000"/>
                <w:sz w:val="22"/>
                <w:szCs w:val="22"/>
                <w:lang w:val="en-US"/>
              </w:rPr>
            </w:pPr>
            <w:r>
              <w:rPr>
                <w:rFonts w:cs="Calibri"/>
                <w:color w:val="000000"/>
                <w:sz w:val="22"/>
                <w:szCs w:val="22"/>
                <w:lang w:val="en-US"/>
              </w:rPr>
              <w:t>Q2</w:t>
            </w:r>
          </w:p>
        </w:tc>
        <w:tc>
          <w:tcPr>
            <w:tcW w:w="993" w:type="dxa"/>
            <w:tcBorders>
              <w:top w:val="nil"/>
              <w:left w:val="nil"/>
              <w:bottom w:val="single" w:sz="4" w:space="0" w:color="5B9BD5"/>
              <w:right w:val="single" w:sz="4" w:space="0" w:color="5B9BD5"/>
            </w:tcBorders>
            <w:shd w:val="clear" w:color="auto" w:fill="auto"/>
            <w:noWrap/>
            <w:vAlign w:val="center"/>
            <w:hideMark/>
          </w:tcPr>
          <w:p w:rsidR="00D410A3" w:rsidRPr="00D410A3" w:rsidRDefault="00D410A3" w:rsidP="00D410A3">
            <w:pPr>
              <w:jc w:val="center"/>
              <w:rPr>
                <w:rFonts w:cs="Calibri"/>
                <w:color w:val="000000"/>
                <w:sz w:val="22"/>
                <w:szCs w:val="22"/>
                <w:lang w:val="en-US"/>
              </w:rPr>
            </w:pPr>
            <w:r>
              <w:rPr>
                <w:rFonts w:cs="Calibri"/>
                <w:color w:val="000000"/>
                <w:sz w:val="22"/>
                <w:szCs w:val="22"/>
                <w:lang w:val="en-US"/>
              </w:rPr>
              <w:t>Q3</w:t>
            </w:r>
          </w:p>
        </w:tc>
        <w:tc>
          <w:tcPr>
            <w:tcW w:w="992" w:type="dxa"/>
            <w:tcBorders>
              <w:top w:val="nil"/>
              <w:left w:val="nil"/>
              <w:bottom w:val="single" w:sz="4" w:space="0" w:color="5B9BD5"/>
              <w:right w:val="single" w:sz="4" w:space="0" w:color="5B9BD5"/>
            </w:tcBorders>
            <w:shd w:val="clear" w:color="auto" w:fill="auto"/>
            <w:noWrap/>
            <w:vAlign w:val="center"/>
            <w:hideMark/>
          </w:tcPr>
          <w:p w:rsidR="00D410A3" w:rsidRPr="00D410A3" w:rsidRDefault="00D410A3" w:rsidP="00D410A3">
            <w:pPr>
              <w:jc w:val="center"/>
              <w:rPr>
                <w:rFonts w:cs="Calibri"/>
                <w:color w:val="000000"/>
                <w:sz w:val="22"/>
                <w:szCs w:val="22"/>
                <w:lang w:val="en-US"/>
              </w:rPr>
            </w:pPr>
            <w:r>
              <w:rPr>
                <w:rFonts w:cs="Calibri"/>
                <w:color w:val="000000"/>
                <w:sz w:val="22"/>
                <w:szCs w:val="22"/>
                <w:lang w:val="en-US"/>
              </w:rPr>
              <w:t>Q4</w:t>
            </w:r>
          </w:p>
        </w:tc>
        <w:tc>
          <w:tcPr>
            <w:tcW w:w="992" w:type="dxa"/>
            <w:vMerge/>
            <w:tcBorders>
              <w:top w:val="single" w:sz="4" w:space="0" w:color="5B9BD5"/>
              <w:left w:val="single" w:sz="4" w:space="0" w:color="5B9BD5"/>
              <w:bottom w:val="single" w:sz="4" w:space="0" w:color="5B9BD5"/>
              <w:right w:val="single" w:sz="4" w:space="0" w:color="5B9BD5"/>
            </w:tcBorders>
            <w:vAlign w:val="center"/>
            <w:hideMark/>
          </w:tcPr>
          <w:p w:rsidR="00D410A3" w:rsidRPr="00705CFC" w:rsidRDefault="00D410A3" w:rsidP="00D410A3">
            <w:pPr>
              <w:jc w:val="center"/>
              <w:rPr>
                <w:rFonts w:cs="Calibri"/>
                <w:color w:val="000000"/>
                <w:sz w:val="22"/>
                <w:szCs w:val="22"/>
              </w:rPr>
            </w:pPr>
          </w:p>
        </w:tc>
        <w:tc>
          <w:tcPr>
            <w:tcW w:w="992" w:type="dxa"/>
            <w:tcBorders>
              <w:top w:val="nil"/>
              <w:left w:val="nil"/>
              <w:bottom w:val="single" w:sz="4" w:space="0" w:color="5B9BD5"/>
              <w:right w:val="single" w:sz="4" w:space="0" w:color="5B9BD5"/>
            </w:tcBorders>
            <w:shd w:val="clear" w:color="auto" w:fill="auto"/>
            <w:noWrap/>
            <w:vAlign w:val="center"/>
            <w:hideMark/>
          </w:tcPr>
          <w:p w:rsidR="00D410A3" w:rsidRPr="00D410A3" w:rsidRDefault="00D410A3" w:rsidP="00D410A3">
            <w:pPr>
              <w:jc w:val="center"/>
              <w:rPr>
                <w:rFonts w:cs="Calibri"/>
                <w:color w:val="000000"/>
                <w:sz w:val="22"/>
                <w:szCs w:val="22"/>
                <w:lang w:val="en-US"/>
              </w:rPr>
            </w:pPr>
            <w:r>
              <w:rPr>
                <w:rFonts w:cs="Calibri"/>
                <w:color w:val="000000"/>
                <w:sz w:val="22"/>
                <w:szCs w:val="22"/>
                <w:lang w:val="en-US"/>
              </w:rPr>
              <w:t>Q1</w:t>
            </w:r>
          </w:p>
        </w:tc>
        <w:tc>
          <w:tcPr>
            <w:tcW w:w="993" w:type="dxa"/>
            <w:tcBorders>
              <w:top w:val="nil"/>
              <w:left w:val="nil"/>
              <w:bottom w:val="single" w:sz="4" w:space="0" w:color="5B9BD5"/>
              <w:right w:val="single" w:sz="4" w:space="0" w:color="5B9BD5"/>
            </w:tcBorders>
            <w:shd w:val="clear" w:color="auto" w:fill="auto"/>
            <w:noWrap/>
            <w:vAlign w:val="center"/>
            <w:hideMark/>
          </w:tcPr>
          <w:p w:rsidR="00D410A3" w:rsidRPr="00D410A3" w:rsidRDefault="00D410A3" w:rsidP="00D410A3">
            <w:pPr>
              <w:jc w:val="center"/>
              <w:rPr>
                <w:rFonts w:cs="Calibri"/>
                <w:color w:val="000000"/>
                <w:sz w:val="22"/>
                <w:szCs w:val="22"/>
                <w:lang w:val="en-US"/>
              </w:rPr>
            </w:pPr>
            <w:r>
              <w:rPr>
                <w:rFonts w:cs="Calibri"/>
                <w:color w:val="000000"/>
                <w:sz w:val="22"/>
                <w:szCs w:val="22"/>
                <w:lang w:val="en-US"/>
              </w:rPr>
              <w:t>Q2</w:t>
            </w:r>
          </w:p>
        </w:tc>
        <w:tc>
          <w:tcPr>
            <w:tcW w:w="1134" w:type="dxa"/>
            <w:tcBorders>
              <w:top w:val="nil"/>
              <w:left w:val="nil"/>
              <w:bottom w:val="single" w:sz="4" w:space="0" w:color="5B9BD5"/>
              <w:right w:val="single" w:sz="4" w:space="0" w:color="5B9BD5"/>
            </w:tcBorders>
            <w:shd w:val="clear" w:color="auto" w:fill="auto"/>
            <w:noWrap/>
            <w:vAlign w:val="center"/>
            <w:hideMark/>
          </w:tcPr>
          <w:p w:rsidR="00D410A3" w:rsidRPr="00D410A3" w:rsidRDefault="00D410A3" w:rsidP="00D410A3">
            <w:pPr>
              <w:jc w:val="center"/>
              <w:rPr>
                <w:rFonts w:cs="Calibri"/>
                <w:color w:val="000000"/>
                <w:sz w:val="22"/>
                <w:szCs w:val="22"/>
                <w:lang w:val="en-US"/>
              </w:rPr>
            </w:pPr>
            <w:r>
              <w:rPr>
                <w:rFonts w:cs="Calibri"/>
                <w:color w:val="000000"/>
                <w:sz w:val="22"/>
                <w:szCs w:val="22"/>
                <w:lang w:val="en-US"/>
              </w:rPr>
              <w:t>Q3</w:t>
            </w:r>
          </w:p>
        </w:tc>
        <w:tc>
          <w:tcPr>
            <w:tcW w:w="992" w:type="dxa"/>
            <w:tcBorders>
              <w:top w:val="nil"/>
              <w:left w:val="nil"/>
              <w:bottom w:val="single" w:sz="4" w:space="0" w:color="5B9BD5"/>
              <w:right w:val="single" w:sz="4" w:space="0" w:color="5B9BD5"/>
            </w:tcBorders>
            <w:shd w:val="clear" w:color="auto" w:fill="auto"/>
            <w:noWrap/>
            <w:vAlign w:val="center"/>
            <w:hideMark/>
          </w:tcPr>
          <w:p w:rsidR="00D410A3" w:rsidRPr="00D410A3" w:rsidRDefault="00D410A3" w:rsidP="00D410A3">
            <w:pPr>
              <w:jc w:val="center"/>
              <w:rPr>
                <w:rFonts w:cs="Calibri"/>
                <w:color w:val="000000"/>
                <w:sz w:val="22"/>
                <w:szCs w:val="22"/>
                <w:lang w:val="en-US"/>
              </w:rPr>
            </w:pPr>
            <w:r>
              <w:rPr>
                <w:rFonts w:cs="Calibri"/>
                <w:color w:val="000000"/>
                <w:sz w:val="22"/>
                <w:szCs w:val="22"/>
                <w:lang w:val="en-US"/>
              </w:rPr>
              <w:t>Q4</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firstLine="180"/>
              <w:rPr>
                <w:rFonts w:cs="Calibri"/>
                <w:b/>
                <w:bCs/>
                <w:color w:val="000000"/>
                <w:sz w:val="18"/>
                <w:szCs w:val="18"/>
                <w:lang w:val="en-US"/>
              </w:rPr>
            </w:pPr>
            <w:r w:rsidRPr="00705CFC">
              <w:rPr>
                <w:rFonts w:cs="Calibri"/>
                <w:b/>
                <w:bCs/>
                <w:color w:val="000000"/>
                <w:sz w:val="18"/>
                <w:szCs w:val="18"/>
                <w:lang w:val="en-US"/>
              </w:rPr>
              <w:t xml:space="preserve">Balance of international trade in services </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-2 441,6</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-2 266,1</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-554,0</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-522,4</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-607,3</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-582,3</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-1 811,8</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-457,9</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-371,3</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-442,5</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-540,1</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firstLine="180"/>
              <w:rPr>
                <w:rFonts w:cs="Calibri"/>
                <w:b/>
                <w:bCs/>
                <w:color w:val="000000"/>
                <w:sz w:val="18"/>
                <w:szCs w:val="18"/>
              </w:rPr>
            </w:pPr>
            <w:r w:rsidRPr="00705CFC">
              <w:rPr>
                <w:rFonts w:cs="Calibri"/>
                <w:b/>
                <w:bCs/>
                <w:color w:val="000000"/>
                <w:sz w:val="18"/>
                <w:szCs w:val="18"/>
              </w:rPr>
              <w:t>Services exports</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2 749,5</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3 094,8</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636,1</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788,6</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849,6</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820,4</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1 699,5</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606,8</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315,0</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348,6</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429,1</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left="180"/>
              <w:rPr>
                <w:rFonts w:cs="Calibri"/>
                <w:b/>
                <w:bCs/>
                <w:color w:val="000000"/>
                <w:sz w:val="18"/>
                <w:szCs w:val="18"/>
                <w:lang w:val="en-US"/>
              </w:rPr>
            </w:pPr>
            <w:r w:rsidRPr="00705CFC">
              <w:rPr>
                <w:rFonts w:cs="Calibri"/>
                <w:b/>
                <w:bCs/>
                <w:color w:val="000000"/>
                <w:sz w:val="18"/>
                <w:szCs w:val="18"/>
                <w:lang w:val="en-US"/>
              </w:rPr>
              <w:t>Manufacturing services on physical inputs owned</w:t>
            </w:r>
            <w:r>
              <w:rPr>
                <w:rFonts w:cs="Calibri"/>
                <w:b/>
                <w:bCs/>
                <w:color w:val="000000"/>
                <w:sz w:val="18"/>
                <w:szCs w:val="18"/>
                <w:lang w:val="uz-Cyrl-UZ"/>
              </w:rPr>
              <w:t xml:space="preserve"> </w:t>
            </w:r>
            <w:r w:rsidRPr="00705CFC">
              <w:rPr>
                <w:rFonts w:cs="Calibri"/>
                <w:b/>
                <w:bCs/>
                <w:color w:val="000000"/>
                <w:sz w:val="18"/>
                <w:szCs w:val="18"/>
                <w:lang w:val="en-US"/>
              </w:rPr>
              <w:t>by others</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42,4</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11,6</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2,9</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3,9</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3,6</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19,0</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4,1</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4,8</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4,5</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5,6</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left="180"/>
              <w:rPr>
                <w:rFonts w:cs="Calibri"/>
                <w:b/>
                <w:bCs/>
                <w:color w:val="000000"/>
                <w:sz w:val="18"/>
                <w:szCs w:val="18"/>
                <w:lang w:val="en-US"/>
              </w:rPr>
            </w:pPr>
            <w:r w:rsidRPr="00705CFC">
              <w:rPr>
                <w:rFonts w:cs="Calibri"/>
                <w:b/>
                <w:bCs/>
                <w:color w:val="000000"/>
                <w:sz w:val="18"/>
                <w:szCs w:val="18"/>
                <w:lang w:val="en-US"/>
              </w:rPr>
              <w:t>Maintenance and repair services, not included elsewhere</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7,6</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11,4</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2,0</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2,6</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1,9</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4,9</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6,9</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2,5</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0,8</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1,4</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firstLine="180"/>
              <w:rPr>
                <w:rFonts w:cs="Calibri"/>
                <w:b/>
                <w:bCs/>
                <w:color w:val="000000"/>
                <w:sz w:val="18"/>
                <w:szCs w:val="18"/>
              </w:rPr>
            </w:pPr>
            <w:r w:rsidRPr="00705CFC">
              <w:rPr>
                <w:rFonts w:cs="Calibri"/>
                <w:b/>
                <w:bCs/>
                <w:color w:val="000000"/>
                <w:sz w:val="18"/>
                <w:szCs w:val="18"/>
              </w:rPr>
              <w:t>Transport services</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1 254,2</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1 251,9</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293,0</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307,0</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296,0</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355,9</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999,5</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295,3</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213,8</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221,4</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269,0</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 xml:space="preserve">Passenger </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170,1</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198,2</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36,5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60,5</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57,8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43,4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50,4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32,7</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1,8</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12,7</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Freight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235,6</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201,7</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46,0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45,7</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47,7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62,2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270,1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58,6</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74,7</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63,9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72,9</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Other</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848,4</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852,0</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210,5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200,7</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190,5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250,3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679,0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204,0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137,4</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154,2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183,5</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Sea transport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 xml:space="preserve">Passenger </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Freight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Other</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Air transport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307,7</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351,3</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72,7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97,9</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96,1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84,6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142,8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66,0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11,3</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43,8</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 xml:space="preserve">Passenger </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163,4</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194,6</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35,3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59,4</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57,0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42,9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49,7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32,5</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1,4</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12,6</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Freight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21,0</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17,7</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2,9</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34,8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4,6</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6,0</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12,2</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Other</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123,2</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139,0</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33,6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35,6</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35,2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34,5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58,4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28,9</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4,0</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19,1</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Others modes of transport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942,7</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896,1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219,4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207,9</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198,5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270,2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852,3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228,5</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201,4</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198,6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223,8</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 xml:space="preserve">Passenger </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6,7</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3,6</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0,2</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0,4</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0,1</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Freight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214,6</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184,0</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42,2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42,9</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43,8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55,1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235,3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54,0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68,7</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51,9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60,7</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Other</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721,4</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708,5</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176,1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163,9</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153,9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214,6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616,2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174,3</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132,3</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146,7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163,0</w:t>
            </w:r>
          </w:p>
        </w:tc>
      </w:tr>
      <w:tr w:rsidR="003C7C79" w:rsidRPr="00D040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100" w:firstLine="180"/>
              <w:rPr>
                <w:rFonts w:cs="Calibri"/>
                <w:i/>
                <w:iCs/>
                <w:sz w:val="18"/>
                <w:szCs w:val="18"/>
                <w:lang w:val="en-US"/>
              </w:rPr>
            </w:pPr>
            <w:r w:rsidRPr="00705CFC">
              <w:rPr>
                <w:rFonts w:cs="Calibri"/>
                <w:i/>
                <w:iCs/>
                <w:sz w:val="18"/>
                <w:szCs w:val="18"/>
                <w:lang w:val="en-US"/>
              </w:rPr>
              <w:t>Expanded classification of modes of transport</w:t>
            </w:r>
          </w:p>
        </w:tc>
        <w:tc>
          <w:tcPr>
            <w:tcW w:w="993" w:type="dxa"/>
            <w:tcBorders>
              <w:top w:val="nil"/>
              <w:left w:val="nil"/>
              <w:bottom w:val="nil"/>
              <w:right w:val="single" w:sz="4" w:space="0" w:color="5B9BD5"/>
            </w:tcBorders>
            <w:shd w:val="clear" w:color="auto" w:fill="auto"/>
            <w:noWrap/>
            <w:vAlign w:val="center"/>
            <w:hideMark/>
          </w:tcPr>
          <w:p w:rsidR="003C7C79" w:rsidRPr="006F69F0" w:rsidRDefault="003C7C79" w:rsidP="003C7C79">
            <w:pPr>
              <w:jc w:val="right"/>
              <w:rPr>
                <w:rFonts w:asciiTheme="minorHAnsi" w:hAnsiTheme="minorHAnsi" w:cstheme="minorHAnsi"/>
                <w:color w:val="000000"/>
                <w:sz w:val="18"/>
                <w:szCs w:val="18"/>
                <w:lang w:val="en-US"/>
              </w:rPr>
            </w:pPr>
          </w:p>
        </w:tc>
        <w:tc>
          <w:tcPr>
            <w:tcW w:w="850" w:type="dxa"/>
            <w:tcBorders>
              <w:top w:val="nil"/>
              <w:left w:val="nil"/>
              <w:bottom w:val="nil"/>
              <w:right w:val="single" w:sz="4" w:space="0" w:color="5B9BD5"/>
            </w:tcBorders>
            <w:shd w:val="clear" w:color="auto" w:fill="auto"/>
            <w:noWrap/>
            <w:vAlign w:val="center"/>
            <w:hideMark/>
          </w:tcPr>
          <w:p w:rsidR="003C7C79" w:rsidRPr="006F69F0" w:rsidRDefault="003C7C79" w:rsidP="003C7C79">
            <w:pPr>
              <w:jc w:val="right"/>
              <w:rPr>
                <w:rFonts w:asciiTheme="minorHAnsi" w:hAnsiTheme="minorHAnsi" w:cstheme="minorHAnsi"/>
                <w:color w:val="000000"/>
                <w:sz w:val="18"/>
                <w:szCs w:val="18"/>
                <w:lang w:val="en-US"/>
              </w:rPr>
            </w:pPr>
          </w:p>
        </w:tc>
        <w:tc>
          <w:tcPr>
            <w:tcW w:w="1134" w:type="dxa"/>
            <w:tcBorders>
              <w:top w:val="nil"/>
              <w:left w:val="nil"/>
              <w:bottom w:val="nil"/>
              <w:right w:val="single" w:sz="4" w:space="0" w:color="5B9BD5"/>
            </w:tcBorders>
            <w:shd w:val="clear" w:color="auto" w:fill="auto"/>
            <w:noWrap/>
            <w:vAlign w:val="center"/>
            <w:hideMark/>
          </w:tcPr>
          <w:p w:rsidR="003C7C79" w:rsidRPr="006F69F0" w:rsidRDefault="003C7C79" w:rsidP="003C7C79">
            <w:pPr>
              <w:jc w:val="right"/>
              <w:rPr>
                <w:rFonts w:asciiTheme="minorHAnsi" w:hAnsiTheme="minorHAnsi" w:cstheme="minorHAnsi"/>
                <w:color w:val="000000"/>
                <w:sz w:val="18"/>
                <w:szCs w:val="18"/>
                <w:lang w:val="en-US"/>
              </w:rPr>
            </w:pPr>
          </w:p>
        </w:tc>
        <w:tc>
          <w:tcPr>
            <w:tcW w:w="992" w:type="dxa"/>
            <w:tcBorders>
              <w:top w:val="nil"/>
              <w:left w:val="nil"/>
              <w:bottom w:val="nil"/>
              <w:right w:val="single" w:sz="4" w:space="0" w:color="5B9BD5"/>
            </w:tcBorders>
            <w:shd w:val="clear" w:color="auto" w:fill="auto"/>
            <w:noWrap/>
            <w:vAlign w:val="center"/>
            <w:hideMark/>
          </w:tcPr>
          <w:p w:rsidR="003C7C79" w:rsidRPr="006F69F0" w:rsidRDefault="003C7C79" w:rsidP="003C7C79">
            <w:pPr>
              <w:jc w:val="right"/>
              <w:rPr>
                <w:rFonts w:asciiTheme="minorHAnsi" w:hAnsiTheme="minorHAnsi" w:cstheme="minorHAnsi"/>
                <w:color w:val="000000"/>
                <w:sz w:val="18"/>
                <w:szCs w:val="18"/>
                <w:lang w:val="en-US"/>
              </w:rPr>
            </w:pPr>
          </w:p>
        </w:tc>
        <w:tc>
          <w:tcPr>
            <w:tcW w:w="993" w:type="dxa"/>
            <w:tcBorders>
              <w:top w:val="nil"/>
              <w:left w:val="nil"/>
              <w:bottom w:val="nil"/>
              <w:right w:val="single" w:sz="4" w:space="0" w:color="5B9BD5"/>
            </w:tcBorders>
            <w:shd w:val="clear" w:color="auto" w:fill="auto"/>
            <w:noWrap/>
            <w:vAlign w:val="center"/>
            <w:hideMark/>
          </w:tcPr>
          <w:p w:rsidR="003C7C79" w:rsidRPr="006F69F0" w:rsidRDefault="003C7C79" w:rsidP="003C7C79">
            <w:pPr>
              <w:jc w:val="right"/>
              <w:rPr>
                <w:rFonts w:asciiTheme="minorHAnsi" w:hAnsiTheme="minorHAnsi" w:cstheme="minorHAnsi"/>
                <w:color w:val="000000"/>
                <w:sz w:val="18"/>
                <w:szCs w:val="18"/>
                <w:lang w:val="en-US"/>
              </w:rPr>
            </w:pPr>
          </w:p>
        </w:tc>
        <w:tc>
          <w:tcPr>
            <w:tcW w:w="992" w:type="dxa"/>
            <w:tcBorders>
              <w:top w:val="nil"/>
              <w:left w:val="nil"/>
              <w:bottom w:val="nil"/>
              <w:right w:val="single" w:sz="4" w:space="0" w:color="5B9BD5"/>
            </w:tcBorders>
            <w:shd w:val="clear" w:color="auto" w:fill="auto"/>
            <w:noWrap/>
            <w:vAlign w:val="center"/>
            <w:hideMark/>
          </w:tcPr>
          <w:p w:rsidR="003C7C79" w:rsidRPr="006F69F0" w:rsidRDefault="003C7C79" w:rsidP="003C7C79">
            <w:pPr>
              <w:jc w:val="right"/>
              <w:rPr>
                <w:rFonts w:asciiTheme="minorHAnsi" w:hAnsiTheme="minorHAnsi" w:cstheme="minorHAnsi"/>
                <w:color w:val="000000"/>
                <w:sz w:val="18"/>
                <w:szCs w:val="18"/>
                <w:lang w:val="en-US"/>
              </w:rPr>
            </w:pPr>
          </w:p>
        </w:tc>
        <w:tc>
          <w:tcPr>
            <w:tcW w:w="992" w:type="dxa"/>
            <w:tcBorders>
              <w:top w:val="nil"/>
              <w:left w:val="nil"/>
              <w:bottom w:val="nil"/>
              <w:right w:val="single" w:sz="4" w:space="0" w:color="5B9BD5"/>
            </w:tcBorders>
            <w:shd w:val="clear" w:color="auto" w:fill="auto"/>
            <w:noWrap/>
            <w:vAlign w:val="center"/>
            <w:hideMark/>
          </w:tcPr>
          <w:p w:rsidR="003C7C79" w:rsidRPr="006F69F0" w:rsidRDefault="003C7C79" w:rsidP="003C7C79">
            <w:pPr>
              <w:jc w:val="right"/>
              <w:rPr>
                <w:rFonts w:asciiTheme="minorHAnsi" w:hAnsiTheme="minorHAnsi" w:cstheme="minorHAnsi"/>
                <w:color w:val="000000"/>
                <w:sz w:val="18"/>
                <w:szCs w:val="18"/>
                <w:lang w:val="en-US"/>
              </w:rPr>
            </w:pPr>
          </w:p>
        </w:tc>
        <w:tc>
          <w:tcPr>
            <w:tcW w:w="992" w:type="dxa"/>
            <w:tcBorders>
              <w:top w:val="nil"/>
              <w:left w:val="nil"/>
              <w:bottom w:val="nil"/>
              <w:right w:val="single" w:sz="4" w:space="0" w:color="5B9BD5"/>
            </w:tcBorders>
            <w:shd w:val="clear" w:color="auto" w:fill="auto"/>
            <w:noWrap/>
            <w:vAlign w:val="center"/>
            <w:hideMark/>
          </w:tcPr>
          <w:p w:rsidR="003C7C79" w:rsidRPr="006F69F0" w:rsidRDefault="003C7C79" w:rsidP="003C7C79">
            <w:pPr>
              <w:jc w:val="right"/>
              <w:rPr>
                <w:rFonts w:asciiTheme="minorHAnsi" w:hAnsiTheme="minorHAnsi" w:cstheme="minorHAnsi"/>
                <w:color w:val="000000"/>
                <w:sz w:val="18"/>
                <w:szCs w:val="18"/>
                <w:lang w:val="en-US"/>
              </w:rPr>
            </w:pPr>
          </w:p>
        </w:tc>
        <w:tc>
          <w:tcPr>
            <w:tcW w:w="993" w:type="dxa"/>
            <w:tcBorders>
              <w:top w:val="nil"/>
              <w:left w:val="nil"/>
              <w:bottom w:val="nil"/>
              <w:right w:val="single" w:sz="4" w:space="0" w:color="5B9BD5"/>
            </w:tcBorders>
            <w:shd w:val="clear" w:color="auto" w:fill="auto"/>
            <w:noWrap/>
            <w:vAlign w:val="center"/>
            <w:hideMark/>
          </w:tcPr>
          <w:p w:rsidR="003C7C79" w:rsidRPr="006F69F0" w:rsidRDefault="003C7C79" w:rsidP="003C7C79">
            <w:pPr>
              <w:jc w:val="right"/>
              <w:rPr>
                <w:rFonts w:asciiTheme="minorHAnsi" w:hAnsiTheme="minorHAnsi" w:cstheme="minorHAnsi"/>
                <w:color w:val="000000"/>
                <w:sz w:val="18"/>
                <w:szCs w:val="18"/>
                <w:lang w:val="en-US"/>
              </w:rPr>
            </w:pPr>
          </w:p>
        </w:tc>
        <w:tc>
          <w:tcPr>
            <w:tcW w:w="1134" w:type="dxa"/>
            <w:tcBorders>
              <w:top w:val="nil"/>
              <w:left w:val="nil"/>
              <w:bottom w:val="nil"/>
              <w:right w:val="single" w:sz="4" w:space="0" w:color="5B9BD5"/>
            </w:tcBorders>
            <w:shd w:val="clear" w:color="auto" w:fill="auto"/>
            <w:noWrap/>
            <w:vAlign w:val="center"/>
            <w:hideMark/>
          </w:tcPr>
          <w:p w:rsidR="003C7C79" w:rsidRPr="006F69F0" w:rsidRDefault="003C7C79" w:rsidP="003C7C79">
            <w:pPr>
              <w:jc w:val="right"/>
              <w:rPr>
                <w:rFonts w:asciiTheme="minorHAnsi" w:hAnsiTheme="minorHAnsi" w:cstheme="minorHAnsi"/>
                <w:color w:val="000000"/>
                <w:sz w:val="18"/>
                <w:szCs w:val="18"/>
                <w:lang w:val="en-US"/>
              </w:rPr>
            </w:pPr>
          </w:p>
        </w:tc>
        <w:tc>
          <w:tcPr>
            <w:tcW w:w="992" w:type="dxa"/>
            <w:tcBorders>
              <w:top w:val="nil"/>
              <w:left w:val="nil"/>
              <w:bottom w:val="nil"/>
              <w:right w:val="single" w:sz="4" w:space="0" w:color="5B9BD5"/>
            </w:tcBorders>
            <w:shd w:val="clear" w:color="auto" w:fill="auto"/>
            <w:noWrap/>
            <w:vAlign w:val="center"/>
            <w:hideMark/>
          </w:tcPr>
          <w:p w:rsidR="003C7C79" w:rsidRPr="006F69F0" w:rsidRDefault="003C7C79" w:rsidP="003C7C79">
            <w:pPr>
              <w:jc w:val="right"/>
              <w:rPr>
                <w:rFonts w:asciiTheme="minorHAnsi" w:hAnsiTheme="minorHAnsi" w:cstheme="minorHAnsi"/>
                <w:color w:val="000000"/>
                <w:sz w:val="18"/>
                <w:szCs w:val="18"/>
                <w:lang w:val="en-US"/>
              </w:rPr>
            </w:pPr>
          </w:p>
        </w:tc>
      </w:tr>
      <w:tr w:rsidR="003C7C79" w:rsidRPr="00705CFC" w:rsidTr="001D56EC">
        <w:trPr>
          <w:trHeight w:val="329"/>
        </w:trPr>
        <w:tc>
          <w:tcPr>
            <w:tcW w:w="4253" w:type="dxa"/>
            <w:tcBorders>
              <w:top w:val="nil"/>
              <w:left w:val="single" w:sz="4" w:space="0" w:color="5B9BD5"/>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 xml:space="preserve">Railway transport  </w:t>
            </w:r>
          </w:p>
        </w:tc>
        <w:tc>
          <w:tcPr>
            <w:tcW w:w="993"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221,9</w:t>
            </w:r>
          </w:p>
        </w:tc>
        <w:tc>
          <w:tcPr>
            <w:tcW w:w="850"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174,9</w:t>
            </w:r>
          </w:p>
        </w:tc>
        <w:tc>
          <w:tcPr>
            <w:tcW w:w="1134"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44,2</w:t>
            </w:r>
          </w:p>
        </w:tc>
        <w:tc>
          <w:tcPr>
            <w:tcW w:w="992"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40,9</w:t>
            </w:r>
          </w:p>
        </w:tc>
        <w:tc>
          <w:tcPr>
            <w:tcW w:w="993"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38,1</w:t>
            </w:r>
          </w:p>
        </w:tc>
        <w:tc>
          <w:tcPr>
            <w:tcW w:w="992"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51,7</w:t>
            </w:r>
          </w:p>
        </w:tc>
        <w:tc>
          <w:tcPr>
            <w:tcW w:w="992"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215,6</w:t>
            </w:r>
          </w:p>
        </w:tc>
        <w:tc>
          <w:tcPr>
            <w:tcW w:w="992"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50,6</w:t>
            </w:r>
          </w:p>
        </w:tc>
        <w:tc>
          <w:tcPr>
            <w:tcW w:w="993"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62,9</w:t>
            </w:r>
          </w:p>
        </w:tc>
        <w:tc>
          <w:tcPr>
            <w:tcW w:w="1134"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45,3</w:t>
            </w:r>
          </w:p>
        </w:tc>
        <w:tc>
          <w:tcPr>
            <w:tcW w:w="992"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56,8</w:t>
            </w:r>
          </w:p>
        </w:tc>
      </w:tr>
      <w:tr w:rsidR="003C7C79" w:rsidRPr="00705CFC" w:rsidTr="001D56EC">
        <w:trPr>
          <w:trHeight w:val="329"/>
        </w:trPr>
        <w:tc>
          <w:tcPr>
            <w:tcW w:w="4253" w:type="dxa"/>
            <w:tcBorders>
              <w:top w:val="nil"/>
              <w:left w:val="single" w:sz="4" w:space="0" w:color="5B9BD5"/>
              <w:bottom w:val="single" w:sz="4" w:space="0" w:color="5B9BD5"/>
              <w:right w:val="single" w:sz="4" w:space="0" w:color="5B9BD5"/>
            </w:tcBorders>
            <w:shd w:val="clear" w:color="auto" w:fill="auto"/>
            <w:vAlign w:val="center"/>
            <w:hideMark/>
          </w:tcPr>
          <w:p w:rsidR="003C7C79" w:rsidRPr="00705CFC" w:rsidRDefault="003C7C79" w:rsidP="003C7C79">
            <w:pPr>
              <w:ind w:firstLineChars="700" w:firstLine="1260"/>
              <w:rPr>
                <w:rFonts w:cs="Calibri"/>
                <w:color w:val="000000"/>
                <w:sz w:val="18"/>
                <w:szCs w:val="18"/>
              </w:rPr>
            </w:pPr>
            <w:r w:rsidRPr="00705CFC">
              <w:rPr>
                <w:rFonts w:cs="Calibri"/>
                <w:color w:val="000000"/>
                <w:sz w:val="18"/>
                <w:szCs w:val="18"/>
              </w:rPr>
              <w:t xml:space="preserve">Passenger </w:t>
            </w:r>
          </w:p>
        </w:tc>
        <w:tc>
          <w:tcPr>
            <w:tcW w:w="993"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3,5</w:t>
            </w:r>
          </w:p>
        </w:tc>
        <w:tc>
          <w:tcPr>
            <w:tcW w:w="850"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2,9</w:t>
            </w:r>
          </w:p>
        </w:tc>
        <w:tc>
          <w:tcPr>
            <w:tcW w:w="1134"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0,6</w:t>
            </w:r>
          </w:p>
        </w:tc>
        <w:tc>
          <w:tcPr>
            <w:tcW w:w="992"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w:t>
            </w:r>
          </w:p>
        </w:tc>
        <w:tc>
          <w:tcPr>
            <w:tcW w:w="993"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0,8</w:t>
            </w:r>
          </w:p>
        </w:tc>
        <w:tc>
          <w:tcPr>
            <w:tcW w:w="992"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0,4</w:t>
            </w:r>
          </w:p>
        </w:tc>
        <w:tc>
          <w:tcPr>
            <w:tcW w:w="992"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0,6</w:t>
            </w:r>
          </w:p>
        </w:tc>
        <w:tc>
          <w:tcPr>
            <w:tcW w:w="992"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0,2</w:t>
            </w:r>
          </w:p>
        </w:tc>
        <w:tc>
          <w:tcPr>
            <w:tcW w:w="993"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0,3</w:t>
            </w:r>
          </w:p>
        </w:tc>
        <w:tc>
          <w:tcPr>
            <w:tcW w:w="1134"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2"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0,1</w:t>
            </w:r>
          </w:p>
        </w:tc>
      </w:tr>
      <w:tr w:rsidR="003C7C79" w:rsidRPr="00705CFC" w:rsidTr="00B911C9">
        <w:trPr>
          <w:trHeight w:val="315"/>
        </w:trPr>
        <w:tc>
          <w:tcPr>
            <w:tcW w:w="4253" w:type="dxa"/>
            <w:tcBorders>
              <w:top w:val="single" w:sz="4" w:space="0" w:color="5B9BD5"/>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700" w:firstLine="1260"/>
              <w:rPr>
                <w:rFonts w:cs="Calibri"/>
                <w:color w:val="000000"/>
                <w:sz w:val="18"/>
                <w:szCs w:val="18"/>
              </w:rPr>
            </w:pPr>
            <w:r w:rsidRPr="00705CFC">
              <w:rPr>
                <w:rFonts w:cs="Calibri"/>
                <w:color w:val="000000"/>
                <w:sz w:val="18"/>
                <w:szCs w:val="18"/>
              </w:rPr>
              <w:lastRenderedPageBreak/>
              <w:t>Freight</w:t>
            </w:r>
          </w:p>
        </w:tc>
        <w:tc>
          <w:tcPr>
            <w:tcW w:w="993" w:type="dxa"/>
            <w:tcBorders>
              <w:top w:val="single" w:sz="4" w:space="0" w:color="5B9BD5"/>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212,4</w:t>
            </w:r>
          </w:p>
        </w:tc>
        <w:tc>
          <w:tcPr>
            <w:tcW w:w="850" w:type="dxa"/>
            <w:tcBorders>
              <w:top w:val="single" w:sz="4" w:space="0" w:color="5B9BD5"/>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165,7</w:t>
            </w:r>
          </w:p>
        </w:tc>
        <w:tc>
          <w:tcPr>
            <w:tcW w:w="1134" w:type="dxa"/>
            <w:tcBorders>
              <w:top w:val="single" w:sz="4" w:space="0" w:color="5B9BD5"/>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41,0</w:t>
            </w:r>
          </w:p>
        </w:tc>
        <w:tc>
          <w:tcPr>
            <w:tcW w:w="992" w:type="dxa"/>
            <w:tcBorders>
              <w:top w:val="single" w:sz="4" w:space="0" w:color="5B9BD5"/>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37,2</w:t>
            </w:r>
          </w:p>
        </w:tc>
        <w:tc>
          <w:tcPr>
            <w:tcW w:w="993" w:type="dxa"/>
            <w:tcBorders>
              <w:top w:val="single" w:sz="4" w:space="0" w:color="5B9BD5"/>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36,8</w:t>
            </w:r>
          </w:p>
        </w:tc>
        <w:tc>
          <w:tcPr>
            <w:tcW w:w="992" w:type="dxa"/>
            <w:tcBorders>
              <w:top w:val="single" w:sz="4" w:space="0" w:color="5B9BD5"/>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50,7</w:t>
            </w:r>
          </w:p>
        </w:tc>
        <w:tc>
          <w:tcPr>
            <w:tcW w:w="992" w:type="dxa"/>
            <w:tcBorders>
              <w:top w:val="single" w:sz="4" w:space="0" w:color="5B9BD5"/>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209,0</w:t>
            </w:r>
          </w:p>
        </w:tc>
        <w:tc>
          <w:tcPr>
            <w:tcW w:w="992" w:type="dxa"/>
            <w:tcBorders>
              <w:top w:val="single" w:sz="4" w:space="0" w:color="5B9BD5"/>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49,3</w:t>
            </w:r>
          </w:p>
        </w:tc>
        <w:tc>
          <w:tcPr>
            <w:tcW w:w="993" w:type="dxa"/>
            <w:tcBorders>
              <w:top w:val="single" w:sz="4" w:space="0" w:color="5B9BD5"/>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60,8</w:t>
            </w:r>
          </w:p>
        </w:tc>
        <w:tc>
          <w:tcPr>
            <w:tcW w:w="1134" w:type="dxa"/>
            <w:tcBorders>
              <w:top w:val="single" w:sz="4" w:space="0" w:color="5B9BD5"/>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44,1</w:t>
            </w:r>
          </w:p>
        </w:tc>
        <w:tc>
          <w:tcPr>
            <w:tcW w:w="992" w:type="dxa"/>
            <w:tcBorders>
              <w:top w:val="single" w:sz="4" w:space="0" w:color="5B9BD5"/>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54,8</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700" w:firstLine="1260"/>
              <w:rPr>
                <w:rFonts w:cs="Calibri"/>
                <w:color w:val="000000"/>
                <w:sz w:val="18"/>
                <w:szCs w:val="18"/>
              </w:rPr>
            </w:pPr>
            <w:r w:rsidRPr="00705CFC">
              <w:rPr>
                <w:rFonts w:cs="Calibri"/>
                <w:color w:val="000000"/>
                <w:sz w:val="18"/>
                <w:szCs w:val="18"/>
              </w:rPr>
              <w:t>Other</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6,0</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6,3</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2,6</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1,9</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Road transport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7,7</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22,1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6,8</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27,8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4,8</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8,3</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6,2</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700" w:firstLine="1260"/>
              <w:rPr>
                <w:rFonts w:cs="Calibri"/>
                <w:color w:val="000000"/>
                <w:sz w:val="18"/>
                <w:szCs w:val="18"/>
              </w:rPr>
            </w:pPr>
            <w:r w:rsidRPr="00705CFC">
              <w:rPr>
                <w:rFonts w:cs="Calibri"/>
                <w:color w:val="000000"/>
                <w:sz w:val="18"/>
                <w:szCs w:val="18"/>
              </w:rPr>
              <w:t xml:space="preserve">Passenger </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3,2</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0,7</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0,1</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700" w:firstLine="1260"/>
              <w:rPr>
                <w:rFonts w:cs="Calibri"/>
                <w:color w:val="000000"/>
                <w:sz w:val="18"/>
                <w:szCs w:val="18"/>
              </w:rPr>
            </w:pPr>
            <w:r w:rsidRPr="00705CFC">
              <w:rPr>
                <w:rFonts w:cs="Calibri"/>
                <w:color w:val="000000"/>
                <w:sz w:val="18"/>
                <w:szCs w:val="18"/>
              </w:rPr>
              <w:t>Freight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2,2</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18,2</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5,6</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26,3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4,7</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7,9</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5,8</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700" w:firstLine="1260"/>
              <w:rPr>
                <w:rFonts w:cs="Calibri"/>
                <w:color w:val="000000"/>
                <w:sz w:val="18"/>
                <w:szCs w:val="18"/>
              </w:rPr>
            </w:pPr>
            <w:r w:rsidRPr="00705CFC">
              <w:rPr>
                <w:rFonts w:cs="Calibri"/>
                <w:color w:val="000000"/>
                <w:sz w:val="18"/>
                <w:szCs w:val="18"/>
              </w:rPr>
              <w:t>Other</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2,2</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0,3</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0,4</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Pipeline</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647,5</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650,6</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159,7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150,2</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140,8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199,8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575,5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162,1</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124,4</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137,9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151,1</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Other modes of transport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65,7</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48,5</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33,3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6,0</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9,6</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700" w:firstLine="1260"/>
              <w:rPr>
                <w:rFonts w:cs="Calibri"/>
                <w:color w:val="000000"/>
                <w:sz w:val="18"/>
                <w:szCs w:val="18"/>
              </w:rPr>
            </w:pPr>
            <w:r w:rsidRPr="00705CFC">
              <w:rPr>
                <w:rFonts w:cs="Calibri"/>
                <w:color w:val="000000"/>
                <w:sz w:val="18"/>
                <w:szCs w:val="18"/>
              </w:rPr>
              <w:t>Freight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left="1031" w:hanging="1"/>
              <w:rPr>
                <w:rFonts w:cs="Calibri"/>
                <w:color w:val="000000"/>
                <w:sz w:val="18"/>
                <w:szCs w:val="18"/>
                <w:lang w:val="en-US"/>
              </w:rPr>
            </w:pPr>
            <w:r w:rsidRPr="00705CFC">
              <w:rPr>
                <w:rFonts w:cs="Calibri"/>
                <w:color w:val="000000"/>
                <w:sz w:val="18"/>
                <w:szCs w:val="18"/>
                <w:lang w:val="en-US"/>
              </w:rPr>
              <w:t>Other related or ancillary transport services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65,7</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48,5</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33,2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6,0</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9,5</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644" w:firstLine="1159"/>
              <w:rPr>
                <w:rFonts w:cs="Calibri"/>
                <w:color w:val="000000"/>
                <w:sz w:val="18"/>
                <w:szCs w:val="18"/>
              </w:rPr>
            </w:pPr>
            <w:r w:rsidRPr="00705CFC">
              <w:rPr>
                <w:rFonts w:cs="Calibri"/>
                <w:color w:val="000000"/>
                <w:sz w:val="18"/>
                <w:szCs w:val="18"/>
              </w:rPr>
              <w:t>Postal and courier services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3,8</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4,5</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0,9</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1,4</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firstLineChars="100" w:firstLine="181"/>
              <w:rPr>
                <w:rFonts w:cs="Calibri"/>
                <w:b/>
                <w:bCs/>
                <w:color w:val="000000"/>
                <w:sz w:val="18"/>
                <w:szCs w:val="18"/>
              </w:rPr>
            </w:pPr>
            <w:r w:rsidRPr="00705CFC">
              <w:rPr>
                <w:rFonts w:cs="Calibri"/>
                <w:b/>
                <w:bCs/>
                <w:color w:val="000000"/>
                <w:sz w:val="18"/>
                <w:szCs w:val="18"/>
              </w:rPr>
              <w:t>Travel</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1 144,4</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1 480,6</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275,0</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384,1</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450,5</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371,0</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345,0</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238,6</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17,1</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32,4</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56,9</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Business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12,3</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23,8</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4,3</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42,6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10,1</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10,7</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11,4</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Personal</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1 132,1</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1 456,8</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272,0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379,8</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443,4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361,6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302,5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228,5</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6,4</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22,0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45,5</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health-related</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4,2</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0,9</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0,2</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0,6</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education-related</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5,3</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2,5</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0,9</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3,1</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Other</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1 125,8</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1 442,6</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268,1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377,1</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440,0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357,4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291,9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224,9</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5,3</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20,0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41,8</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firstLineChars="100" w:firstLine="181"/>
              <w:rPr>
                <w:rFonts w:cs="Calibri"/>
                <w:b/>
                <w:bCs/>
                <w:color w:val="000000"/>
                <w:sz w:val="18"/>
                <w:szCs w:val="18"/>
              </w:rPr>
            </w:pPr>
            <w:r w:rsidRPr="00705CFC">
              <w:rPr>
                <w:rFonts w:cs="Calibri"/>
                <w:b/>
                <w:bCs/>
                <w:color w:val="000000"/>
                <w:sz w:val="18"/>
                <w:szCs w:val="18"/>
              </w:rPr>
              <w:t>Construction</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28,3</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50,3</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7,2</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17,3</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16,4</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9,4</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44,8</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10,6</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11,1</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8,4</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14,8</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Construction abroad</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2,6</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Construction in Uzbekistan</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25,7</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50,3</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17,3</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44,8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10,6</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14,8</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firstLineChars="100" w:firstLine="181"/>
              <w:rPr>
                <w:rFonts w:cs="Calibri"/>
                <w:b/>
                <w:bCs/>
                <w:color w:val="000000"/>
                <w:sz w:val="18"/>
                <w:szCs w:val="18"/>
              </w:rPr>
            </w:pPr>
            <w:r w:rsidRPr="00705CFC">
              <w:rPr>
                <w:rFonts w:cs="Calibri"/>
                <w:b/>
                <w:bCs/>
                <w:color w:val="000000"/>
                <w:sz w:val="18"/>
                <w:szCs w:val="18"/>
              </w:rPr>
              <w:t xml:space="preserve"> Insurance and pension services</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6,6</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7,4</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1,8</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1,8</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2,2</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17,2</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2,2</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2,5</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11,4</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 xml:space="preserve">Direct insurance </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6,5</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6,4</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1,8</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11,2</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 xml:space="preserve">Reinsurance </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0,1</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0,1</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0,2</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Auxiliary insurance services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firstLineChars="100" w:firstLine="181"/>
              <w:rPr>
                <w:rFonts w:cs="Calibri"/>
                <w:b/>
                <w:bCs/>
                <w:color w:val="000000"/>
                <w:sz w:val="18"/>
                <w:szCs w:val="18"/>
              </w:rPr>
            </w:pPr>
            <w:r w:rsidRPr="00705CFC">
              <w:rPr>
                <w:rFonts w:cs="Calibri"/>
                <w:b/>
                <w:bCs/>
                <w:color w:val="000000"/>
                <w:sz w:val="18"/>
                <w:szCs w:val="18"/>
              </w:rPr>
              <w:t>Financial services</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29,0</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29,6</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5,5</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8,0</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8,5</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7,6</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20,9</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4,1</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4,5</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5,5</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6,9</w:t>
            </w:r>
          </w:p>
        </w:tc>
      </w:tr>
      <w:tr w:rsidR="003C7C79" w:rsidRPr="00705CFC" w:rsidTr="00B911C9">
        <w:trPr>
          <w:trHeight w:val="630"/>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left="180"/>
              <w:rPr>
                <w:rFonts w:cs="Calibri"/>
                <w:b/>
                <w:bCs/>
                <w:color w:val="000000"/>
                <w:sz w:val="18"/>
                <w:szCs w:val="18"/>
                <w:lang w:val="en-US"/>
              </w:rPr>
            </w:pPr>
            <w:r w:rsidRPr="00705CFC">
              <w:rPr>
                <w:rFonts w:cs="Calibri"/>
                <w:b/>
                <w:bCs/>
                <w:color w:val="000000"/>
                <w:sz w:val="18"/>
                <w:szCs w:val="18"/>
                <w:lang w:val="en-US"/>
              </w:rPr>
              <w:t>Charges for the use of intellectual property, not included elsewhere</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0,3</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0,1</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0,1</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0,1</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0,1</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0,1</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left="180"/>
              <w:rPr>
                <w:rFonts w:cs="Calibri"/>
                <w:b/>
                <w:bCs/>
                <w:color w:val="000000"/>
                <w:sz w:val="18"/>
                <w:szCs w:val="18"/>
                <w:lang w:val="en-US"/>
              </w:rPr>
            </w:pPr>
            <w:r w:rsidRPr="00705CFC">
              <w:rPr>
                <w:rFonts w:cs="Calibri"/>
                <w:b/>
                <w:bCs/>
                <w:color w:val="000000"/>
                <w:sz w:val="18"/>
                <w:szCs w:val="18"/>
                <w:lang w:val="en-US"/>
              </w:rPr>
              <w:t>Telecommunications, computer and information  services</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156,5</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165,4</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29,5</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42,5</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49,1</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44,3</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166,5</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33,7</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42,6</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50,8</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39,5</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lastRenderedPageBreak/>
              <w:t>Telecommunications services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150,2</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156,6</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27,7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40,3</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46,8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41,8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151,6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31,0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39,6</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44,6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36,4</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Computer services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5,1</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7,0</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Information services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1,9</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0,5</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1,4</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0,9</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firstLineChars="100" w:firstLine="181"/>
              <w:rPr>
                <w:rFonts w:cs="Calibri"/>
                <w:b/>
                <w:bCs/>
                <w:color w:val="000000"/>
                <w:sz w:val="18"/>
                <w:szCs w:val="18"/>
              </w:rPr>
            </w:pPr>
            <w:r w:rsidRPr="00705CFC">
              <w:rPr>
                <w:rFonts w:cs="Calibri"/>
                <w:b/>
                <w:bCs/>
                <w:color w:val="000000"/>
                <w:sz w:val="18"/>
                <w:szCs w:val="18"/>
              </w:rPr>
              <w:t>Other business services</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61,0</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65,8</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15,2</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16,8</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15,3</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18,5</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72,2</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13,7</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17,5</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20,6</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20,4</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257" w:firstLine="463"/>
              <w:rPr>
                <w:rFonts w:cs="Calibri"/>
                <w:color w:val="000000"/>
                <w:sz w:val="18"/>
                <w:szCs w:val="18"/>
              </w:rPr>
            </w:pPr>
            <w:r w:rsidRPr="00705CFC">
              <w:rPr>
                <w:rFonts w:cs="Calibri"/>
                <w:color w:val="000000"/>
                <w:sz w:val="18"/>
                <w:szCs w:val="18"/>
              </w:rPr>
              <w:t>Research and development services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9,8</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7,8</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0,4</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2,2</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2,4</w:t>
            </w:r>
          </w:p>
        </w:tc>
      </w:tr>
      <w:tr w:rsidR="003C7C79" w:rsidRPr="00705CFC" w:rsidTr="001D56EC">
        <w:trPr>
          <w:trHeight w:val="51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left="464"/>
              <w:rPr>
                <w:rFonts w:cs="Calibri"/>
                <w:color w:val="000000"/>
                <w:sz w:val="18"/>
                <w:szCs w:val="18"/>
                <w:lang w:val="en-US"/>
              </w:rPr>
            </w:pPr>
            <w:r w:rsidRPr="00705CFC">
              <w:rPr>
                <w:rFonts w:cs="Calibri"/>
                <w:color w:val="000000"/>
                <w:sz w:val="18"/>
                <w:szCs w:val="18"/>
                <w:lang w:val="en-US"/>
              </w:rPr>
              <w:t>Professional and management consulting services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15,8</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21,7</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6,7</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3,6</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4,5</w:t>
            </w:r>
          </w:p>
        </w:tc>
      </w:tr>
      <w:tr w:rsidR="003C7C79" w:rsidRPr="00705CFC" w:rsidTr="001D56EC">
        <w:trPr>
          <w:trHeight w:val="51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left="464"/>
              <w:rPr>
                <w:rFonts w:cs="Calibri"/>
                <w:color w:val="000000"/>
                <w:sz w:val="18"/>
                <w:szCs w:val="18"/>
                <w:lang w:val="en-US"/>
              </w:rPr>
            </w:pPr>
            <w:r w:rsidRPr="00705CFC">
              <w:rPr>
                <w:rFonts w:cs="Calibri"/>
                <w:color w:val="000000"/>
                <w:sz w:val="18"/>
                <w:szCs w:val="18"/>
                <w:lang w:val="en-US"/>
              </w:rPr>
              <w:t>Technical, trade-related, and other business services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35,4</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36,3</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48,8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9,7</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10,2</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13,4</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firstLineChars="100" w:firstLine="181"/>
              <w:rPr>
                <w:rFonts w:cs="Calibri"/>
                <w:b/>
                <w:bCs/>
                <w:color w:val="000000"/>
                <w:sz w:val="18"/>
                <w:szCs w:val="18"/>
                <w:lang w:val="en-US"/>
              </w:rPr>
            </w:pPr>
            <w:r w:rsidRPr="00705CFC">
              <w:rPr>
                <w:rFonts w:cs="Calibri"/>
                <w:b/>
                <w:bCs/>
                <w:color w:val="000000"/>
                <w:sz w:val="18"/>
                <w:szCs w:val="18"/>
                <w:lang w:val="en-US"/>
              </w:rPr>
              <w:t xml:space="preserve"> Personal, cultural, and recreational services1</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0,8</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0,2</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0,3</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0,2</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0,3</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0,3</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0,2</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0,1</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Audiovisual and related services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left="464"/>
              <w:rPr>
                <w:rFonts w:cs="Calibri"/>
                <w:color w:val="000000"/>
                <w:sz w:val="18"/>
                <w:szCs w:val="18"/>
                <w:lang w:val="en-US"/>
              </w:rPr>
            </w:pPr>
            <w:r w:rsidRPr="00705CFC">
              <w:rPr>
                <w:rFonts w:cs="Calibri"/>
                <w:color w:val="000000"/>
                <w:sz w:val="18"/>
                <w:szCs w:val="18"/>
                <w:lang w:val="en-US"/>
              </w:rPr>
              <w:t xml:space="preserve"> Other personal, cultural, and recreational services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0,8</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0,3</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0,2</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0,1</w:t>
            </w:r>
          </w:p>
        </w:tc>
      </w:tr>
      <w:tr w:rsidR="003C7C79" w:rsidRPr="00705CFC" w:rsidTr="001D56EC">
        <w:trPr>
          <w:trHeight w:val="510"/>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left="180"/>
              <w:rPr>
                <w:rFonts w:cs="Calibri"/>
                <w:b/>
                <w:bCs/>
                <w:color w:val="000000"/>
                <w:sz w:val="18"/>
                <w:szCs w:val="18"/>
                <w:lang w:val="en-US"/>
              </w:rPr>
            </w:pPr>
            <w:r w:rsidRPr="00705CFC">
              <w:rPr>
                <w:rFonts w:cs="Calibri"/>
                <w:b/>
                <w:bCs/>
                <w:color w:val="000000"/>
                <w:sz w:val="18"/>
                <w:szCs w:val="18"/>
                <w:lang w:val="en-US"/>
              </w:rPr>
              <w:t>Government goods and services, not included elsewhere</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18,3</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19,7</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3,7</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4,5</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6,4</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5,2</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7,0</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2,8</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0,6</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2,5</w:t>
            </w:r>
          </w:p>
        </w:tc>
      </w:tr>
      <w:tr w:rsidR="00705CFC" w:rsidRPr="00705CFC" w:rsidTr="00B911C9">
        <w:trPr>
          <w:trHeight w:val="300"/>
        </w:trPr>
        <w:tc>
          <w:tcPr>
            <w:tcW w:w="4253" w:type="dxa"/>
            <w:tcBorders>
              <w:top w:val="single" w:sz="4" w:space="0" w:color="5B9BD5"/>
              <w:left w:val="single" w:sz="4" w:space="0" w:color="5B9BD5"/>
              <w:bottom w:val="single" w:sz="4" w:space="0" w:color="5B9BD5"/>
              <w:right w:val="nil"/>
            </w:tcBorders>
            <w:shd w:val="clear" w:color="auto" w:fill="auto"/>
            <w:vAlign w:val="center"/>
            <w:hideMark/>
          </w:tcPr>
          <w:p w:rsidR="00705CFC" w:rsidRPr="00705CFC" w:rsidRDefault="00705CFC" w:rsidP="00705CFC">
            <w:pPr>
              <w:rPr>
                <w:rFonts w:cs="Calibri"/>
                <w:b/>
                <w:bCs/>
                <w:color w:val="000000"/>
                <w:sz w:val="18"/>
                <w:szCs w:val="18"/>
              </w:rPr>
            </w:pPr>
            <w:r w:rsidRPr="00705CFC">
              <w:rPr>
                <w:rFonts w:cs="Calibri"/>
                <w:b/>
                <w:bCs/>
                <w:color w:val="000000"/>
                <w:sz w:val="18"/>
                <w:szCs w:val="18"/>
              </w:rPr>
              <w:t> </w:t>
            </w:r>
          </w:p>
        </w:tc>
        <w:tc>
          <w:tcPr>
            <w:tcW w:w="993" w:type="dxa"/>
            <w:tcBorders>
              <w:top w:val="single" w:sz="4" w:space="0" w:color="5B9BD5"/>
              <w:left w:val="nil"/>
              <w:bottom w:val="single" w:sz="4" w:space="0" w:color="5B9BD5"/>
              <w:right w:val="nil"/>
            </w:tcBorders>
            <w:shd w:val="clear" w:color="auto" w:fill="auto"/>
            <w:noWrap/>
            <w:vAlign w:val="center"/>
            <w:hideMark/>
          </w:tcPr>
          <w:p w:rsidR="00705CFC" w:rsidRPr="00705CFC" w:rsidRDefault="00705CFC" w:rsidP="00B060F7">
            <w:pPr>
              <w:jc w:val="center"/>
              <w:rPr>
                <w:rFonts w:cs="Calibri"/>
                <w:color w:val="000000"/>
                <w:sz w:val="16"/>
                <w:szCs w:val="16"/>
              </w:rPr>
            </w:pPr>
          </w:p>
        </w:tc>
        <w:tc>
          <w:tcPr>
            <w:tcW w:w="850" w:type="dxa"/>
            <w:tcBorders>
              <w:top w:val="single" w:sz="4" w:space="0" w:color="5B9BD5"/>
              <w:left w:val="nil"/>
              <w:bottom w:val="single" w:sz="4" w:space="0" w:color="5B9BD5"/>
              <w:right w:val="nil"/>
            </w:tcBorders>
            <w:shd w:val="clear" w:color="auto" w:fill="auto"/>
            <w:noWrap/>
            <w:vAlign w:val="center"/>
            <w:hideMark/>
          </w:tcPr>
          <w:p w:rsidR="00705CFC" w:rsidRPr="00705CFC" w:rsidRDefault="00705CFC" w:rsidP="00B060F7">
            <w:pPr>
              <w:jc w:val="center"/>
              <w:rPr>
                <w:rFonts w:cs="Calibri"/>
                <w:color w:val="000000"/>
                <w:sz w:val="16"/>
                <w:szCs w:val="16"/>
              </w:rPr>
            </w:pPr>
          </w:p>
        </w:tc>
        <w:tc>
          <w:tcPr>
            <w:tcW w:w="1134" w:type="dxa"/>
            <w:tcBorders>
              <w:top w:val="single" w:sz="4" w:space="0" w:color="5B9BD5"/>
              <w:left w:val="nil"/>
              <w:bottom w:val="single" w:sz="4" w:space="0" w:color="5B9BD5"/>
              <w:right w:val="nil"/>
            </w:tcBorders>
            <w:shd w:val="clear" w:color="auto" w:fill="auto"/>
            <w:noWrap/>
            <w:vAlign w:val="center"/>
            <w:hideMark/>
          </w:tcPr>
          <w:p w:rsidR="00705CFC" w:rsidRPr="00705CFC" w:rsidRDefault="00705CFC" w:rsidP="00B060F7">
            <w:pPr>
              <w:jc w:val="center"/>
              <w:rPr>
                <w:rFonts w:cs="Calibri"/>
                <w:color w:val="000000"/>
                <w:sz w:val="16"/>
                <w:szCs w:val="16"/>
              </w:rPr>
            </w:pPr>
          </w:p>
        </w:tc>
        <w:tc>
          <w:tcPr>
            <w:tcW w:w="992" w:type="dxa"/>
            <w:tcBorders>
              <w:top w:val="single" w:sz="4" w:space="0" w:color="5B9BD5"/>
              <w:left w:val="nil"/>
              <w:bottom w:val="single" w:sz="4" w:space="0" w:color="5B9BD5"/>
              <w:right w:val="nil"/>
            </w:tcBorders>
            <w:shd w:val="clear" w:color="auto" w:fill="auto"/>
            <w:noWrap/>
            <w:vAlign w:val="center"/>
            <w:hideMark/>
          </w:tcPr>
          <w:p w:rsidR="00705CFC" w:rsidRPr="00705CFC" w:rsidRDefault="00705CFC" w:rsidP="00B060F7">
            <w:pPr>
              <w:jc w:val="center"/>
              <w:rPr>
                <w:rFonts w:cs="Calibri"/>
                <w:color w:val="000000"/>
                <w:sz w:val="16"/>
                <w:szCs w:val="16"/>
              </w:rPr>
            </w:pPr>
          </w:p>
        </w:tc>
        <w:tc>
          <w:tcPr>
            <w:tcW w:w="993" w:type="dxa"/>
            <w:tcBorders>
              <w:top w:val="single" w:sz="4" w:space="0" w:color="5B9BD5"/>
              <w:left w:val="nil"/>
              <w:bottom w:val="single" w:sz="4" w:space="0" w:color="5B9BD5"/>
              <w:right w:val="nil"/>
            </w:tcBorders>
            <w:shd w:val="clear" w:color="auto" w:fill="auto"/>
            <w:noWrap/>
            <w:vAlign w:val="center"/>
            <w:hideMark/>
          </w:tcPr>
          <w:p w:rsidR="00705CFC" w:rsidRPr="00705CFC" w:rsidRDefault="00705CFC" w:rsidP="00B060F7">
            <w:pPr>
              <w:jc w:val="center"/>
              <w:rPr>
                <w:rFonts w:cs="Calibri"/>
                <w:color w:val="000000"/>
                <w:sz w:val="16"/>
                <w:szCs w:val="16"/>
              </w:rPr>
            </w:pPr>
          </w:p>
        </w:tc>
        <w:tc>
          <w:tcPr>
            <w:tcW w:w="992" w:type="dxa"/>
            <w:tcBorders>
              <w:top w:val="single" w:sz="4" w:space="0" w:color="5B9BD5"/>
              <w:left w:val="nil"/>
              <w:bottom w:val="single" w:sz="4" w:space="0" w:color="5B9BD5"/>
              <w:right w:val="single" w:sz="4" w:space="0" w:color="5B9BD5"/>
            </w:tcBorders>
            <w:shd w:val="clear" w:color="auto" w:fill="auto"/>
            <w:noWrap/>
            <w:vAlign w:val="center"/>
            <w:hideMark/>
          </w:tcPr>
          <w:p w:rsidR="00705CFC" w:rsidRPr="00705CFC" w:rsidRDefault="00705CFC" w:rsidP="00B060F7">
            <w:pPr>
              <w:jc w:val="center"/>
              <w:rPr>
                <w:rFonts w:cs="Calibri"/>
                <w:color w:val="000000"/>
                <w:sz w:val="16"/>
                <w:szCs w:val="16"/>
              </w:rPr>
            </w:pPr>
          </w:p>
        </w:tc>
        <w:tc>
          <w:tcPr>
            <w:tcW w:w="992" w:type="dxa"/>
            <w:tcBorders>
              <w:top w:val="single" w:sz="4" w:space="0" w:color="5B9BD5"/>
              <w:left w:val="nil"/>
              <w:bottom w:val="single" w:sz="4" w:space="0" w:color="5B9BD5"/>
              <w:right w:val="nil"/>
            </w:tcBorders>
            <w:shd w:val="clear" w:color="auto" w:fill="auto"/>
            <w:noWrap/>
            <w:vAlign w:val="center"/>
            <w:hideMark/>
          </w:tcPr>
          <w:p w:rsidR="00705CFC" w:rsidRPr="00705CFC" w:rsidRDefault="00705CFC" w:rsidP="00B060F7">
            <w:pPr>
              <w:jc w:val="center"/>
              <w:rPr>
                <w:rFonts w:cs="Calibri"/>
                <w:color w:val="000000"/>
                <w:sz w:val="16"/>
                <w:szCs w:val="16"/>
              </w:rPr>
            </w:pPr>
          </w:p>
        </w:tc>
        <w:tc>
          <w:tcPr>
            <w:tcW w:w="992" w:type="dxa"/>
            <w:tcBorders>
              <w:top w:val="single" w:sz="4" w:space="0" w:color="5B9BD5"/>
              <w:left w:val="nil"/>
              <w:bottom w:val="single" w:sz="4" w:space="0" w:color="5B9BD5"/>
              <w:right w:val="nil"/>
            </w:tcBorders>
            <w:shd w:val="clear" w:color="auto" w:fill="auto"/>
            <w:noWrap/>
            <w:vAlign w:val="center"/>
            <w:hideMark/>
          </w:tcPr>
          <w:p w:rsidR="00705CFC" w:rsidRPr="00705CFC" w:rsidRDefault="00705CFC" w:rsidP="00B060F7">
            <w:pPr>
              <w:jc w:val="center"/>
              <w:rPr>
                <w:rFonts w:cs="Calibri"/>
                <w:color w:val="000000"/>
                <w:sz w:val="16"/>
                <w:szCs w:val="16"/>
              </w:rPr>
            </w:pPr>
          </w:p>
        </w:tc>
        <w:tc>
          <w:tcPr>
            <w:tcW w:w="993" w:type="dxa"/>
            <w:tcBorders>
              <w:top w:val="single" w:sz="4" w:space="0" w:color="5B9BD5"/>
              <w:left w:val="nil"/>
              <w:bottom w:val="single" w:sz="4" w:space="0" w:color="5B9BD5"/>
              <w:right w:val="nil"/>
            </w:tcBorders>
            <w:shd w:val="clear" w:color="auto" w:fill="auto"/>
            <w:noWrap/>
            <w:vAlign w:val="center"/>
            <w:hideMark/>
          </w:tcPr>
          <w:p w:rsidR="00705CFC" w:rsidRPr="00705CFC" w:rsidRDefault="00705CFC" w:rsidP="00B060F7">
            <w:pPr>
              <w:jc w:val="center"/>
              <w:rPr>
                <w:rFonts w:cs="Calibri"/>
                <w:color w:val="000000"/>
                <w:sz w:val="16"/>
                <w:szCs w:val="16"/>
              </w:rPr>
            </w:pPr>
          </w:p>
        </w:tc>
        <w:tc>
          <w:tcPr>
            <w:tcW w:w="1134" w:type="dxa"/>
            <w:tcBorders>
              <w:top w:val="single" w:sz="4" w:space="0" w:color="5B9BD5"/>
              <w:left w:val="nil"/>
              <w:bottom w:val="single" w:sz="4" w:space="0" w:color="5B9BD5"/>
              <w:right w:val="nil"/>
            </w:tcBorders>
            <w:shd w:val="clear" w:color="auto" w:fill="auto"/>
            <w:noWrap/>
            <w:vAlign w:val="center"/>
            <w:hideMark/>
          </w:tcPr>
          <w:p w:rsidR="00705CFC" w:rsidRPr="00705CFC" w:rsidRDefault="00705CFC" w:rsidP="00B060F7">
            <w:pPr>
              <w:jc w:val="center"/>
              <w:rPr>
                <w:rFonts w:cs="Calibri"/>
                <w:color w:val="000000"/>
                <w:sz w:val="16"/>
                <w:szCs w:val="16"/>
              </w:rPr>
            </w:pPr>
          </w:p>
        </w:tc>
        <w:tc>
          <w:tcPr>
            <w:tcW w:w="992" w:type="dxa"/>
            <w:tcBorders>
              <w:top w:val="single" w:sz="4" w:space="0" w:color="5B9BD5"/>
              <w:left w:val="nil"/>
              <w:bottom w:val="single" w:sz="4" w:space="0" w:color="5B9BD5"/>
              <w:right w:val="single" w:sz="4" w:space="0" w:color="5B9BD5"/>
            </w:tcBorders>
            <w:shd w:val="clear" w:color="auto" w:fill="auto"/>
            <w:noWrap/>
            <w:vAlign w:val="center"/>
            <w:hideMark/>
          </w:tcPr>
          <w:p w:rsidR="00705CFC" w:rsidRPr="00705CFC" w:rsidRDefault="00705CFC" w:rsidP="00B060F7">
            <w:pPr>
              <w:jc w:val="center"/>
              <w:rPr>
                <w:rFonts w:cs="Calibri"/>
                <w:color w:val="000000"/>
                <w:sz w:val="16"/>
                <w:szCs w:val="16"/>
              </w:rPr>
            </w:pP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firstLineChars="100" w:firstLine="181"/>
              <w:rPr>
                <w:rFonts w:cs="Calibri"/>
                <w:b/>
                <w:bCs/>
                <w:color w:val="000000"/>
                <w:sz w:val="18"/>
                <w:szCs w:val="18"/>
              </w:rPr>
            </w:pPr>
            <w:r w:rsidRPr="00705CFC">
              <w:rPr>
                <w:rFonts w:cs="Calibri"/>
                <w:b/>
                <w:bCs/>
                <w:color w:val="000000"/>
                <w:sz w:val="18"/>
                <w:szCs w:val="18"/>
              </w:rPr>
              <w:t>Services Imports</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5 191,1</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5 360,9</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1190,15</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1 311,05</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1 456,9</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1 402,7</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3 511,3</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1 064,7</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686,3</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791,1</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b/>
                <w:bCs/>
                <w:color w:val="000000"/>
                <w:sz w:val="18"/>
                <w:szCs w:val="18"/>
              </w:rPr>
            </w:pPr>
            <w:r w:rsidRPr="003C7C79">
              <w:rPr>
                <w:rFonts w:asciiTheme="minorHAnsi" w:hAnsiTheme="minorHAnsi" w:cstheme="minorHAnsi"/>
                <w:b/>
                <w:bCs/>
                <w:color w:val="000000"/>
                <w:sz w:val="18"/>
                <w:szCs w:val="18"/>
              </w:rPr>
              <w:t>969,2</w:t>
            </w:r>
          </w:p>
        </w:tc>
      </w:tr>
      <w:tr w:rsidR="003C7C79" w:rsidRPr="00705CFC" w:rsidTr="001D56EC">
        <w:trPr>
          <w:trHeight w:val="510"/>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left="180"/>
              <w:rPr>
                <w:rFonts w:cs="Calibri"/>
                <w:b/>
                <w:bCs/>
                <w:color w:val="000000"/>
                <w:sz w:val="18"/>
                <w:szCs w:val="18"/>
                <w:lang w:val="en-US"/>
              </w:rPr>
            </w:pPr>
            <w:r w:rsidRPr="00705CFC">
              <w:rPr>
                <w:rFonts w:cs="Calibri"/>
                <w:b/>
                <w:bCs/>
                <w:color w:val="000000"/>
                <w:sz w:val="18"/>
                <w:szCs w:val="18"/>
                <w:lang w:val="en-US"/>
              </w:rPr>
              <w:t>Manufacturing services on physical inputs owned by others</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0,5</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0,4</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0,2</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0,2</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0,6</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0,4</w:t>
            </w:r>
          </w:p>
        </w:tc>
      </w:tr>
      <w:tr w:rsidR="003C7C79" w:rsidRPr="00705CFC" w:rsidTr="001D56EC">
        <w:trPr>
          <w:trHeight w:val="510"/>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left="180"/>
              <w:rPr>
                <w:rFonts w:cs="Calibri"/>
                <w:b/>
                <w:bCs/>
                <w:color w:val="000000"/>
                <w:sz w:val="18"/>
                <w:szCs w:val="18"/>
                <w:lang w:val="en-US"/>
              </w:rPr>
            </w:pPr>
            <w:r w:rsidRPr="00705CFC">
              <w:rPr>
                <w:rFonts w:cs="Calibri"/>
                <w:b/>
                <w:bCs/>
                <w:color w:val="000000"/>
                <w:sz w:val="18"/>
                <w:szCs w:val="18"/>
                <w:lang w:val="en-US"/>
              </w:rPr>
              <w:t>Maintenance and repair services, not included elsewhere</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15,4</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17,5</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2,9</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4,4</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3,1</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7,2</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41,9</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6,5</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14,0</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7,7</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13,8</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firstLineChars="100" w:firstLine="181"/>
              <w:rPr>
                <w:rFonts w:cs="Calibri"/>
                <w:b/>
                <w:bCs/>
                <w:color w:val="000000"/>
                <w:sz w:val="18"/>
                <w:szCs w:val="18"/>
              </w:rPr>
            </w:pPr>
            <w:r w:rsidRPr="00705CFC">
              <w:rPr>
                <w:rFonts w:cs="Calibri"/>
                <w:b/>
                <w:bCs/>
                <w:color w:val="000000"/>
                <w:sz w:val="18"/>
                <w:szCs w:val="18"/>
              </w:rPr>
              <w:t>Transport services</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2 412,6</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2 517,1</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584,6</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595,1</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634,9</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702,5</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1 821,1</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485,0</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364,1</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457,8</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514,3</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 xml:space="preserve">Passenger </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479,5</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440,4</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97,9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106,4</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116,6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119,6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174,2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91,9</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4,5</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20,2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57,6</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Freight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1 573,5</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1 666,4</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398,1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378,4</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419,0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470,9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1 473,9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307,8</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343,5</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414,4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408,2</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Other</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359,6</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410,3</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88,6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110,3</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99,3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112,1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173,0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85,3</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23,2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48,4</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Sea transport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 xml:space="preserve">Passenger </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r>
      <w:tr w:rsidR="003C7C79" w:rsidRPr="00705CFC" w:rsidTr="001D56EC">
        <w:trPr>
          <w:trHeight w:val="329"/>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Freight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r>
      <w:tr w:rsidR="003C7C79" w:rsidRPr="00705CFC" w:rsidTr="001D56EC">
        <w:trPr>
          <w:trHeight w:val="329"/>
        </w:trPr>
        <w:tc>
          <w:tcPr>
            <w:tcW w:w="4253" w:type="dxa"/>
            <w:tcBorders>
              <w:top w:val="nil"/>
              <w:left w:val="single" w:sz="4" w:space="0" w:color="5B9BD5"/>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Other</w:t>
            </w:r>
          </w:p>
        </w:tc>
        <w:tc>
          <w:tcPr>
            <w:tcW w:w="993"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850"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r>
      <w:tr w:rsidR="003C7C79" w:rsidRPr="00705CFC" w:rsidTr="001D56EC">
        <w:trPr>
          <w:trHeight w:val="329"/>
        </w:trPr>
        <w:tc>
          <w:tcPr>
            <w:tcW w:w="4253" w:type="dxa"/>
            <w:tcBorders>
              <w:top w:val="nil"/>
              <w:left w:val="single" w:sz="4" w:space="0" w:color="5B9BD5"/>
              <w:bottom w:val="single" w:sz="4" w:space="0" w:color="5B9BD5"/>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Air transport</w:t>
            </w:r>
          </w:p>
        </w:tc>
        <w:tc>
          <w:tcPr>
            <w:tcW w:w="993"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528,5</w:t>
            </w:r>
          </w:p>
        </w:tc>
        <w:tc>
          <w:tcPr>
            <w:tcW w:w="850"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480,3</w:t>
            </w:r>
          </w:p>
        </w:tc>
        <w:tc>
          <w:tcPr>
            <w:tcW w:w="1134"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105,0</w:t>
            </w:r>
          </w:p>
        </w:tc>
        <w:tc>
          <w:tcPr>
            <w:tcW w:w="992"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115,3</w:t>
            </w:r>
          </w:p>
        </w:tc>
        <w:tc>
          <w:tcPr>
            <w:tcW w:w="993"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122,6</w:t>
            </w:r>
          </w:p>
        </w:tc>
        <w:tc>
          <w:tcPr>
            <w:tcW w:w="992"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137,4</w:t>
            </w:r>
          </w:p>
        </w:tc>
        <w:tc>
          <w:tcPr>
            <w:tcW w:w="992"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231,4</w:t>
            </w:r>
          </w:p>
        </w:tc>
        <w:tc>
          <w:tcPr>
            <w:tcW w:w="992"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101,6</w:t>
            </w:r>
          </w:p>
        </w:tc>
        <w:tc>
          <w:tcPr>
            <w:tcW w:w="993"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15,1</w:t>
            </w:r>
          </w:p>
        </w:tc>
        <w:tc>
          <w:tcPr>
            <w:tcW w:w="1134"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31,3</w:t>
            </w:r>
          </w:p>
        </w:tc>
        <w:tc>
          <w:tcPr>
            <w:tcW w:w="992"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83,4</w:t>
            </w:r>
          </w:p>
        </w:tc>
      </w:tr>
      <w:tr w:rsidR="003C7C79" w:rsidRPr="00705CFC" w:rsidTr="001D56EC">
        <w:trPr>
          <w:trHeight w:val="340"/>
        </w:trPr>
        <w:tc>
          <w:tcPr>
            <w:tcW w:w="4253" w:type="dxa"/>
            <w:tcBorders>
              <w:top w:val="single" w:sz="4" w:space="0" w:color="5B9BD5"/>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lastRenderedPageBreak/>
              <w:t xml:space="preserve">Passenger </w:t>
            </w:r>
          </w:p>
        </w:tc>
        <w:tc>
          <w:tcPr>
            <w:tcW w:w="993" w:type="dxa"/>
            <w:tcBorders>
              <w:top w:val="single" w:sz="4" w:space="0" w:color="5B9BD5"/>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393,2</w:t>
            </w:r>
          </w:p>
        </w:tc>
        <w:tc>
          <w:tcPr>
            <w:tcW w:w="850" w:type="dxa"/>
            <w:tcBorders>
              <w:top w:val="single" w:sz="4" w:space="0" w:color="5B9BD5"/>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356,3</w:t>
            </w:r>
          </w:p>
        </w:tc>
        <w:tc>
          <w:tcPr>
            <w:tcW w:w="1134" w:type="dxa"/>
            <w:tcBorders>
              <w:top w:val="single" w:sz="4" w:space="0" w:color="5B9BD5"/>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80,7</w:t>
            </w:r>
          </w:p>
        </w:tc>
        <w:tc>
          <w:tcPr>
            <w:tcW w:w="992" w:type="dxa"/>
            <w:tcBorders>
              <w:top w:val="single" w:sz="4" w:space="0" w:color="5B9BD5"/>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85,4</w:t>
            </w:r>
          </w:p>
        </w:tc>
        <w:tc>
          <w:tcPr>
            <w:tcW w:w="993" w:type="dxa"/>
            <w:tcBorders>
              <w:top w:val="single" w:sz="4" w:space="0" w:color="5B9BD5"/>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93,3</w:t>
            </w:r>
          </w:p>
        </w:tc>
        <w:tc>
          <w:tcPr>
            <w:tcW w:w="992" w:type="dxa"/>
            <w:tcBorders>
              <w:top w:val="single" w:sz="4" w:space="0" w:color="5B9BD5"/>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96,9</w:t>
            </w:r>
          </w:p>
        </w:tc>
        <w:tc>
          <w:tcPr>
            <w:tcW w:w="992" w:type="dxa"/>
            <w:tcBorders>
              <w:top w:val="single" w:sz="4" w:space="0" w:color="5B9BD5"/>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143,4</w:t>
            </w:r>
          </w:p>
        </w:tc>
        <w:tc>
          <w:tcPr>
            <w:tcW w:w="992" w:type="dxa"/>
            <w:tcBorders>
              <w:top w:val="single" w:sz="4" w:space="0" w:color="5B9BD5"/>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75,3</w:t>
            </w:r>
          </w:p>
        </w:tc>
        <w:tc>
          <w:tcPr>
            <w:tcW w:w="993" w:type="dxa"/>
            <w:tcBorders>
              <w:top w:val="single" w:sz="4" w:space="0" w:color="5B9BD5"/>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w:t>
            </w:r>
          </w:p>
        </w:tc>
        <w:tc>
          <w:tcPr>
            <w:tcW w:w="1134" w:type="dxa"/>
            <w:tcBorders>
              <w:top w:val="single" w:sz="4" w:space="0" w:color="5B9BD5"/>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15,7</w:t>
            </w:r>
          </w:p>
        </w:tc>
        <w:tc>
          <w:tcPr>
            <w:tcW w:w="992" w:type="dxa"/>
            <w:tcBorders>
              <w:top w:val="single" w:sz="4" w:space="0" w:color="5B9BD5"/>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50,2</w:t>
            </w:r>
          </w:p>
        </w:tc>
      </w:tr>
      <w:tr w:rsidR="003C7C79" w:rsidRPr="00705CFC" w:rsidTr="001D56EC">
        <w:trPr>
          <w:trHeight w:val="34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Freight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46,8</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17,8</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2,7</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35,5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4,5</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5,9</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18,9</w:t>
            </w:r>
          </w:p>
        </w:tc>
      </w:tr>
      <w:tr w:rsidR="003C7C79" w:rsidRPr="00705CFC" w:rsidTr="001D56EC">
        <w:trPr>
          <w:trHeight w:val="34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Other</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88,5</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106,1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27,2</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26,9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30,2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52,7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21,7</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14,3</w:t>
            </w:r>
          </w:p>
        </w:tc>
      </w:tr>
      <w:tr w:rsidR="003C7C79" w:rsidRPr="00705CFC" w:rsidTr="001D56EC">
        <w:trPr>
          <w:trHeight w:val="34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Others modes of transport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1 884,1</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2 036,8</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479,5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479,8</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512,3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565,2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1 589,6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383,4</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348,9</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426,5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430,9</w:t>
            </w:r>
          </w:p>
        </w:tc>
      </w:tr>
      <w:tr w:rsidR="003C7C79" w:rsidRPr="00705CFC" w:rsidTr="001D56EC">
        <w:trPr>
          <w:trHeight w:val="34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 xml:space="preserve">Passenger </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86,3</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84,1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23,3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22,6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30,8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16,5</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2,4</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7,4</w:t>
            </w:r>
          </w:p>
        </w:tc>
      </w:tr>
      <w:tr w:rsidR="003C7C79" w:rsidRPr="00705CFC" w:rsidTr="001D56EC">
        <w:trPr>
          <w:trHeight w:val="34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Freight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1 526,7</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1 648,6</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395,6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375,7</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416,6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460,6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1 438,4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303,2</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337,6</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408,2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389,4</w:t>
            </w:r>
          </w:p>
        </w:tc>
      </w:tr>
      <w:tr w:rsidR="003C7C79" w:rsidRPr="00705CFC" w:rsidTr="001D56EC">
        <w:trPr>
          <w:trHeight w:val="34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Other</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271,1</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304,2</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66,8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83,0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72,4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81,9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120,4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63,6</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8,9</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34,1</w:t>
            </w:r>
          </w:p>
        </w:tc>
      </w:tr>
      <w:tr w:rsidR="003C7C79" w:rsidRPr="00D040FC" w:rsidTr="001D56EC">
        <w:trPr>
          <w:trHeight w:val="34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100" w:firstLine="180"/>
              <w:rPr>
                <w:rFonts w:cs="Calibri"/>
                <w:i/>
                <w:iCs/>
                <w:sz w:val="18"/>
                <w:szCs w:val="18"/>
                <w:lang w:val="en-US"/>
              </w:rPr>
            </w:pPr>
            <w:r w:rsidRPr="00705CFC">
              <w:rPr>
                <w:rFonts w:cs="Calibri"/>
                <w:i/>
                <w:iCs/>
                <w:sz w:val="18"/>
                <w:szCs w:val="18"/>
                <w:lang w:val="en-US"/>
              </w:rPr>
              <w:t>Expanded classification of modes of transport</w:t>
            </w:r>
          </w:p>
        </w:tc>
        <w:tc>
          <w:tcPr>
            <w:tcW w:w="993" w:type="dxa"/>
            <w:tcBorders>
              <w:top w:val="nil"/>
              <w:left w:val="nil"/>
              <w:bottom w:val="nil"/>
              <w:right w:val="single" w:sz="4" w:space="0" w:color="5B9BD5"/>
            </w:tcBorders>
            <w:shd w:val="clear" w:color="auto" w:fill="auto"/>
            <w:noWrap/>
            <w:vAlign w:val="center"/>
            <w:hideMark/>
          </w:tcPr>
          <w:p w:rsidR="003C7C79" w:rsidRPr="006F69F0" w:rsidRDefault="003C7C79" w:rsidP="003C7C79">
            <w:pPr>
              <w:jc w:val="right"/>
              <w:rPr>
                <w:rFonts w:asciiTheme="minorHAnsi" w:hAnsiTheme="minorHAnsi" w:cstheme="minorHAnsi"/>
                <w:color w:val="000000"/>
                <w:sz w:val="18"/>
                <w:szCs w:val="18"/>
                <w:lang w:val="en-US"/>
              </w:rPr>
            </w:pPr>
          </w:p>
        </w:tc>
        <w:tc>
          <w:tcPr>
            <w:tcW w:w="850" w:type="dxa"/>
            <w:tcBorders>
              <w:top w:val="nil"/>
              <w:left w:val="nil"/>
              <w:bottom w:val="nil"/>
              <w:right w:val="single" w:sz="4" w:space="0" w:color="5B9BD5"/>
            </w:tcBorders>
            <w:shd w:val="clear" w:color="auto" w:fill="auto"/>
            <w:noWrap/>
            <w:vAlign w:val="center"/>
            <w:hideMark/>
          </w:tcPr>
          <w:p w:rsidR="003C7C79" w:rsidRPr="006F69F0" w:rsidRDefault="003C7C79" w:rsidP="003C7C79">
            <w:pPr>
              <w:jc w:val="right"/>
              <w:rPr>
                <w:rFonts w:asciiTheme="minorHAnsi" w:hAnsiTheme="minorHAnsi" w:cstheme="minorHAnsi"/>
                <w:color w:val="000000"/>
                <w:sz w:val="18"/>
                <w:szCs w:val="18"/>
                <w:lang w:val="en-US"/>
              </w:rPr>
            </w:pPr>
          </w:p>
        </w:tc>
        <w:tc>
          <w:tcPr>
            <w:tcW w:w="1134" w:type="dxa"/>
            <w:tcBorders>
              <w:top w:val="nil"/>
              <w:left w:val="nil"/>
              <w:bottom w:val="nil"/>
              <w:right w:val="single" w:sz="4" w:space="0" w:color="5B9BD5"/>
            </w:tcBorders>
            <w:shd w:val="clear" w:color="auto" w:fill="auto"/>
            <w:noWrap/>
            <w:vAlign w:val="center"/>
            <w:hideMark/>
          </w:tcPr>
          <w:p w:rsidR="003C7C79" w:rsidRPr="006F69F0" w:rsidRDefault="003C7C79" w:rsidP="003C7C79">
            <w:pPr>
              <w:jc w:val="right"/>
              <w:rPr>
                <w:rFonts w:asciiTheme="minorHAnsi" w:hAnsiTheme="minorHAnsi" w:cstheme="minorHAnsi"/>
                <w:color w:val="000000"/>
                <w:sz w:val="18"/>
                <w:szCs w:val="18"/>
                <w:lang w:val="en-US"/>
              </w:rPr>
            </w:pPr>
          </w:p>
        </w:tc>
        <w:tc>
          <w:tcPr>
            <w:tcW w:w="992" w:type="dxa"/>
            <w:tcBorders>
              <w:top w:val="nil"/>
              <w:left w:val="nil"/>
              <w:bottom w:val="nil"/>
              <w:right w:val="single" w:sz="4" w:space="0" w:color="5B9BD5"/>
            </w:tcBorders>
            <w:shd w:val="clear" w:color="auto" w:fill="auto"/>
            <w:noWrap/>
            <w:vAlign w:val="center"/>
            <w:hideMark/>
          </w:tcPr>
          <w:p w:rsidR="003C7C79" w:rsidRPr="006F69F0" w:rsidRDefault="003C7C79" w:rsidP="003C7C79">
            <w:pPr>
              <w:jc w:val="right"/>
              <w:rPr>
                <w:rFonts w:asciiTheme="minorHAnsi" w:hAnsiTheme="minorHAnsi" w:cstheme="minorHAnsi"/>
                <w:color w:val="000000"/>
                <w:sz w:val="18"/>
                <w:szCs w:val="18"/>
                <w:lang w:val="en-US"/>
              </w:rPr>
            </w:pPr>
          </w:p>
        </w:tc>
        <w:tc>
          <w:tcPr>
            <w:tcW w:w="993" w:type="dxa"/>
            <w:tcBorders>
              <w:top w:val="nil"/>
              <w:left w:val="nil"/>
              <w:bottom w:val="nil"/>
              <w:right w:val="single" w:sz="4" w:space="0" w:color="5B9BD5"/>
            </w:tcBorders>
            <w:shd w:val="clear" w:color="auto" w:fill="auto"/>
            <w:noWrap/>
            <w:vAlign w:val="center"/>
            <w:hideMark/>
          </w:tcPr>
          <w:p w:rsidR="003C7C79" w:rsidRPr="006F69F0" w:rsidRDefault="003C7C79" w:rsidP="003C7C79">
            <w:pPr>
              <w:jc w:val="right"/>
              <w:rPr>
                <w:rFonts w:asciiTheme="minorHAnsi" w:hAnsiTheme="minorHAnsi" w:cstheme="minorHAnsi"/>
                <w:color w:val="000000"/>
                <w:sz w:val="18"/>
                <w:szCs w:val="18"/>
                <w:lang w:val="en-US"/>
              </w:rPr>
            </w:pPr>
          </w:p>
        </w:tc>
        <w:tc>
          <w:tcPr>
            <w:tcW w:w="992" w:type="dxa"/>
            <w:tcBorders>
              <w:top w:val="nil"/>
              <w:left w:val="nil"/>
              <w:bottom w:val="nil"/>
              <w:right w:val="single" w:sz="4" w:space="0" w:color="5B9BD5"/>
            </w:tcBorders>
            <w:shd w:val="clear" w:color="auto" w:fill="auto"/>
            <w:noWrap/>
            <w:vAlign w:val="center"/>
            <w:hideMark/>
          </w:tcPr>
          <w:p w:rsidR="003C7C79" w:rsidRPr="006F69F0" w:rsidRDefault="003C7C79" w:rsidP="003C7C79">
            <w:pPr>
              <w:jc w:val="right"/>
              <w:rPr>
                <w:rFonts w:asciiTheme="minorHAnsi" w:hAnsiTheme="minorHAnsi" w:cstheme="minorHAnsi"/>
                <w:color w:val="000000"/>
                <w:sz w:val="18"/>
                <w:szCs w:val="18"/>
                <w:lang w:val="en-US"/>
              </w:rPr>
            </w:pPr>
          </w:p>
        </w:tc>
        <w:tc>
          <w:tcPr>
            <w:tcW w:w="992" w:type="dxa"/>
            <w:tcBorders>
              <w:top w:val="nil"/>
              <w:left w:val="nil"/>
              <w:bottom w:val="nil"/>
              <w:right w:val="single" w:sz="4" w:space="0" w:color="5B9BD5"/>
            </w:tcBorders>
            <w:shd w:val="clear" w:color="auto" w:fill="auto"/>
            <w:noWrap/>
            <w:vAlign w:val="center"/>
            <w:hideMark/>
          </w:tcPr>
          <w:p w:rsidR="003C7C79" w:rsidRPr="006F69F0" w:rsidRDefault="003C7C79" w:rsidP="003C7C79">
            <w:pPr>
              <w:jc w:val="right"/>
              <w:rPr>
                <w:rFonts w:asciiTheme="minorHAnsi" w:hAnsiTheme="minorHAnsi" w:cstheme="minorHAnsi"/>
                <w:color w:val="000000"/>
                <w:sz w:val="18"/>
                <w:szCs w:val="18"/>
                <w:lang w:val="en-US"/>
              </w:rPr>
            </w:pPr>
          </w:p>
        </w:tc>
        <w:tc>
          <w:tcPr>
            <w:tcW w:w="992" w:type="dxa"/>
            <w:tcBorders>
              <w:top w:val="nil"/>
              <w:left w:val="nil"/>
              <w:bottom w:val="nil"/>
              <w:right w:val="single" w:sz="4" w:space="0" w:color="5B9BD5"/>
            </w:tcBorders>
            <w:shd w:val="clear" w:color="auto" w:fill="auto"/>
            <w:noWrap/>
            <w:vAlign w:val="center"/>
            <w:hideMark/>
          </w:tcPr>
          <w:p w:rsidR="003C7C79" w:rsidRPr="006F69F0" w:rsidRDefault="003C7C79" w:rsidP="003C7C79">
            <w:pPr>
              <w:jc w:val="right"/>
              <w:rPr>
                <w:rFonts w:asciiTheme="minorHAnsi" w:hAnsiTheme="minorHAnsi" w:cstheme="minorHAnsi"/>
                <w:color w:val="000000"/>
                <w:sz w:val="18"/>
                <w:szCs w:val="18"/>
                <w:lang w:val="en-US"/>
              </w:rPr>
            </w:pPr>
          </w:p>
        </w:tc>
        <w:tc>
          <w:tcPr>
            <w:tcW w:w="993" w:type="dxa"/>
            <w:tcBorders>
              <w:top w:val="nil"/>
              <w:left w:val="nil"/>
              <w:bottom w:val="nil"/>
              <w:right w:val="single" w:sz="4" w:space="0" w:color="5B9BD5"/>
            </w:tcBorders>
            <w:shd w:val="clear" w:color="auto" w:fill="auto"/>
            <w:noWrap/>
            <w:vAlign w:val="center"/>
            <w:hideMark/>
          </w:tcPr>
          <w:p w:rsidR="003C7C79" w:rsidRPr="006F69F0" w:rsidRDefault="003C7C79" w:rsidP="003C7C79">
            <w:pPr>
              <w:jc w:val="right"/>
              <w:rPr>
                <w:rFonts w:asciiTheme="minorHAnsi" w:hAnsiTheme="minorHAnsi" w:cstheme="minorHAnsi"/>
                <w:color w:val="000000"/>
                <w:sz w:val="18"/>
                <w:szCs w:val="18"/>
                <w:lang w:val="en-US"/>
              </w:rPr>
            </w:pPr>
          </w:p>
        </w:tc>
        <w:tc>
          <w:tcPr>
            <w:tcW w:w="1134" w:type="dxa"/>
            <w:tcBorders>
              <w:top w:val="nil"/>
              <w:left w:val="nil"/>
              <w:bottom w:val="nil"/>
              <w:right w:val="single" w:sz="4" w:space="0" w:color="5B9BD5"/>
            </w:tcBorders>
            <w:shd w:val="clear" w:color="auto" w:fill="auto"/>
            <w:noWrap/>
            <w:vAlign w:val="center"/>
            <w:hideMark/>
          </w:tcPr>
          <w:p w:rsidR="003C7C79" w:rsidRPr="006F69F0" w:rsidRDefault="003C7C79" w:rsidP="003C7C79">
            <w:pPr>
              <w:jc w:val="right"/>
              <w:rPr>
                <w:rFonts w:asciiTheme="minorHAnsi" w:hAnsiTheme="minorHAnsi" w:cstheme="minorHAnsi"/>
                <w:color w:val="000000"/>
                <w:sz w:val="18"/>
                <w:szCs w:val="18"/>
                <w:lang w:val="en-US"/>
              </w:rPr>
            </w:pPr>
          </w:p>
        </w:tc>
        <w:tc>
          <w:tcPr>
            <w:tcW w:w="992" w:type="dxa"/>
            <w:tcBorders>
              <w:top w:val="nil"/>
              <w:left w:val="nil"/>
              <w:bottom w:val="nil"/>
              <w:right w:val="single" w:sz="4" w:space="0" w:color="5B9BD5"/>
            </w:tcBorders>
            <w:shd w:val="clear" w:color="auto" w:fill="auto"/>
            <w:noWrap/>
            <w:vAlign w:val="center"/>
            <w:hideMark/>
          </w:tcPr>
          <w:p w:rsidR="003C7C79" w:rsidRPr="006F69F0" w:rsidRDefault="003C7C79" w:rsidP="003C7C79">
            <w:pPr>
              <w:jc w:val="right"/>
              <w:rPr>
                <w:rFonts w:asciiTheme="minorHAnsi" w:hAnsiTheme="minorHAnsi" w:cstheme="minorHAnsi"/>
                <w:color w:val="000000"/>
                <w:sz w:val="18"/>
                <w:szCs w:val="18"/>
                <w:lang w:val="en-US"/>
              </w:rPr>
            </w:pPr>
          </w:p>
        </w:tc>
      </w:tr>
      <w:tr w:rsidR="003C7C79" w:rsidRPr="00705CFC" w:rsidTr="001D56EC">
        <w:trPr>
          <w:trHeight w:val="34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 xml:space="preserve">Railway transport  </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1 189,7</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1 256,9</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293,7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288,4</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329,2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345,6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1 213,9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256,4</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285,9</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340,6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331,0</w:t>
            </w:r>
          </w:p>
        </w:tc>
      </w:tr>
      <w:tr w:rsidR="003C7C79" w:rsidRPr="00705CFC" w:rsidTr="001D56EC">
        <w:trPr>
          <w:trHeight w:val="34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700" w:firstLine="1260"/>
              <w:rPr>
                <w:rFonts w:cs="Calibri"/>
                <w:color w:val="000000"/>
                <w:sz w:val="18"/>
                <w:szCs w:val="18"/>
              </w:rPr>
            </w:pPr>
            <w:r w:rsidRPr="00705CFC">
              <w:rPr>
                <w:rFonts w:cs="Calibri"/>
                <w:color w:val="000000"/>
                <w:sz w:val="18"/>
                <w:szCs w:val="18"/>
              </w:rPr>
              <w:t xml:space="preserve">Passenger </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49,3</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40,7</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10,3</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14,7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8,3</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3,1</w:t>
            </w:r>
          </w:p>
        </w:tc>
      </w:tr>
      <w:tr w:rsidR="003C7C79" w:rsidRPr="00705CFC" w:rsidTr="001D56EC">
        <w:trPr>
          <w:trHeight w:val="34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700" w:firstLine="1260"/>
              <w:rPr>
                <w:rFonts w:cs="Calibri"/>
                <w:color w:val="000000"/>
                <w:sz w:val="18"/>
                <w:szCs w:val="18"/>
              </w:rPr>
            </w:pPr>
            <w:r w:rsidRPr="00705CFC">
              <w:rPr>
                <w:rFonts w:cs="Calibri"/>
                <w:color w:val="000000"/>
                <w:sz w:val="18"/>
                <w:szCs w:val="18"/>
              </w:rPr>
              <w:t>Freight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1 138,9</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1 211,4</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282,6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277,7</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317,2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334,0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1 195,6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247,7</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283,0</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337,9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327,0</w:t>
            </w:r>
          </w:p>
        </w:tc>
      </w:tr>
      <w:tr w:rsidR="003C7C79" w:rsidRPr="00705CFC" w:rsidTr="001D56EC">
        <w:trPr>
          <w:trHeight w:val="34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700" w:firstLine="1260"/>
              <w:rPr>
                <w:rFonts w:cs="Calibri"/>
                <w:color w:val="000000"/>
                <w:sz w:val="18"/>
                <w:szCs w:val="18"/>
              </w:rPr>
            </w:pPr>
            <w:r w:rsidRPr="00705CFC">
              <w:rPr>
                <w:rFonts w:cs="Calibri"/>
                <w:color w:val="000000"/>
                <w:sz w:val="18"/>
                <w:szCs w:val="18"/>
              </w:rPr>
              <w:t>Other</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4,8</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0,4</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0,4</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1,8</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0,9</w:t>
            </w:r>
          </w:p>
        </w:tc>
      </w:tr>
      <w:tr w:rsidR="003C7C79" w:rsidRPr="00705CFC" w:rsidTr="001D56EC">
        <w:trPr>
          <w:trHeight w:val="34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Road transport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422,3</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478,6</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119,7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109,0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112,1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137,7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257,4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63,0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54,7</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72,9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66,8</w:t>
            </w:r>
          </w:p>
        </w:tc>
      </w:tr>
      <w:tr w:rsidR="003C7C79" w:rsidRPr="00705CFC" w:rsidTr="001D56EC">
        <w:trPr>
          <w:trHeight w:val="34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700" w:firstLine="1260"/>
              <w:rPr>
                <w:rFonts w:cs="Calibri"/>
                <w:color w:val="000000"/>
                <w:sz w:val="18"/>
                <w:szCs w:val="18"/>
              </w:rPr>
            </w:pPr>
            <w:r w:rsidRPr="00705CFC">
              <w:rPr>
                <w:rFonts w:cs="Calibri"/>
                <w:color w:val="000000"/>
                <w:sz w:val="18"/>
                <w:szCs w:val="18"/>
              </w:rPr>
              <w:t xml:space="preserve">Passenger </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37,0</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43,4</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10,7</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8,2</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4,2</w:t>
            </w:r>
          </w:p>
        </w:tc>
      </w:tr>
      <w:tr w:rsidR="003C7C79" w:rsidRPr="00705CFC" w:rsidTr="001D56EC">
        <w:trPr>
          <w:trHeight w:val="34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700" w:firstLine="1260"/>
              <w:rPr>
                <w:rFonts w:cs="Calibri"/>
                <w:color w:val="000000"/>
                <w:sz w:val="18"/>
                <w:szCs w:val="18"/>
              </w:rPr>
            </w:pPr>
            <w:r w:rsidRPr="00705CFC">
              <w:rPr>
                <w:rFonts w:cs="Calibri"/>
                <w:color w:val="000000"/>
                <w:sz w:val="18"/>
                <w:szCs w:val="18"/>
              </w:rPr>
              <w:t>Freight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385,0</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434,1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112,2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97,3</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98,7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125,9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240,4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54,8</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53,1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70,3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62,2</w:t>
            </w:r>
          </w:p>
        </w:tc>
      </w:tr>
      <w:tr w:rsidR="003C7C79" w:rsidRPr="00705CFC" w:rsidTr="001D56EC">
        <w:trPr>
          <w:trHeight w:val="34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700" w:firstLine="1260"/>
              <w:rPr>
                <w:rFonts w:cs="Calibri"/>
                <w:color w:val="000000"/>
                <w:sz w:val="18"/>
                <w:szCs w:val="18"/>
              </w:rPr>
            </w:pPr>
            <w:r w:rsidRPr="00705CFC">
              <w:rPr>
                <w:rFonts w:cs="Calibri"/>
                <w:color w:val="000000"/>
                <w:sz w:val="18"/>
                <w:szCs w:val="18"/>
              </w:rPr>
              <w:t>Other</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0,3</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0,3</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0,4</w:t>
            </w:r>
          </w:p>
        </w:tc>
      </w:tr>
      <w:tr w:rsidR="003C7C79" w:rsidRPr="00705CFC" w:rsidTr="001D56EC">
        <w:trPr>
          <w:trHeight w:val="34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Pipeline</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1,8</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r>
      <w:tr w:rsidR="003C7C79" w:rsidRPr="00705CFC" w:rsidTr="001D56EC">
        <w:trPr>
          <w:trHeight w:val="34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Other modes of transport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270,3</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301,4</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66,2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82,3</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71,0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81,8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118,3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64,0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8,3</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33,1</w:t>
            </w:r>
          </w:p>
        </w:tc>
      </w:tr>
      <w:tr w:rsidR="003C7C79" w:rsidRPr="00705CFC" w:rsidTr="001D56EC">
        <w:trPr>
          <w:trHeight w:val="34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left="1171"/>
              <w:rPr>
                <w:rFonts w:cs="Calibri"/>
                <w:color w:val="000000"/>
                <w:sz w:val="18"/>
                <w:szCs w:val="18"/>
              </w:rPr>
            </w:pPr>
            <w:r w:rsidRPr="00705CFC">
              <w:rPr>
                <w:rFonts w:cs="Calibri"/>
                <w:color w:val="000000"/>
                <w:sz w:val="18"/>
                <w:szCs w:val="18"/>
              </w:rPr>
              <w:t>Freight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2,8</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0,7</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0,7</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0,2</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left="1171"/>
              <w:rPr>
                <w:rFonts w:cs="Calibri"/>
                <w:color w:val="000000"/>
                <w:sz w:val="18"/>
                <w:szCs w:val="18"/>
                <w:lang w:val="en-US"/>
              </w:rPr>
            </w:pPr>
            <w:r w:rsidRPr="00705CFC">
              <w:rPr>
                <w:rFonts w:cs="Calibri"/>
                <w:color w:val="000000"/>
                <w:sz w:val="18"/>
                <w:szCs w:val="18"/>
                <w:lang w:val="en-US"/>
              </w:rPr>
              <w:t>Other related or ancillary transport services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267,5</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298,2</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65,3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81,6</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70,3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81,1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115,8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63,2</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6,8</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32,9</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Postal and courier services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1,8</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0,3</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0,6</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0,3</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2,9</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firstLineChars="100" w:firstLine="181"/>
              <w:rPr>
                <w:rFonts w:cs="Calibri"/>
                <w:b/>
                <w:bCs/>
                <w:color w:val="000000"/>
                <w:sz w:val="18"/>
                <w:szCs w:val="18"/>
              </w:rPr>
            </w:pPr>
            <w:r w:rsidRPr="00705CFC">
              <w:rPr>
                <w:rFonts w:cs="Calibri"/>
                <w:b/>
                <w:bCs/>
                <w:color w:val="000000"/>
                <w:sz w:val="18"/>
                <w:szCs w:val="18"/>
              </w:rPr>
              <w:t>Travel</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2 243,1</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2 313,0</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516,9</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585,8</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672,3</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538,0</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888,2</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451,0</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125,9</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151,1</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160,1</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Business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1 201,6</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1 068,3</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274,4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286,4</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268,8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238,6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528,0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229,0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124,8</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119,7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54,5</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Personal</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1 041,6</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1 244,7</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242,5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299,3</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403,5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299,4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360,2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222,0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31,4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105,7</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health-related</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32,9</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3,5</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0,9</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0,2</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0,7</w:t>
            </w:r>
          </w:p>
        </w:tc>
      </w:tr>
      <w:tr w:rsidR="003C7C79" w:rsidRPr="00705CFC" w:rsidTr="00B911C9">
        <w:trPr>
          <w:trHeight w:val="315"/>
        </w:trPr>
        <w:tc>
          <w:tcPr>
            <w:tcW w:w="4253" w:type="dxa"/>
            <w:tcBorders>
              <w:top w:val="nil"/>
              <w:left w:val="single" w:sz="4" w:space="0" w:color="5B9BD5"/>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education-related</w:t>
            </w:r>
          </w:p>
        </w:tc>
        <w:tc>
          <w:tcPr>
            <w:tcW w:w="993"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5,0</w:t>
            </w:r>
          </w:p>
        </w:tc>
        <w:tc>
          <w:tcPr>
            <w:tcW w:w="850"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2,3</w:t>
            </w:r>
          </w:p>
        </w:tc>
        <w:tc>
          <w:tcPr>
            <w:tcW w:w="1134"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0,8</w:t>
            </w:r>
          </w:p>
        </w:tc>
        <w:tc>
          <w:tcPr>
            <w:tcW w:w="992"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0,5</w:t>
            </w:r>
          </w:p>
        </w:tc>
        <w:tc>
          <w:tcPr>
            <w:tcW w:w="993"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0,5</w:t>
            </w:r>
          </w:p>
        </w:tc>
        <w:tc>
          <w:tcPr>
            <w:tcW w:w="992"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0,5</w:t>
            </w:r>
          </w:p>
        </w:tc>
        <w:tc>
          <w:tcPr>
            <w:tcW w:w="992"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w:t>
            </w:r>
          </w:p>
        </w:tc>
        <w:tc>
          <w:tcPr>
            <w:tcW w:w="992"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0,4</w:t>
            </w:r>
          </w:p>
        </w:tc>
        <w:tc>
          <w:tcPr>
            <w:tcW w:w="993"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0,4</w:t>
            </w:r>
          </w:p>
        </w:tc>
        <w:tc>
          <w:tcPr>
            <w:tcW w:w="1134"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0,8</w:t>
            </w:r>
          </w:p>
        </w:tc>
        <w:tc>
          <w:tcPr>
            <w:tcW w:w="992" w:type="dxa"/>
            <w:tcBorders>
              <w:top w:val="nil"/>
              <w:left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0,5</w:t>
            </w:r>
          </w:p>
        </w:tc>
      </w:tr>
      <w:tr w:rsidR="003C7C79" w:rsidRPr="00705CFC" w:rsidTr="00B911C9">
        <w:trPr>
          <w:trHeight w:val="315"/>
        </w:trPr>
        <w:tc>
          <w:tcPr>
            <w:tcW w:w="4253" w:type="dxa"/>
            <w:tcBorders>
              <w:top w:val="nil"/>
              <w:left w:val="single" w:sz="4" w:space="0" w:color="5B9BD5"/>
              <w:bottom w:val="single" w:sz="4" w:space="0" w:color="5B9BD5"/>
              <w:right w:val="single" w:sz="4" w:space="0" w:color="5B9BD5"/>
            </w:tcBorders>
            <w:shd w:val="clear" w:color="auto" w:fill="auto"/>
            <w:vAlign w:val="center"/>
            <w:hideMark/>
          </w:tcPr>
          <w:p w:rsidR="003C7C79" w:rsidRPr="00705CFC" w:rsidRDefault="003C7C79" w:rsidP="003C7C79">
            <w:pPr>
              <w:ind w:firstLineChars="500" w:firstLine="900"/>
              <w:rPr>
                <w:rFonts w:cs="Calibri"/>
                <w:color w:val="000000"/>
                <w:sz w:val="18"/>
                <w:szCs w:val="18"/>
              </w:rPr>
            </w:pPr>
            <w:r w:rsidRPr="00705CFC">
              <w:rPr>
                <w:rFonts w:cs="Calibri"/>
                <w:color w:val="000000"/>
                <w:sz w:val="18"/>
                <w:szCs w:val="18"/>
              </w:rPr>
              <w:t>Other</w:t>
            </w:r>
          </w:p>
        </w:tc>
        <w:tc>
          <w:tcPr>
            <w:tcW w:w="993"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1 003,7</w:t>
            </w:r>
          </w:p>
        </w:tc>
        <w:tc>
          <w:tcPr>
            <w:tcW w:w="850"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1 238,9</w:t>
            </w:r>
          </w:p>
        </w:tc>
        <w:tc>
          <w:tcPr>
            <w:tcW w:w="1134"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241,0</w:t>
            </w:r>
          </w:p>
        </w:tc>
        <w:tc>
          <w:tcPr>
            <w:tcW w:w="992"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297,9</w:t>
            </w:r>
          </w:p>
        </w:tc>
        <w:tc>
          <w:tcPr>
            <w:tcW w:w="993"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402,0</w:t>
            </w:r>
          </w:p>
        </w:tc>
        <w:tc>
          <w:tcPr>
            <w:tcW w:w="992"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298,0</w:t>
            </w:r>
          </w:p>
        </w:tc>
        <w:tc>
          <w:tcPr>
            <w:tcW w:w="992"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355,8</w:t>
            </w:r>
          </w:p>
        </w:tc>
        <w:tc>
          <w:tcPr>
            <w:tcW w:w="992"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220,5</w:t>
            </w:r>
          </w:p>
        </w:tc>
        <w:tc>
          <w:tcPr>
            <w:tcW w:w="993"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0,5</w:t>
            </w:r>
          </w:p>
        </w:tc>
        <w:tc>
          <w:tcPr>
            <w:tcW w:w="1134"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30,2</w:t>
            </w:r>
          </w:p>
        </w:tc>
        <w:tc>
          <w:tcPr>
            <w:tcW w:w="992" w:type="dxa"/>
            <w:tcBorders>
              <w:top w:val="nil"/>
              <w:left w:val="nil"/>
              <w:bottom w:val="single" w:sz="4" w:space="0" w:color="5B9BD5"/>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104,5</w:t>
            </w:r>
          </w:p>
        </w:tc>
      </w:tr>
      <w:tr w:rsidR="003C7C79" w:rsidRPr="00705CFC" w:rsidTr="00B911C9">
        <w:trPr>
          <w:trHeight w:val="315"/>
        </w:trPr>
        <w:tc>
          <w:tcPr>
            <w:tcW w:w="4253" w:type="dxa"/>
            <w:tcBorders>
              <w:top w:val="single" w:sz="4" w:space="0" w:color="5B9BD5"/>
              <w:left w:val="single" w:sz="4" w:space="0" w:color="5B9BD5"/>
              <w:bottom w:val="nil"/>
              <w:right w:val="single" w:sz="4" w:space="0" w:color="5B9BD5"/>
            </w:tcBorders>
            <w:shd w:val="clear" w:color="000000" w:fill="BDD7EE"/>
            <w:vAlign w:val="center"/>
            <w:hideMark/>
          </w:tcPr>
          <w:p w:rsidR="003C7C79" w:rsidRPr="00705CFC" w:rsidRDefault="003C7C79" w:rsidP="003C7C79">
            <w:pPr>
              <w:ind w:firstLineChars="100" w:firstLine="181"/>
              <w:rPr>
                <w:rFonts w:cs="Calibri"/>
                <w:b/>
                <w:bCs/>
                <w:color w:val="000000"/>
                <w:sz w:val="18"/>
                <w:szCs w:val="18"/>
              </w:rPr>
            </w:pPr>
            <w:r w:rsidRPr="00705CFC">
              <w:rPr>
                <w:rFonts w:cs="Calibri"/>
                <w:b/>
                <w:bCs/>
                <w:color w:val="000000"/>
                <w:sz w:val="18"/>
                <w:szCs w:val="18"/>
              </w:rPr>
              <w:lastRenderedPageBreak/>
              <w:t>Construction</w:t>
            </w:r>
          </w:p>
        </w:tc>
        <w:tc>
          <w:tcPr>
            <w:tcW w:w="993" w:type="dxa"/>
            <w:tcBorders>
              <w:top w:val="single" w:sz="4" w:space="0" w:color="5B9BD5"/>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137,7</w:t>
            </w:r>
          </w:p>
        </w:tc>
        <w:tc>
          <w:tcPr>
            <w:tcW w:w="850" w:type="dxa"/>
            <w:tcBorders>
              <w:top w:val="single" w:sz="4" w:space="0" w:color="5B9BD5"/>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25,5</w:t>
            </w:r>
          </w:p>
        </w:tc>
        <w:tc>
          <w:tcPr>
            <w:tcW w:w="1134" w:type="dxa"/>
            <w:tcBorders>
              <w:top w:val="single" w:sz="4" w:space="0" w:color="5B9BD5"/>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w:t>
            </w:r>
          </w:p>
        </w:tc>
        <w:tc>
          <w:tcPr>
            <w:tcW w:w="992" w:type="dxa"/>
            <w:tcBorders>
              <w:top w:val="single" w:sz="4" w:space="0" w:color="5B9BD5"/>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8,1</w:t>
            </w:r>
          </w:p>
        </w:tc>
        <w:tc>
          <w:tcPr>
            <w:tcW w:w="993" w:type="dxa"/>
            <w:tcBorders>
              <w:top w:val="single" w:sz="4" w:space="0" w:color="5B9BD5"/>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3,5</w:t>
            </w:r>
          </w:p>
        </w:tc>
        <w:tc>
          <w:tcPr>
            <w:tcW w:w="992" w:type="dxa"/>
            <w:tcBorders>
              <w:top w:val="single" w:sz="4" w:space="0" w:color="5B9BD5"/>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13,0</w:t>
            </w:r>
          </w:p>
        </w:tc>
        <w:tc>
          <w:tcPr>
            <w:tcW w:w="992" w:type="dxa"/>
            <w:tcBorders>
              <w:top w:val="single" w:sz="4" w:space="0" w:color="5B9BD5"/>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108,3</w:t>
            </w:r>
          </w:p>
        </w:tc>
        <w:tc>
          <w:tcPr>
            <w:tcW w:w="992" w:type="dxa"/>
            <w:tcBorders>
              <w:top w:val="single" w:sz="4" w:space="0" w:color="5B9BD5"/>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3,2</w:t>
            </w:r>
          </w:p>
        </w:tc>
        <w:tc>
          <w:tcPr>
            <w:tcW w:w="993" w:type="dxa"/>
            <w:tcBorders>
              <w:top w:val="single" w:sz="4" w:space="0" w:color="5B9BD5"/>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24,8</w:t>
            </w:r>
          </w:p>
        </w:tc>
        <w:tc>
          <w:tcPr>
            <w:tcW w:w="1134" w:type="dxa"/>
            <w:tcBorders>
              <w:top w:val="single" w:sz="4" w:space="0" w:color="5B9BD5"/>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21,2</w:t>
            </w:r>
          </w:p>
        </w:tc>
        <w:tc>
          <w:tcPr>
            <w:tcW w:w="992" w:type="dxa"/>
            <w:tcBorders>
              <w:top w:val="single" w:sz="4" w:space="0" w:color="5B9BD5"/>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59,1</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Construction abroad</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Construction in Uzbekistan</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137,7</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25,5</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8,1</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108,3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3,2</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24,8</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59,1</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firstLineChars="100" w:firstLine="181"/>
              <w:rPr>
                <w:rFonts w:cs="Calibri"/>
                <w:b/>
                <w:bCs/>
                <w:color w:val="000000"/>
                <w:sz w:val="18"/>
                <w:szCs w:val="18"/>
              </w:rPr>
            </w:pPr>
            <w:r w:rsidRPr="00705CFC">
              <w:rPr>
                <w:rFonts w:cs="Calibri"/>
                <w:b/>
                <w:bCs/>
                <w:color w:val="000000"/>
                <w:sz w:val="18"/>
                <w:szCs w:val="18"/>
              </w:rPr>
              <w:t xml:space="preserve"> Insurance and pension services</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168,8</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162,6</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34,8</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37,1</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41,9</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48,8</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145,2</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26,8</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33,0</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41,6</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43,8</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 xml:space="preserve">Direct insurance </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149,3</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154,1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34,4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34,3</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39,1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46,4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133,1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26,1</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27,9</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41,2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38,0</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 xml:space="preserve">Reinsurance </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19,6</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8,5</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2,8</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0,8</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5,8</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Auxiliary insurance services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firstLineChars="100" w:firstLine="181"/>
              <w:rPr>
                <w:rFonts w:cs="Calibri"/>
                <w:b/>
                <w:bCs/>
                <w:color w:val="000000"/>
                <w:sz w:val="18"/>
                <w:szCs w:val="18"/>
              </w:rPr>
            </w:pPr>
            <w:r w:rsidRPr="00705CFC">
              <w:rPr>
                <w:rFonts w:cs="Calibri"/>
                <w:b/>
                <w:bCs/>
                <w:color w:val="000000"/>
                <w:sz w:val="18"/>
                <w:szCs w:val="18"/>
              </w:rPr>
              <w:t>Financial services</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18,3</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20,0</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3,3</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6,2</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4,2</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6,4</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13,7</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2,9</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3,2</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6,5</w:t>
            </w:r>
          </w:p>
        </w:tc>
      </w:tr>
      <w:tr w:rsidR="003C7C79" w:rsidRPr="00705CFC" w:rsidTr="00B911C9">
        <w:trPr>
          <w:trHeight w:val="630"/>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left="180"/>
              <w:rPr>
                <w:rFonts w:cs="Calibri"/>
                <w:b/>
                <w:bCs/>
                <w:color w:val="000000"/>
                <w:sz w:val="18"/>
                <w:szCs w:val="18"/>
                <w:lang w:val="en-US"/>
              </w:rPr>
            </w:pPr>
            <w:r w:rsidRPr="00705CFC">
              <w:rPr>
                <w:rFonts w:cs="Calibri"/>
                <w:b/>
                <w:bCs/>
                <w:color w:val="000000"/>
                <w:sz w:val="18"/>
                <w:szCs w:val="18"/>
                <w:lang w:val="en-US"/>
              </w:rPr>
              <w:t>Charges for the use of intellectual property, not included elsewhere</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49,9</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87,1</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13,0</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18,2</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35,4</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20,6</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112,7</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32,4</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17,6</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9,8</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52,9</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left="180"/>
              <w:rPr>
                <w:rFonts w:cs="Calibri"/>
                <w:b/>
                <w:bCs/>
                <w:color w:val="000000"/>
                <w:sz w:val="18"/>
                <w:szCs w:val="18"/>
                <w:lang w:val="en-US"/>
              </w:rPr>
            </w:pPr>
            <w:r w:rsidRPr="00705CFC">
              <w:rPr>
                <w:rFonts w:cs="Calibri"/>
                <w:b/>
                <w:bCs/>
                <w:color w:val="000000"/>
                <w:sz w:val="18"/>
                <w:szCs w:val="18"/>
                <w:lang w:val="en-US"/>
              </w:rPr>
              <w:t>Telecommunications, computer and information  services</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47,5</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71,8</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8,8</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12,8</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23,6</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26,6</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130,0</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26,9</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28,4</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39,7</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34,9</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Telecommunications services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34,2</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56,3</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9,7</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20,6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20,7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93,8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21,2</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23,1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28,2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21,3</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Computer services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9,4</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12,0</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2,3</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19,7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3,9</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4,7</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Information services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3,8</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3,5</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0,8</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16,4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1,8</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1,4</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8,9</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firstLineChars="100" w:firstLine="181"/>
              <w:rPr>
                <w:rFonts w:cs="Calibri"/>
                <w:b/>
                <w:bCs/>
                <w:color w:val="000000"/>
                <w:sz w:val="18"/>
                <w:szCs w:val="18"/>
              </w:rPr>
            </w:pPr>
            <w:r w:rsidRPr="00705CFC">
              <w:rPr>
                <w:rFonts w:cs="Calibri"/>
                <w:b/>
                <w:bCs/>
                <w:color w:val="000000"/>
                <w:sz w:val="18"/>
                <w:szCs w:val="18"/>
              </w:rPr>
              <w:t>Other business services</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67,1</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107,7</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15,8</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35,5</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27,7</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28,7</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206,8</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18,6</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67,4</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51,1</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69,7</w:t>
            </w:r>
          </w:p>
        </w:tc>
      </w:tr>
      <w:tr w:rsidR="003C7C79" w:rsidRPr="00705CFC" w:rsidTr="00B911C9">
        <w:trPr>
          <w:trHeight w:val="60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Research and development services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3,8</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4,4</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0,1</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0,2</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4,4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1,0</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0,6</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0,6</w:t>
            </w:r>
          </w:p>
        </w:tc>
      </w:tr>
      <w:tr w:rsidR="003C7C79" w:rsidRPr="00705CFC" w:rsidTr="00B911C9">
        <w:trPr>
          <w:trHeight w:val="60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left="464" w:firstLineChars="42" w:firstLine="76"/>
              <w:rPr>
                <w:rFonts w:cs="Calibri"/>
                <w:color w:val="000000"/>
                <w:sz w:val="18"/>
                <w:szCs w:val="18"/>
                <w:lang w:val="en-US"/>
              </w:rPr>
            </w:pPr>
            <w:r w:rsidRPr="00705CFC">
              <w:rPr>
                <w:rFonts w:cs="Calibri"/>
                <w:color w:val="000000"/>
                <w:sz w:val="18"/>
                <w:szCs w:val="18"/>
                <w:lang w:val="en-US"/>
              </w:rPr>
              <w:t>Professional and management consulting services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8,7</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34,8</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2,6</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17,9</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30,9</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2,3</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5,3</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14,3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9,1</w:t>
            </w:r>
          </w:p>
        </w:tc>
      </w:tr>
      <w:tr w:rsidR="003C7C79" w:rsidRPr="00705CFC" w:rsidTr="00B911C9">
        <w:trPr>
          <w:trHeight w:val="600"/>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left="464" w:firstLineChars="42" w:firstLine="76"/>
              <w:rPr>
                <w:rFonts w:cs="Calibri"/>
                <w:color w:val="000000"/>
                <w:sz w:val="18"/>
                <w:szCs w:val="18"/>
                <w:lang w:val="en-US"/>
              </w:rPr>
            </w:pPr>
            <w:r w:rsidRPr="00705CFC">
              <w:rPr>
                <w:rFonts w:cs="Calibri"/>
                <w:color w:val="000000"/>
                <w:sz w:val="18"/>
                <w:szCs w:val="18"/>
                <w:lang w:val="en-US"/>
              </w:rPr>
              <w:t>Technical, trade-related, and other business services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54,6</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68,5</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13,2</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17,4</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19,4</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18,5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171,5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15,4</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61,5</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34,7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60,0</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000000" w:fill="BDD7EE"/>
            <w:vAlign w:val="center"/>
            <w:hideMark/>
          </w:tcPr>
          <w:p w:rsidR="003C7C79" w:rsidRPr="00705CFC" w:rsidRDefault="003C7C79" w:rsidP="003C7C79">
            <w:pPr>
              <w:ind w:firstLineChars="100" w:firstLine="181"/>
              <w:rPr>
                <w:rFonts w:cs="Calibri"/>
                <w:b/>
                <w:bCs/>
                <w:color w:val="000000"/>
                <w:sz w:val="18"/>
                <w:szCs w:val="18"/>
                <w:lang w:val="en-US"/>
              </w:rPr>
            </w:pPr>
            <w:r w:rsidRPr="00705CFC">
              <w:rPr>
                <w:rFonts w:cs="Calibri"/>
                <w:b/>
                <w:bCs/>
                <w:color w:val="000000"/>
                <w:sz w:val="18"/>
                <w:szCs w:val="18"/>
                <w:lang w:val="en-US"/>
              </w:rPr>
              <w:t xml:space="preserve"> Personal, cultural, and recreational services1</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2,2</w:t>
            </w:r>
          </w:p>
        </w:tc>
        <w:tc>
          <w:tcPr>
            <w:tcW w:w="850"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9,7</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1,8</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2,7</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3,5</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9,5</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w:t>
            </w:r>
          </w:p>
        </w:tc>
        <w:tc>
          <w:tcPr>
            <w:tcW w:w="993"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w:t>
            </w:r>
          </w:p>
        </w:tc>
        <w:tc>
          <w:tcPr>
            <w:tcW w:w="1134"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2,3</w:t>
            </w:r>
          </w:p>
        </w:tc>
        <w:tc>
          <w:tcPr>
            <w:tcW w:w="992" w:type="dxa"/>
            <w:tcBorders>
              <w:top w:val="nil"/>
              <w:left w:val="nil"/>
              <w:bottom w:val="nil"/>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3,1</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firstLineChars="300" w:firstLine="540"/>
              <w:rPr>
                <w:rFonts w:cs="Calibri"/>
                <w:color w:val="000000"/>
                <w:sz w:val="18"/>
                <w:szCs w:val="18"/>
              </w:rPr>
            </w:pPr>
            <w:r w:rsidRPr="00705CFC">
              <w:rPr>
                <w:rFonts w:cs="Calibri"/>
                <w:color w:val="000000"/>
                <w:sz w:val="18"/>
                <w:szCs w:val="18"/>
              </w:rPr>
              <w:t>Audiovisual and related services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0,0</w:t>
            </w:r>
          </w:p>
        </w:tc>
      </w:tr>
      <w:tr w:rsidR="003C7C79" w:rsidRPr="00705CFC" w:rsidTr="00B911C9">
        <w:trPr>
          <w:trHeight w:val="315"/>
        </w:trPr>
        <w:tc>
          <w:tcPr>
            <w:tcW w:w="4253" w:type="dxa"/>
            <w:tcBorders>
              <w:top w:val="nil"/>
              <w:left w:val="single" w:sz="4" w:space="0" w:color="5B9BD5"/>
              <w:bottom w:val="nil"/>
              <w:right w:val="single" w:sz="4" w:space="0" w:color="5B9BD5"/>
            </w:tcBorders>
            <w:shd w:val="clear" w:color="auto" w:fill="auto"/>
            <w:vAlign w:val="center"/>
            <w:hideMark/>
          </w:tcPr>
          <w:p w:rsidR="003C7C79" w:rsidRPr="00705CFC" w:rsidRDefault="003C7C79" w:rsidP="003C7C79">
            <w:pPr>
              <w:ind w:left="464" w:firstLineChars="42" w:firstLine="76"/>
              <w:rPr>
                <w:rFonts w:cs="Calibri"/>
                <w:color w:val="000000"/>
                <w:sz w:val="18"/>
                <w:szCs w:val="18"/>
                <w:lang w:val="en-US"/>
              </w:rPr>
            </w:pPr>
            <w:r w:rsidRPr="00705CFC">
              <w:rPr>
                <w:rFonts w:cs="Calibri"/>
                <w:color w:val="000000"/>
                <w:sz w:val="18"/>
                <w:szCs w:val="18"/>
                <w:lang w:val="en-US"/>
              </w:rPr>
              <w:t xml:space="preserve"> Other personal, cultural, and recreational services</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2,2</w:t>
            </w:r>
          </w:p>
        </w:tc>
        <w:tc>
          <w:tcPr>
            <w:tcW w:w="850"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9,7</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1,8</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1,7</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2,7</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9,5</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w:t>
            </w:r>
          </w:p>
        </w:tc>
        <w:tc>
          <w:tcPr>
            <w:tcW w:w="993"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2,1</w:t>
            </w:r>
          </w:p>
        </w:tc>
        <w:tc>
          <w:tcPr>
            <w:tcW w:w="1134"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2,3</w:t>
            </w:r>
          </w:p>
        </w:tc>
        <w:tc>
          <w:tcPr>
            <w:tcW w:w="992" w:type="dxa"/>
            <w:tcBorders>
              <w:top w:val="nil"/>
              <w:left w:val="nil"/>
              <w:bottom w:val="nil"/>
              <w:right w:val="single" w:sz="4" w:space="0" w:color="5B9BD5"/>
            </w:tcBorders>
            <w:shd w:val="clear" w:color="auto" w:fill="auto"/>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3,1</w:t>
            </w:r>
          </w:p>
        </w:tc>
      </w:tr>
      <w:tr w:rsidR="003C7C79" w:rsidRPr="00705CFC" w:rsidTr="00B911C9">
        <w:trPr>
          <w:trHeight w:val="315"/>
        </w:trPr>
        <w:tc>
          <w:tcPr>
            <w:tcW w:w="4253" w:type="dxa"/>
            <w:tcBorders>
              <w:top w:val="nil"/>
              <w:left w:val="single" w:sz="4" w:space="0" w:color="5B9BD5"/>
              <w:bottom w:val="single" w:sz="4" w:space="0" w:color="5B9BD5"/>
              <w:right w:val="single" w:sz="4" w:space="0" w:color="5B9BD5"/>
            </w:tcBorders>
            <w:shd w:val="clear" w:color="000000" w:fill="BDD7EE"/>
            <w:vAlign w:val="center"/>
            <w:hideMark/>
          </w:tcPr>
          <w:p w:rsidR="003C7C79" w:rsidRPr="00705CFC" w:rsidRDefault="003C7C79" w:rsidP="003C7C79">
            <w:pPr>
              <w:ind w:left="180"/>
              <w:rPr>
                <w:rFonts w:cs="Calibri"/>
                <w:b/>
                <w:bCs/>
                <w:color w:val="000000"/>
                <w:sz w:val="18"/>
                <w:szCs w:val="18"/>
                <w:lang w:val="en-US"/>
              </w:rPr>
            </w:pPr>
            <w:r w:rsidRPr="00705CFC">
              <w:rPr>
                <w:rFonts w:cs="Calibri"/>
                <w:b/>
                <w:bCs/>
                <w:color w:val="000000"/>
                <w:sz w:val="18"/>
                <w:szCs w:val="18"/>
                <w:lang w:val="en-US"/>
              </w:rPr>
              <w:t>Government goods and services, not included elsewhere</w:t>
            </w:r>
          </w:p>
        </w:tc>
        <w:tc>
          <w:tcPr>
            <w:tcW w:w="993" w:type="dxa"/>
            <w:tcBorders>
              <w:top w:val="nil"/>
              <w:left w:val="nil"/>
              <w:bottom w:val="single" w:sz="4" w:space="0" w:color="5B9BD5"/>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24,6</w:t>
            </w:r>
          </w:p>
        </w:tc>
        <w:tc>
          <w:tcPr>
            <w:tcW w:w="850" w:type="dxa"/>
            <w:tcBorders>
              <w:top w:val="nil"/>
              <w:left w:val="nil"/>
              <w:bottom w:val="single" w:sz="4" w:space="0" w:color="5B9BD5"/>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27,0</w:t>
            </w:r>
          </w:p>
        </w:tc>
        <w:tc>
          <w:tcPr>
            <w:tcW w:w="1134" w:type="dxa"/>
            <w:tcBorders>
              <w:top w:val="nil"/>
              <w:left w:val="nil"/>
              <w:bottom w:val="single" w:sz="4" w:space="0" w:color="5B9BD5"/>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7,0</w:t>
            </w:r>
          </w:p>
        </w:tc>
        <w:tc>
          <w:tcPr>
            <w:tcW w:w="992" w:type="dxa"/>
            <w:tcBorders>
              <w:top w:val="nil"/>
              <w:left w:val="nil"/>
              <w:bottom w:val="single" w:sz="4" w:space="0" w:color="5B9BD5"/>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5,9</w:t>
            </w:r>
          </w:p>
        </w:tc>
        <w:tc>
          <w:tcPr>
            <w:tcW w:w="993" w:type="dxa"/>
            <w:tcBorders>
              <w:top w:val="nil"/>
              <w:left w:val="nil"/>
              <w:bottom w:val="single" w:sz="4" w:space="0" w:color="5B9BD5"/>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6,9</w:t>
            </w:r>
          </w:p>
        </w:tc>
        <w:tc>
          <w:tcPr>
            <w:tcW w:w="992" w:type="dxa"/>
            <w:tcBorders>
              <w:top w:val="nil"/>
              <w:left w:val="nil"/>
              <w:bottom w:val="single" w:sz="4" w:space="0" w:color="5B9BD5"/>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7,2</w:t>
            </w:r>
          </w:p>
        </w:tc>
        <w:tc>
          <w:tcPr>
            <w:tcW w:w="992" w:type="dxa"/>
            <w:tcBorders>
              <w:top w:val="nil"/>
              <w:left w:val="nil"/>
              <w:bottom w:val="single" w:sz="4" w:space="0" w:color="5B9BD5"/>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28,2</w:t>
            </w:r>
          </w:p>
        </w:tc>
        <w:tc>
          <w:tcPr>
            <w:tcW w:w="992" w:type="dxa"/>
            <w:tcBorders>
              <w:top w:val="nil"/>
              <w:left w:val="nil"/>
              <w:bottom w:val="single" w:sz="4" w:space="0" w:color="5B9BD5"/>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8,2</w:t>
            </w:r>
          </w:p>
        </w:tc>
        <w:tc>
          <w:tcPr>
            <w:tcW w:w="993" w:type="dxa"/>
            <w:tcBorders>
              <w:top w:val="nil"/>
              <w:left w:val="nil"/>
              <w:bottom w:val="single" w:sz="4" w:space="0" w:color="5B9BD5"/>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5,5</w:t>
            </w:r>
          </w:p>
        </w:tc>
        <w:tc>
          <w:tcPr>
            <w:tcW w:w="1134" w:type="dxa"/>
            <w:tcBorders>
              <w:top w:val="nil"/>
              <w:left w:val="nil"/>
              <w:bottom w:val="single" w:sz="4" w:space="0" w:color="5B9BD5"/>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7,1</w:t>
            </w:r>
          </w:p>
        </w:tc>
        <w:tc>
          <w:tcPr>
            <w:tcW w:w="992" w:type="dxa"/>
            <w:tcBorders>
              <w:top w:val="nil"/>
              <w:left w:val="nil"/>
              <w:bottom w:val="single" w:sz="4" w:space="0" w:color="5B9BD5"/>
              <w:right w:val="single" w:sz="4" w:space="0" w:color="5B9BD5"/>
            </w:tcBorders>
            <w:shd w:val="clear" w:color="000000" w:fill="BDD7EE"/>
            <w:noWrap/>
            <w:vAlign w:val="center"/>
            <w:hideMark/>
          </w:tcPr>
          <w:p w:rsidR="003C7C79" w:rsidRPr="003C7C79" w:rsidRDefault="003C7C79" w:rsidP="003C7C79">
            <w:pPr>
              <w:jc w:val="right"/>
              <w:rPr>
                <w:rFonts w:asciiTheme="minorHAnsi" w:hAnsiTheme="minorHAnsi" w:cstheme="minorHAnsi"/>
                <w:color w:val="000000"/>
                <w:sz w:val="18"/>
                <w:szCs w:val="18"/>
              </w:rPr>
            </w:pPr>
            <w:r w:rsidRPr="003C7C79">
              <w:rPr>
                <w:rFonts w:asciiTheme="minorHAnsi" w:hAnsiTheme="minorHAnsi" w:cstheme="minorHAnsi"/>
                <w:color w:val="000000"/>
                <w:sz w:val="18"/>
                <w:szCs w:val="18"/>
              </w:rPr>
              <w:t>7,5</w:t>
            </w:r>
          </w:p>
        </w:tc>
      </w:tr>
    </w:tbl>
    <w:p w:rsidR="009304D9" w:rsidRDefault="009304D9" w:rsidP="00DA1443">
      <w:pPr>
        <w:jc w:val="right"/>
        <w:rPr>
          <w:rFonts w:cs="Arial"/>
          <w:lang w:val="en-US"/>
        </w:rPr>
      </w:pPr>
    </w:p>
    <w:p w:rsidR="00DA1443" w:rsidRPr="003C7C79" w:rsidRDefault="00DA1443" w:rsidP="00DA1443">
      <w:pPr>
        <w:jc w:val="right"/>
        <w:rPr>
          <w:rFonts w:cs="Arial"/>
        </w:rPr>
      </w:pPr>
    </w:p>
    <w:p w:rsidR="00DA1443" w:rsidRDefault="00DA1443" w:rsidP="00DA1443">
      <w:pPr>
        <w:jc w:val="right"/>
        <w:rPr>
          <w:rFonts w:cs="Arial"/>
          <w:lang w:val="en-US"/>
        </w:rPr>
      </w:pPr>
    </w:p>
    <w:p w:rsidR="009304D9" w:rsidRPr="003C7C79" w:rsidRDefault="009304D9" w:rsidP="003C7C79">
      <w:pPr>
        <w:ind w:right="225"/>
        <w:jc w:val="right"/>
        <w:rPr>
          <w:i/>
        </w:rPr>
      </w:pPr>
      <w:r w:rsidRPr="00576FE4">
        <w:rPr>
          <w:i/>
          <w:lang w:val="en-US"/>
        </w:rPr>
        <w:lastRenderedPageBreak/>
        <w:t xml:space="preserve">Addenda </w:t>
      </w:r>
      <w:r w:rsidR="003C7C79">
        <w:rPr>
          <w:i/>
        </w:rPr>
        <w:t>9</w:t>
      </w:r>
    </w:p>
    <w:p w:rsidR="009304D9" w:rsidRPr="003C7C79" w:rsidRDefault="00CD4C7C" w:rsidP="009304D9">
      <w:pPr>
        <w:pStyle w:val="1"/>
        <w:ind w:left="0"/>
        <w:jc w:val="center"/>
        <w:rPr>
          <w:rFonts w:ascii="Calibri" w:hAnsi="Calibri"/>
          <w:b w:val="0"/>
          <w:sz w:val="26"/>
          <w:szCs w:val="26"/>
          <w:lang w:val="en-US"/>
        </w:rPr>
      </w:pPr>
      <w:bookmarkStart w:id="32" w:name="_Toc67050809"/>
      <w:r w:rsidRPr="003C7C79">
        <w:rPr>
          <w:rFonts w:ascii="Calibri" w:hAnsi="Calibri" w:cs="Calibri"/>
          <w:sz w:val="26"/>
          <w:szCs w:val="26"/>
          <w:lang w:val="en-US"/>
        </w:rPr>
        <w:t xml:space="preserve">PERSONAL TRANSFERS </w:t>
      </w:r>
      <w:r w:rsidR="00910239" w:rsidRPr="003C7C79">
        <w:rPr>
          <w:rFonts w:ascii="Calibri" w:hAnsi="Calibri" w:cs="Calibri"/>
          <w:sz w:val="26"/>
          <w:szCs w:val="26"/>
          <w:lang w:val="en-US"/>
        </w:rPr>
        <w:t xml:space="preserve">FOR </w:t>
      </w:r>
      <w:r w:rsidR="009304D9" w:rsidRPr="003C7C79">
        <w:rPr>
          <w:rFonts w:ascii="Calibri" w:hAnsi="Calibri" w:cs="Calibri"/>
          <w:sz w:val="26"/>
          <w:szCs w:val="26"/>
          <w:lang w:val="en-US"/>
        </w:rPr>
        <w:t>201</w:t>
      </w:r>
      <w:r w:rsidR="00A121E0" w:rsidRPr="003C7C79">
        <w:rPr>
          <w:rFonts w:ascii="Calibri" w:hAnsi="Calibri" w:cs="Calibri"/>
          <w:sz w:val="26"/>
          <w:szCs w:val="26"/>
          <w:lang w:val="en-US"/>
        </w:rPr>
        <w:t>8</w:t>
      </w:r>
      <w:r w:rsidR="009304D9" w:rsidRPr="003C7C79">
        <w:rPr>
          <w:rFonts w:ascii="Calibri" w:hAnsi="Calibri" w:cs="Calibri"/>
          <w:sz w:val="26"/>
          <w:szCs w:val="26"/>
          <w:lang w:val="en-US"/>
        </w:rPr>
        <w:t xml:space="preserve"> </w:t>
      </w:r>
      <w:r w:rsidR="00B33C6E">
        <w:rPr>
          <w:rFonts w:ascii="Calibri" w:hAnsi="Calibri" w:cs="Calibri"/>
          <w:sz w:val="26"/>
          <w:szCs w:val="26"/>
          <w:lang w:val="en-US"/>
        </w:rPr>
        <w:t>AND</w:t>
      </w:r>
      <w:r w:rsidR="009304D9" w:rsidRPr="003C7C79">
        <w:rPr>
          <w:rFonts w:ascii="Calibri" w:hAnsi="Calibri" w:cs="Calibri"/>
          <w:sz w:val="26"/>
          <w:szCs w:val="26"/>
          <w:lang w:val="en-US"/>
        </w:rPr>
        <w:t xml:space="preserve"> 20</w:t>
      </w:r>
      <w:r w:rsidR="007B374C" w:rsidRPr="003C7C79">
        <w:rPr>
          <w:rFonts w:ascii="Calibri" w:hAnsi="Calibri" w:cs="Calibri"/>
          <w:sz w:val="26"/>
          <w:szCs w:val="26"/>
          <w:lang w:val="en-US"/>
        </w:rPr>
        <w:t>20</w:t>
      </w:r>
      <w:bookmarkEnd w:id="32"/>
      <w:r w:rsidR="009304D9" w:rsidRPr="003C7C79">
        <w:rPr>
          <w:rFonts w:ascii="Calibri" w:hAnsi="Calibri"/>
          <w:b w:val="0"/>
          <w:sz w:val="26"/>
          <w:szCs w:val="26"/>
          <w:lang w:val="en-US"/>
        </w:rPr>
        <w:t xml:space="preserve"> </w:t>
      </w:r>
    </w:p>
    <w:p w:rsidR="009304D9" w:rsidRPr="00F45A80" w:rsidRDefault="009304D9" w:rsidP="009304D9">
      <w:pPr>
        <w:jc w:val="center"/>
        <w:rPr>
          <w:rFonts w:cs="Calibri"/>
          <w:sz w:val="22"/>
          <w:szCs w:val="22"/>
          <w:lang w:val="en-US"/>
        </w:rPr>
      </w:pPr>
      <w:r w:rsidRPr="003C7C79">
        <w:rPr>
          <w:rFonts w:cs="Calibri"/>
          <w:sz w:val="22"/>
          <w:szCs w:val="22"/>
          <w:lang w:val="en-US"/>
        </w:rPr>
        <w:t xml:space="preserve">(cross-border money transfers </w:t>
      </w:r>
      <w:r w:rsidR="007B374C" w:rsidRPr="003C7C79">
        <w:rPr>
          <w:rFonts w:cs="Calibri"/>
          <w:sz w:val="22"/>
          <w:szCs w:val="22"/>
          <w:lang w:val="en-US"/>
        </w:rPr>
        <w:t xml:space="preserve">of </w:t>
      </w:r>
      <w:r w:rsidRPr="003C7C79">
        <w:rPr>
          <w:rFonts w:cs="Calibri"/>
          <w:sz w:val="22"/>
          <w:szCs w:val="22"/>
          <w:lang w:val="en-US"/>
        </w:rPr>
        <w:t>individuals)</w:t>
      </w:r>
    </w:p>
    <w:p w:rsidR="009304D9" w:rsidRPr="00F45A80" w:rsidRDefault="009304D9" w:rsidP="003C7C79">
      <w:pPr>
        <w:spacing w:line="288" w:lineRule="auto"/>
        <w:ind w:right="225"/>
        <w:jc w:val="right"/>
        <w:rPr>
          <w:i/>
          <w:sz w:val="20"/>
          <w:szCs w:val="20"/>
          <w:lang w:val="en-US"/>
        </w:rPr>
      </w:pPr>
      <w:r w:rsidRPr="00F45A80">
        <w:rPr>
          <w:i/>
          <w:sz w:val="20"/>
          <w:szCs w:val="20"/>
          <w:lang w:val="en-US"/>
        </w:rPr>
        <w:t>(mln. USD)</w:t>
      </w:r>
    </w:p>
    <w:tbl>
      <w:tblPr>
        <w:tblW w:w="1487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547"/>
        <w:gridCol w:w="1276"/>
        <w:gridCol w:w="1417"/>
        <w:gridCol w:w="1622"/>
        <w:gridCol w:w="1355"/>
        <w:gridCol w:w="1456"/>
        <w:gridCol w:w="1589"/>
        <w:gridCol w:w="1260"/>
        <w:gridCol w:w="1223"/>
        <w:gridCol w:w="1134"/>
      </w:tblGrid>
      <w:tr w:rsidR="00A121E0" w:rsidRPr="00A121E0" w:rsidTr="003C7C79">
        <w:trPr>
          <w:trHeight w:val="330"/>
          <w:tblHeader/>
        </w:trPr>
        <w:tc>
          <w:tcPr>
            <w:tcW w:w="2547" w:type="dxa"/>
            <w:vMerge w:val="restart"/>
            <w:shd w:val="clear" w:color="auto" w:fill="auto"/>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Region/Country</w:t>
            </w:r>
          </w:p>
        </w:tc>
        <w:tc>
          <w:tcPr>
            <w:tcW w:w="4315" w:type="dxa"/>
            <w:gridSpan w:val="3"/>
            <w:shd w:val="clear" w:color="auto" w:fill="auto"/>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Transfers to Uzbekistan</w:t>
            </w:r>
          </w:p>
        </w:tc>
        <w:tc>
          <w:tcPr>
            <w:tcW w:w="4400" w:type="dxa"/>
            <w:gridSpan w:val="3"/>
            <w:shd w:val="clear" w:color="auto" w:fill="auto"/>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Transfers from Uzbekistan</w:t>
            </w:r>
          </w:p>
        </w:tc>
        <w:tc>
          <w:tcPr>
            <w:tcW w:w="1260" w:type="dxa"/>
            <w:vMerge w:val="restart"/>
            <w:shd w:val="clear" w:color="auto" w:fill="auto"/>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 xml:space="preserve"> Net </w:t>
            </w:r>
            <w:r w:rsidRPr="00A121E0">
              <w:rPr>
                <w:rFonts w:cs="Calibri"/>
                <w:b/>
                <w:bCs/>
                <w:color w:val="000000"/>
                <w:sz w:val="18"/>
                <w:szCs w:val="18"/>
              </w:rPr>
              <w:br/>
              <w:t>f</w:t>
            </w:r>
            <w:r>
              <w:rPr>
                <w:rFonts w:cs="Calibri"/>
                <w:b/>
                <w:bCs/>
                <w:color w:val="000000"/>
                <w:sz w:val="18"/>
                <w:szCs w:val="18"/>
                <w:lang w:val="en-US"/>
              </w:rPr>
              <w:t>or</w:t>
            </w:r>
            <w:r w:rsidRPr="00A121E0">
              <w:rPr>
                <w:rFonts w:cs="Calibri"/>
                <w:b/>
                <w:bCs/>
                <w:color w:val="000000"/>
                <w:sz w:val="18"/>
                <w:szCs w:val="18"/>
              </w:rPr>
              <w:t xml:space="preserve"> 2018 </w:t>
            </w:r>
          </w:p>
        </w:tc>
        <w:tc>
          <w:tcPr>
            <w:tcW w:w="1223" w:type="dxa"/>
            <w:vMerge w:val="restart"/>
            <w:shd w:val="clear" w:color="auto" w:fill="auto"/>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 xml:space="preserve"> Net </w:t>
            </w:r>
            <w:r w:rsidRPr="00A121E0">
              <w:rPr>
                <w:rFonts w:cs="Calibri"/>
                <w:b/>
                <w:bCs/>
                <w:color w:val="000000"/>
                <w:sz w:val="18"/>
                <w:szCs w:val="18"/>
              </w:rPr>
              <w:br/>
              <w:t xml:space="preserve">for 2019 </w:t>
            </w:r>
          </w:p>
        </w:tc>
        <w:tc>
          <w:tcPr>
            <w:tcW w:w="1134" w:type="dxa"/>
            <w:vMerge w:val="restart"/>
            <w:shd w:val="clear" w:color="auto" w:fill="auto"/>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 xml:space="preserve"> Net </w:t>
            </w:r>
            <w:r w:rsidRPr="00A121E0">
              <w:rPr>
                <w:rFonts w:cs="Calibri"/>
                <w:b/>
                <w:bCs/>
                <w:color w:val="000000"/>
                <w:sz w:val="18"/>
                <w:szCs w:val="18"/>
              </w:rPr>
              <w:br/>
              <w:t xml:space="preserve">for 2020 </w:t>
            </w:r>
          </w:p>
        </w:tc>
      </w:tr>
      <w:tr w:rsidR="00A121E0" w:rsidRPr="00A121E0" w:rsidTr="003C7C79">
        <w:trPr>
          <w:trHeight w:val="265"/>
          <w:tblHeader/>
        </w:trPr>
        <w:tc>
          <w:tcPr>
            <w:tcW w:w="2547" w:type="dxa"/>
            <w:vMerge/>
            <w:vAlign w:val="center"/>
            <w:hideMark/>
          </w:tcPr>
          <w:p w:rsidR="00A121E0" w:rsidRPr="00A121E0" w:rsidRDefault="00A121E0" w:rsidP="00A121E0">
            <w:pPr>
              <w:rPr>
                <w:rFonts w:cs="Calibri"/>
                <w:b/>
                <w:bCs/>
                <w:color w:val="000000"/>
                <w:sz w:val="18"/>
                <w:szCs w:val="18"/>
              </w:rPr>
            </w:pPr>
          </w:p>
        </w:tc>
        <w:tc>
          <w:tcPr>
            <w:tcW w:w="1276" w:type="dxa"/>
            <w:shd w:val="clear" w:color="auto" w:fill="auto"/>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For 2018</w:t>
            </w:r>
          </w:p>
        </w:tc>
        <w:tc>
          <w:tcPr>
            <w:tcW w:w="1417" w:type="dxa"/>
            <w:shd w:val="clear" w:color="auto" w:fill="auto"/>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For 2019</w:t>
            </w:r>
          </w:p>
        </w:tc>
        <w:tc>
          <w:tcPr>
            <w:tcW w:w="1622" w:type="dxa"/>
            <w:shd w:val="clear" w:color="auto" w:fill="auto"/>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For 2020</w:t>
            </w:r>
          </w:p>
        </w:tc>
        <w:tc>
          <w:tcPr>
            <w:tcW w:w="1355" w:type="dxa"/>
            <w:shd w:val="clear" w:color="auto" w:fill="auto"/>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For 2018</w:t>
            </w:r>
          </w:p>
        </w:tc>
        <w:tc>
          <w:tcPr>
            <w:tcW w:w="1456" w:type="dxa"/>
            <w:shd w:val="clear" w:color="auto" w:fill="auto"/>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For 2019</w:t>
            </w:r>
          </w:p>
        </w:tc>
        <w:tc>
          <w:tcPr>
            <w:tcW w:w="1589" w:type="dxa"/>
            <w:shd w:val="clear" w:color="auto" w:fill="auto"/>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For 2020</w:t>
            </w:r>
          </w:p>
        </w:tc>
        <w:tc>
          <w:tcPr>
            <w:tcW w:w="1260" w:type="dxa"/>
            <w:vMerge/>
            <w:vAlign w:val="center"/>
            <w:hideMark/>
          </w:tcPr>
          <w:p w:rsidR="00A121E0" w:rsidRPr="00A121E0" w:rsidRDefault="00A121E0" w:rsidP="00A121E0">
            <w:pPr>
              <w:rPr>
                <w:rFonts w:cs="Calibri"/>
                <w:b/>
                <w:bCs/>
                <w:color w:val="000000"/>
                <w:sz w:val="18"/>
                <w:szCs w:val="18"/>
              </w:rPr>
            </w:pPr>
          </w:p>
        </w:tc>
        <w:tc>
          <w:tcPr>
            <w:tcW w:w="1223" w:type="dxa"/>
            <w:vMerge/>
            <w:vAlign w:val="center"/>
            <w:hideMark/>
          </w:tcPr>
          <w:p w:rsidR="00A121E0" w:rsidRPr="00A121E0" w:rsidRDefault="00A121E0" w:rsidP="00A121E0">
            <w:pPr>
              <w:rPr>
                <w:rFonts w:cs="Calibri"/>
                <w:b/>
                <w:bCs/>
                <w:color w:val="000000"/>
                <w:sz w:val="18"/>
                <w:szCs w:val="18"/>
              </w:rPr>
            </w:pPr>
          </w:p>
        </w:tc>
        <w:tc>
          <w:tcPr>
            <w:tcW w:w="1134" w:type="dxa"/>
            <w:vMerge/>
            <w:vAlign w:val="center"/>
            <w:hideMark/>
          </w:tcPr>
          <w:p w:rsidR="00A121E0" w:rsidRPr="00A121E0" w:rsidRDefault="00A121E0" w:rsidP="00A121E0">
            <w:pPr>
              <w:rPr>
                <w:rFonts w:cs="Calibri"/>
                <w:b/>
                <w:bCs/>
                <w:color w:val="000000"/>
                <w:sz w:val="18"/>
                <w:szCs w:val="18"/>
              </w:rPr>
            </w:pPr>
          </w:p>
        </w:tc>
      </w:tr>
      <w:tr w:rsidR="00A121E0" w:rsidRPr="00A121E0" w:rsidTr="003C7C79">
        <w:trPr>
          <w:trHeight w:val="360"/>
        </w:trPr>
        <w:tc>
          <w:tcPr>
            <w:tcW w:w="2547" w:type="dxa"/>
            <w:shd w:val="clear" w:color="000000" w:fill="BDD7EE"/>
            <w:noWrap/>
            <w:vAlign w:val="center"/>
            <w:hideMark/>
          </w:tcPr>
          <w:p w:rsidR="00A121E0" w:rsidRPr="00A121E0" w:rsidRDefault="00A121E0" w:rsidP="00A121E0">
            <w:pPr>
              <w:rPr>
                <w:rFonts w:cs="Calibri"/>
                <w:b/>
                <w:bCs/>
                <w:color w:val="000000"/>
                <w:sz w:val="18"/>
                <w:szCs w:val="18"/>
              </w:rPr>
            </w:pPr>
            <w:r w:rsidRPr="00A121E0">
              <w:rPr>
                <w:rFonts w:cs="Calibri"/>
                <w:b/>
                <w:bCs/>
                <w:color w:val="000000"/>
                <w:sz w:val="18"/>
                <w:szCs w:val="18"/>
              </w:rPr>
              <w:t>TOTAL</w:t>
            </w:r>
          </w:p>
        </w:tc>
        <w:tc>
          <w:tcPr>
            <w:tcW w:w="1276"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5 114,8</w:t>
            </w:r>
          </w:p>
        </w:tc>
        <w:tc>
          <w:tcPr>
            <w:tcW w:w="1417"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6 009,7</w:t>
            </w:r>
          </w:p>
        </w:tc>
        <w:tc>
          <w:tcPr>
            <w:tcW w:w="1622"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6 027,1</w:t>
            </w:r>
          </w:p>
        </w:tc>
        <w:tc>
          <w:tcPr>
            <w:tcW w:w="1355"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899,9</w:t>
            </w:r>
          </w:p>
        </w:tc>
        <w:tc>
          <w:tcPr>
            <w:tcW w:w="1456"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1 040,3</w:t>
            </w:r>
          </w:p>
        </w:tc>
        <w:tc>
          <w:tcPr>
            <w:tcW w:w="1589"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1 197,5</w:t>
            </w:r>
          </w:p>
        </w:tc>
        <w:tc>
          <w:tcPr>
            <w:tcW w:w="1260"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4 214,9</w:t>
            </w:r>
          </w:p>
        </w:tc>
        <w:tc>
          <w:tcPr>
            <w:tcW w:w="1223"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4 732,2</w:t>
            </w:r>
          </w:p>
        </w:tc>
        <w:tc>
          <w:tcPr>
            <w:tcW w:w="1134"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4 829,6</w:t>
            </w:r>
          </w:p>
        </w:tc>
      </w:tr>
      <w:tr w:rsidR="00A121E0" w:rsidRPr="00A121E0" w:rsidTr="003C7C79">
        <w:trPr>
          <w:trHeight w:val="360"/>
        </w:trPr>
        <w:tc>
          <w:tcPr>
            <w:tcW w:w="2547" w:type="dxa"/>
            <w:shd w:val="clear" w:color="000000" w:fill="BDD7EE"/>
            <w:noWrap/>
            <w:vAlign w:val="center"/>
            <w:hideMark/>
          </w:tcPr>
          <w:p w:rsidR="00A121E0" w:rsidRPr="00A121E0" w:rsidRDefault="00A121E0" w:rsidP="00A121E0">
            <w:pPr>
              <w:rPr>
                <w:rFonts w:cs="Calibri"/>
                <w:b/>
                <w:bCs/>
                <w:color w:val="000000"/>
                <w:sz w:val="18"/>
                <w:szCs w:val="18"/>
              </w:rPr>
            </w:pPr>
            <w:r w:rsidRPr="00A121E0">
              <w:rPr>
                <w:rFonts w:cs="Calibri"/>
                <w:b/>
                <w:bCs/>
                <w:color w:val="000000"/>
                <w:sz w:val="18"/>
                <w:szCs w:val="18"/>
              </w:rPr>
              <w:t>CIS countries</w:t>
            </w:r>
          </w:p>
        </w:tc>
        <w:tc>
          <w:tcPr>
            <w:tcW w:w="1276"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4 350,1</w:t>
            </w:r>
          </w:p>
        </w:tc>
        <w:tc>
          <w:tcPr>
            <w:tcW w:w="1417"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5 078,0</w:t>
            </w:r>
          </w:p>
        </w:tc>
        <w:tc>
          <w:tcPr>
            <w:tcW w:w="1622"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4 817,9</w:t>
            </w:r>
          </w:p>
        </w:tc>
        <w:tc>
          <w:tcPr>
            <w:tcW w:w="1355"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557,0</w:t>
            </w:r>
          </w:p>
        </w:tc>
        <w:tc>
          <w:tcPr>
            <w:tcW w:w="1456"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542,0</w:t>
            </w:r>
          </w:p>
        </w:tc>
        <w:tc>
          <w:tcPr>
            <w:tcW w:w="1589"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582,7</w:t>
            </w:r>
          </w:p>
        </w:tc>
        <w:tc>
          <w:tcPr>
            <w:tcW w:w="1260"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3 793,2</w:t>
            </w:r>
          </w:p>
        </w:tc>
        <w:tc>
          <w:tcPr>
            <w:tcW w:w="1223"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4 535,9</w:t>
            </w:r>
          </w:p>
        </w:tc>
        <w:tc>
          <w:tcPr>
            <w:tcW w:w="1134"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4 235,2</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Russian Federation</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3 963,1</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4 636,8</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4 343,6</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402,2</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347,5</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309,2</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3 560,9</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4 289,3</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4 034,4</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 xml:space="preserve">Kazakhstan </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320,0</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357,0</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386,8</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73,4</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87,3</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108,7</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246,6</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269,8</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278,1</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 xml:space="preserve">Kyrgyzstan </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31,5</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39,3</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41,2</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30,6</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51,7</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112,2</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1,0</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Pr>
                <w:rFonts w:cs="Calibri"/>
                <w:color w:val="000000"/>
                <w:sz w:val="18"/>
                <w:szCs w:val="18"/>
              </w:rPr>
              <w:t>-</w:t>
            </w:r>
            <w:r w:rsidRPr="00A121E0">
              <w:rPr>
                <w:rFonts w:cs="Calibri"/>
                <w:color w:val="000000"/>
                <w:sz w:val="18"/>
                <w:szCs w:val="18"/>
              </w:rPr>
              <w:t>12,4</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-71,0</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Ukraine</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13,1</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18,9</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18,2</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23,3</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23,9</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21,9</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-10,2</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-5,0</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-3,7</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Azerbaijan</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3,4</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3,7</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3,4</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9,6</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12,7</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9,3</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-6,2</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-9,0</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-5,9</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Tajikistan</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9,1</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8,0</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8,0</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7,2</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7,1</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11,4</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1,9</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0,8</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-3,4</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Belarus</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6,0</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7,6</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9,9</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6,9</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6,8</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5,5</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-0,8</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0,9</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4,4</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Armenia</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2,5</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2,1</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2,5</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3,7</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5,0</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4,5</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-1,2</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-2,9</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-2,0</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Turkmenistan</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1,4</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4,6</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4,4</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0,0</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0,0</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0,0</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1,3</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4,6</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4,3</w:t>
            </w:r>
          </w:p>
        </w:tc>
      </w:tr>
      <w:tr w:rsidR="00A121E0" w:rsidRPr="00A121E0" w:rsidTr="003C7C79">
        <w:trPr>
          <w:trHeight w:val="360"/>
        </w:trPr>
        <w:tc>
          <w:tcPr>
            <w:tcW w:w="2547" w:type="dxa"/>
            <w:shd w:val="clear" w:color="000000" w:fill="BDD7EE"/>
            <w:noWrap/>
            <w:vAlign w:val="center"/>
            <w:hideMark/>
          </w:tcPr>
          <w:p w:rsidR="00A121E0" w:rsidRPr="00A121E0" w:rsidRDefault="00A121E0" w:rsidP="00A121E0">
            <w:pPr>
              <w:rPr>
                <w:rFonts w:cs="Calibri"/>
                <w:b/>
                <w:bCs/>
                <w:color w:val="000000"/>
                <w:sz w:val="18"/>
                <w:szCs w:val="18"/>
              </w:rPr>
            </w:pPr>
            <w:r w:rsidRPr="00A121E0">
              <w:rPr>
                <w:rFonts w:cs="Calibri"/>
                <w:b/>
                <w:bCs/>
                <w:color w:val="000000"/>
                <w:sz w:val="18"/>
                <w:szCs w:val="18"/>
              </w:rPr>
              <w:t>Other countries</w:t>
            </w:r>
          </w:p>
        </w:tc>
        <w:tc>
          <w:tcPr>
            <w:tcW w:w="1276"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764,7</w:t>
            </w:r>
          </w:p>
        </w:tc>
        <w:tc>
          <w:tcPr>
            <w:tcW w:w="1417"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931,7</w:t>
            </w:r>
          </w:p>
        </w:tc>
        <w:tc>
          <w:tcPr>
            <w:tcW w:w="1622"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1 209,3</w:t>
            </w:r>
          </w:p>
        </w:tc>
        <w:tc>
          <w:tcPr>
            <w:tcW w:w="1355"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342,9</w:t>
            </w:r>
          </w:p>
        </w:tc>
        <w:tc>
          <w:tcPr>
            <w:tcW w:w="1456"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498,3</w:t>
            </w:r>
          </w:p>
        </w:tc>
        <w:tc>
          <w:tcPr>
            <w:tcW w:w="1589"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614,8</w:t>
            </w:r>
          </w:p>
        </w:tc>
        <w:tc>
          <w:tcPr>
            <w:tcW w:w="1260"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421,8</w:t>
            </w:r>
          </w:p>
        </w:tc>
        <w:tc>
          <w:tcPr>
            <w:tcW w:w="1223"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196,3</w:t>
            </w:r>
          </w:p>
        </w:tc>
        <w:tc>
          <w:tcPr>
            <w:tcW w:w="1134" w:type="dxa"/>
            <w:shd w:val="clear" w:color="000000" w:fill="BDD7EE"/>
            <w:noWrap/>
            <w:vAlign w:val="center"/>
            <w:hideMark/>
          </w:tcPr>
          <w:p w:rsidR="00A121E0" w:rsidRPr="00A121E0" w:rsidRDefault="00A121E0" w:rsidP="00A121E0">
            <w:pPr>
              <w:jc w:val="center"/>
              <w:rPr>
                <w:rFonts w:cs="Calibri"/>
                <w:b/>
                <w:bCs/>
                <w:color w:val="000000"/>
                <w:sz w:val="18"/>
                <w:szCs w:val="18"/>
              </w:rPr>
            </w:pPr>
            <w:r w:rsidRPr="00A121E0">
              <w:rPr>
                <w:rFonts w:cs="Calibri"/>
                <w:b/>
                <w:bCs/>
                <w:color w:val="000000"/>
                <w:sz w:val="18"/>
                <w:szCs w:val="18"/>
              </w:rPr>
              <w:t>594,4</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Turkey</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203,8</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152,6</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196,4</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131,4</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200,6</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340,6</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72,4</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-48,0</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-144,2</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Poland</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3,9</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3,9</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8,2</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21,3</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47,8</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14,9</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-17,4</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-43,9</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-6,7</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China</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12,5</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13,7</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11,4</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66,5</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73,0</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114,7</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-53,9</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-59,3</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-103,3</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Lithuania</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1,0</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1,0</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2,2</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20,5</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28,8</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5,1</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-19,5</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-27,8</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-2,8</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USA</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188,4</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167,4</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344,8</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16,5</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19,0</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14,7</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171,9</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148,5</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330,1</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Korea</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106,7</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120,5</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258,2</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12,8</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26,7</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45,8</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93,9</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93,8</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212,4</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UAE</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34,2</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27,9</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35,3</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7,1</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14,8</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4,7</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27,2</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13,1</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30,6</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Germany</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11,2</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9,2</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13,4</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6,2</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11,5</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11,1</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5,0</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-2,3</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2,3</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Czech</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6,0</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5,1</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9,6</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5,0</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6,7</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3,8</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1,0</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-1,5</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5,8</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lastRenderedPageBreak/>
              <w:t>Latvia</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4,1</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2,8</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4,4</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6,8</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7,2</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4,1</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-2,6</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-4,5</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0,3</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Japan</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10,3</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8,2</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9,2</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4,7</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5,8</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4,8</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5,6</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2,3</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4,4</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Great Britain</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8,8</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9,5</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10,6</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5,2</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7,7</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6,4</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3,6</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1,8</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4,2</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Georgia</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7,1</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5,7</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6,7</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4,1</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7,3</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6,7</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3,0</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-1,6</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-0,0</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Israel</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54,5</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58,6</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132,4</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4,2</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4,3</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3,7</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50,3</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54,3</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128,7</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India</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1,5</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1,4</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1,6</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2,5</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3,2</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3,0</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-1,0</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-1,8</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-1,3</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Canada</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4,9</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3,5</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4,6</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1,7</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2,5</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2,9</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3,2</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1,0</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1,7</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Moldova</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0,4</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0,8</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0,9</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2,9</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2,6</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1,6</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-2,5</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-1,8</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-0,7</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Netherlands</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3,9</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3,5</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7,3</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0,7</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1,1</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1,5</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3,2</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2,4</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5,8</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Switzerland</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3,1</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2,8</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5,1</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0,9</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1,3</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1,2</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2,1</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1,5</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3,9</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Thailand</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6,5</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4,7</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2,4</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1,4</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1,6</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1,1</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5,1</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3,2</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1,3</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Hong-Kong, China</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4,4</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1,1</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2,3</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0,2</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0,8</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0,4</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4,2</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0,3</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2,0</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Australia</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2,9</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1,9</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4,2</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0,8</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0,8</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0,8</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2,1</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1,1</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3,3</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Sweden</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28,5</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24,9</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44,7</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0,3</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0,5</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0,3</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28,3</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24,4</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44,4</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Kuwait</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2,4</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1,8</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2,9</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0,8</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0,9</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0,0</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1,7</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0,8</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2,9</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Saudi Arabia</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2,5</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2,3</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4,5</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0,1</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0,2</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0,1</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2,4</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2,1</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4,4</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Singapore</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4,0</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3,6</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2,4</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0,8</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1,1</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0,7</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3,2</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2,5</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1,7</w:t>
            </w:r>
          </w:p>
        </w:tc>
      </w:tr>
      <w:tr w:rsidR="00A121E0" w:rsidRPr="00A121E0" w:rsidTr="003C7C79">
        <w:trPr>
          <w:trHeight w:val="360"/>
        </w:trPr>
        <w:tc>
          <w:tcPr>
            <w:tcW w:w="2547" w:type="dxa"/>
            <w:shd w:val="clear" w:color="auto" w:fill="auto"/>
            <w:noWrap/>
            <w:vAlign w:val="center"/>
            <w:hideMark/>
          </w:tcPr>
          <w:p w:rsidR="00A121E0" w:rsidRPr="00A121E0" w:rsidRDefault="00A121E0" w:rsidP="00A121E0">
            <w:pPr>
              <w:rPr>
                <w:rFonts w:cs="Calibri"/>
                <w:color w:val="000000"/>
                <w:sz w:val="18"/>
                <w:szCs w:val="18"/>
              </w:rPr>
            </w:pPr>
            <w:r w:rsidRPr="00A121E0">
              <w:rPr>
                <w:rFonts w:cs="Calibri"/>
                <w:color w:val="000000"/>
                <w:sz w:val="18"/>
                <w:szCs w:val="18"/>
              </w:rPr>
              <w:t>Qatar</w:t>
            </w:r>
          </w:p>
        </w:tc>
        <w:tc>
          <w:tcPr>
            <w:tcW w:w="127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2,3</w:t>
            </w:r>
          </w:p>
        </w:tc>
        <w:tc>
          <w:tcPr>
            <w:tcW w:w="1417"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2,3</w:t>
            </w:r>
          </w:p>
        </w:tc>
        <w:tc>
          <w:tcPr>
            <w:tcW w:w="1622"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4,0</w:t>
            </w:r>
          </w:p>
        </w:tc>
        <w:tc>
          <w:tcPr>
            <w:tcW w:w="1355"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0,0</w:t>
            </w:r>
          </w:p>
        </w:tc>
        <w:tc>
          <w:tcPr>
            <w:tcW w:w="1456"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0,2</w:t>
            </w:r>
          </w:p>
        </w:tc>
        <w:tc>
          <w:tcPr>
            <w:tcW w:w="1589"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0,1</w:t>
            </w:r>
          </w:p>
        </w:tc>
        <w:tc>
          <w:tcPr>
            <w:tcW w:w="1260"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2,3</w:t>
            </w:r>
          </w:p>
        </w:tc>
        <w:tc>
          <w:tcPr>
            <w:tcW w:w="1223"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2,1</w:t>
            </w:r>
          </w:p>
        </w:tc>
        <w:tc>
          <w:tcPr>
            <w:tcW w:w="1134" w:type="dxa"/>
            <w:shd w:val="clear" w:color="auto" w:fill="auto"/>
            <w:noWrap/>
            <w:vAlign w:val="center"/>
            <w:hideMark/>
          </w:tcPr>
          <w:p w:rsidR="00A121E0" w:rsidRPr="00A121E0" w:rsidRDefault="00A121E0" w:rsidP="00A121E0">
            <w:pPr>
              <w:jc w:val="center"/>
              <w:rPr>
                <w:rFonts w:cs="Calibri"/>
                <w:color w:val="000000"/>
                <w:sz w:val="18"/>
                <w:szCs w:val="18"/>
              </w:rPr>
            </w:pPr>
            <w:r w:rsidRPr="00A121E0">
              <w:rPr>
                <w:rFonts w:cs="Calibri"/>
                <w:color w:val="000000"/>
                <w:sz w:val="18"/>
                <w:szCs w:val="18"/>
              </w:rPr>
              <w:t>3,9</w:t>
            </w:r>
          </w:p>
        </w:tc>
      </w:tr>
      <w:tr w:rsidR="00A121E0" w:rsidRPr="00A121E0" w:rsidTr="003C7C79">
        <w:trPr>
          <w:trHeight w:val="360"/>
        </w:trPr>
        <w:tc>
          <w:tcPr>
            <w:tcW w:w="2547" w:type="dxa"/>
            <w:shd w:val="clear" w:color="000000" w:fill="BDD7EE"/>
            <w:noWrap/>
            <w:vAlign w:val="center"/>
            <w:hideMark/>
          </w:tcPr>
          <w:p w:rsidR="00A121E0" w:rsidRPr="00A121E0" w:rsidRDefault="00A121E0" w:rsidP="00A121E0">
            <w:pPr>
              <w:rPr>
                <w:rFonts w:cs="Calibri"/>
                <w:b/>
                <w:bCs/>
                <w:sz w:val="18"/>
                <w:szCs w:val="18"/>
              </w:rPr>
            </w:pPr>
            <w:r w:rsidRPr="00A121E0">
              <w:rPr>
                <w:rFonts w:cs="Calibri"/>
                <w:b/>
                <w:bCs/>
                <w:sz w:val="18"/>
                <w:szCs w:val="18"/>
              </w:rPr>
              <w:t>Other countries</w:t>
            </w:r>
          </w:p>
        </w:tc>
        <w:tc>
          <w:tcPr>
            <w:tcW w:w="1276" w:type="dxa"/>
            <w:shd w:val="clear" w:color="000000" w:fill="BDD7EE"/>
            <w:noWrap/>
            <w:vAlign w:val="center"/>
            <w:hideMark/>
          </w:tcPr>
          <w:p w:rsidR="00A121E0" w:rsidRPr="00A121E0" w:rsidRDefault="00A121E0" w:rsidP="00A121E0">
            <w:pPr>
              <w:jc w:val="center"/>
              <w:rPr>
                <w:rFonts w:cs="Calibri"/>
                <w:b/>
                <w:bCs/>
                <w:sz w:val="18"/>
                <w:szCs w:val="18"/>
              </w:rPr>
            </w:pPr>
            <w:r w:rsidRPr="00A121E0">
              <w:rPr>
                <w:rFonts w:cs="Calibri"/>
                <w:b/>
                <w:bCs/>
                <w:sz w:val="18"/>
                <w:szCs w:val="18"/>
              </w:rPr>
              <w:t>44,6</w:t>
            </w:r>
          </w:p>
        </w:tc>
        <w:tc>
          <w:tcPr>
            <w:tcW w:w="1417" w:type="dxa"/>
            <w:shd w:val="clear" w:color="000000" w:fill="BDD7EE"/>
            <w:noWrap/>
            <w:vAlign w:val="center"/>
            <w:hideMark/>
          </w:tcPr>
          <w:p w:rsidR="00A121E0" w:rsidRPr="00A121E0" w:rsidRDefault="00A121E0" w:rsidP="00A121E0">
            <w:pPr>
              <w:jc w:val="center"/>
              <w:rPr>
                <w:rFonts w:cs="Calibri"/>
                <w:b/>
                <w:bCs/>
                <w:sz w:val="18"/>
                <w:szCs w:val="18"/>
              </w:rPr>
            </w:pPr>
            <w:r w:rsidRPr="00A121E0">
              <w:rPr>
                <w:rFonts w:cs="Calibri"/>
                <w:b/>
                <w:bCs/>
                <w:sz w:val="18"/>
                <w:szCs w:val="18"/>
              </w:rPr>
              <w:t>53,7</w:t>
            </w:r>
          </w:p>
        </w:tc>
        <w:tc>
          <w:tcPr>
            <w:tcW w:w="1622" w:type="dxa"/>
            <w:shd w:val="clear" w:color="000000" w:fill="BDD7EE"/>
            <w:noWrap/>
            <w:vAlign w:val="center"/>
            <w:hideMark/>
          </w:tcPr>
          <w:p w:rsidR="00A121E0" w:rsidRPr="00A121E0" w:rsidRDefault="00A121E0" w:rsidP="00A121E0">
            <w:pPr>
              <w:jc w:val="center"/>
              <w:rPr>
                <w:rFonts w:cs="Calibri"/>
                <w:b/>
                <w:bCs/>
                <w:sz w:val="18"/>
                <w:szCs w:val="18"/>
              </w:rPr>
            </w:pPr>
            <w:r w:rsidRPr="00A121E0">
              <w:rPr>
                <w:rFonts w:cs="Calibri"/>
                <w:b/>
                <w:bCs/>
                <w:sz w:val="18"/>
                <w:szCs w:val="18"/>
              </w:rPr>
              <w:t>79,5</w:t>
            </w:r>
          </w:p>
        </w:tc>
        <w:tc>
          <w:tcPr>
            <w:tcW w:w="1355" w:type="dxa"/>
            <w:shd w:val="clear" w:color="000000" w:fill="BDD7EE"/>
            <w:noWrap/>
            <w:vAlign w:val="center"/>
            <w:hideMark/>
          </w:tcPr>
          <w:p w:rsidR="00A121E0" w:rsidRPr="00A121E0" w:rsidRDefault="00A121E0" w:rsidP="00A121E0">
            <w:pPr>
              <w:jc w:val="center"/>
              <w:rPr>
                <w:rFonts w:cs="Calibri"/>
                <w:b/>
                <w:bCs/>
                <w:sz w:val="18"/>
                <w:szCs w:val="18"/>
              </w:rPr>
            </w:pPr>
            <w:r w:rsidRPr="00A121E0">
              <w:rPr>
                <w:rFonts w:cs="Calibri"/>
                <w:b/>
                <w:bCs/>
                <w:sz w:val="18"/>
                <w:szCs w:val="18"/>
              </w:rPr>
              <w:t>17,7</w:t>
            </w:r>
          </w:p>
        </w:tc>
        <w:tc>
          <w:tcPr>
            <w:tcW w:w="1456" w:type="dxa"/>
            <w:shd w:val="clear" w:color="000000" w:fill="BDD7EE"/>
            <w:noWrap/>
            <w:vAlign w:val="center"/>
            <w:hideMark/>
          </w:tcPr>
          <w:p w:rsidR="00A121E0" w:rsidRPr="00A121E0" w:rsidRDefault="00A121E0" w:rsidP="00A121E0">
            <w:pPr>
              <w:jc w:val="center"/>
              <w:rPr>
                <w:rFonts w:cs="Calibri"/>
                <w:b/>
                <w:bCs/>
                <w:sz w:val="18"/>
                <w:szCs w:val="18"/>
              </w:rPr>
            </w:pPr>
            <w:r w:rsidRPr="00A121E0">
              <w:rPr>
                <w:rFonts w:cs="Calibri"/>
                <w:b/>
                <w:bCs/>
                <w:sz w:val="18"/>
                <w:szCs w:val="18"/>
              </w:rPr>
              <w:t>20,0</w:t>
            </w:r>
          </w:p>
        </w:tc>
        <w:tc>
          <w:tcPr>
            <w:tcW w:w="1589" w:type="dxa"/>
            <w:shd w:val="clear" w:color="000000" w:fill="BDD7EE"/>
            <w:noWrap/>
            <w:vAlign w:val="center"/>
            <w:hideMark/>
          </w:tcPr>
          <w:p w:rsidR="00A121E0" w:rsidRPr="00A121E0" w:rsidRDefault="00A121E0" w:rsidP="00A121E0">
            <w:pPr>
              <w:jc w:val="center"/>
              <w:rPr>
                <w:rFonts w:cs="Calibri"/>
                <w:b/>
                <w:bCs/>
                <w:sz w:val="18"/>
                <w:szCs w:val="18"/>
              </w:rPr>
            </w:pPr>
            <w:r w:rsidRPr="00A121E0">
              <w:rPr>
                <w:rFonts w:cs="Calibri"/>
                <w:b/>
                <w:bCs/>
                <w:sz w:val="18"/>
                <w:szCs w:val="18"/>
              </w:rPr>
              <w:t>20,0</w:t>
            </w:r>
          </w:p>
        </w:tc>
        <w:tc>
          <w:tcPr>
            <w:tcW w:w="1260" w:type="dxa"/>
            <w:shd w:val="clear" w:color="000000" w:fill="BDD7EE"/>
            <w:noWrap/>
            <w:vAlign w:val="center"/>
            <w:hideMark/>
          </w:tcPr>
          <w:p w:rsidR="00A121E0" w:rsidRPr="00A121E0" w:rsidRDefault="00A121E0" w:rsidP="00A121E0">
            <w:pPr>
              <w:jc w:val="center"/>
              <w:rPr>
                <w:rFonts w:cs="Calibri"/>
                <w:b/>
                <w:bCs/>
                <w:sz w:val="18"/>
                <w:szCs w:val="18"/>
              </w:rPr>
            </w:pPr>
            <w:r w:rsidRPr="00A121E0">
              <w:rPr>
                <w:rFonts w:cs="Calibri"/>
                <w:b/>
                <w:bCs/>
                <w:sz w:val="18"/>
                <w:szCs w:val="18"/>
              </w:rPr>
              <w:t>26,9</w:t>
            </w:r>
          </w:p>
        </w:tc>
        <w:tc>
          <w:tcPr>
            <w:tcW w:w="1223" w:type="dxa"/>
            <w:shd w:val="clear" w:color="000000" w:fill="BDD7EE"/>
            <w:noWrap/>
            <w:vAlign w:val="center"/>
            <w:hideMark/>
          </w:tcPr>
          <w:p w:rsidR="00A121E0" w:rsidRPr="00A121E0" w:rsidRDefault="00A121E0" w:rsidP="00A121E0">
            <w:pPr>
              <w:jc w:val="center"/>
              <w:rPr>
                <w:rFonts w:cs="Calibri"/>
                <w:b/>
                <w:bCs/>
                <w:sz w:val="18"/>
                <w:szCs w:val="18"/>
              </w:rPr>
            </w:pPr>
            <w:r w:rsidRPr="00A121E0">
              <w:rPr>
                <w:rFonts w:cs="Calibri"/>
                <w:b/>
                <w:bCs/>
                <w:sz w:val="18"/>
                <w:szCs w:val="18"/>
              </w:rPr>
              <w:t>33,6</w:t>
            </w:r>
          </w:p>
        </w:tc>
        <w:tc>
          <w:tcPr>
            <w:tcW w:w="1134" w:type="dxa"/>
            <w:shd w:val="clear" w:color="000000" w:fill="BDD7EE"/>
            <w:noWrap/>
            <w:vAlign w:val="center"/>
            <w:hideMark/>
          </w:tcPr>
          <w:p w:rsidR="00A121E0" w:rsidRPr="00A121E0" w:rsidRDefault="00A121E0" w:rsidP="00A121E0">
            <w:pPr>
              <w:jc w:val="center"/>
              <w:rPr>
                <w:rFonts w:cs="Calibri"/>
                <w:b/>
                <w:bCs/>
                <w:sz w:val="18"/>
                <w:szCs w:val="18"/>
              </w:rPr>
            </w:pPr>
            <w:r w:rsidRPr="00A121E0">
              <w:rPr>
                <w:rFonts w:cs="Calibri"/>
                <w:b/>
                <w:bCs/>
                <w:sz w:val="18"/>
                <w:szCs w:val="18"/>
              </w:rPr>
              <w:t>59,5</w:t>
            </w:r>
          </w:p>
        </w:tc>
      </w:tr>
    </w:tbl>
    <w:p w:rsidR="009669F1" w:rsidRDefault="009669F1" w:rsidP="008C59A3">
      <w:pPr>
        <w:jc w:val="right"/>
        <w:rPr>
          <w:i/>
          <w:lang w:val="en-US"/>
        </w:rPr>
      </w:pPr>
    </w:p>
    <w:p w:rsidR="009669F1" w:rsidRDefault="009669F1">
      <w:pPr>
        <w:rPr>
          <w:i/>
          <w:lang w:val="en-US"/>
        </w:rPr>
      </w:pPr>
      <w:r>
        <w:rPr>
          <w:i/>
          <w:lang w:val="en-US"/>
        </w:rPr>
        <w:br w:type="page"/>
      </w:r>
    </w:p>
    <w:p w:rsidR="006A0A57" w:rsidRDefault="006A0A57" w:rsidP="009304D9">
      <w:pPr>
        <w:jc w:val="right"/>
        <w:rPr>
          <w:i/>
          <w:sz w:val="22"/>
          <w:szCs w:val="22"/>
          <w:lang w:val="en-US"/>
        </w:rPr>
        <w:sectPr w:rsidR="006A0A57" w:rsidSect="008E4A1C">
          <w:footerReference w:type="first" r:id="rId50"/>
          <w:pgSz w:w="16838" w:h="11906" w:orient="landscape" w:code="9"/>
          <w:pgMar w:top="709" w:right="737" w:bottom="567" w:left="1134" w:header="709" w:footer="709" w:gutter="0"/>
          <w:cols w:space="708"/>
          <w:titlePg/>
          <w:docGrid w:linePitch="360"/>
        </w:sectPr>
      </w:pPr>
    </w:p>
    <w:p w:rsidR="009304D9" w:rsidRPr="00ED5572" w:rsidRDefault="009304D9" w:rsidP="00C917D2">
      <w:pPr>
        <w:ind w:right="282"/>
        <w:jc w:val="right"/>
        <w:rPr>
          <w:i/>
          <w:sz w:val="22"/>
          <w:szCs w:val="22"/>
          <w:lang w:val="uz-Cyrl-UZ"/>
        </w:rPr>
      </w:pPr>
      <w:r w:rsidRPr="00ED5572">
        <w:rPr>
          <w:i/>
          <w:sz w:val="22"/>
          <w:szCs w:val="22"/>
          <w:lang w:val="en-US"/>
        </w:rPr>
        <w:lastRenderedPageBreak/>
        <w:t xml:space="preserve">Addenda </w:t>
      </w:r>
      <w:r w:rsidR="00244E0E">
        <w:rPr>
          <w:i/>
          <w:sz w:val="22"/>
          <w:szCs w:val="22"/>
          <w:lang w:val="en-US"/>
        </w:rPr>
        <w:t>10</w:t>
      </w:r>
    </w:p>
    <w:p w:rsidR="009304D9" w:rsidRPr="00B30F70" w:rsidRDefault="009304D9" w:rsidP="006A0A57">
      <w:pPr>
        <w:pStyle w:val="1"/>
        <w:spacing w:before="0" w:after="0"/>
        <w:ind w:left="0"/>
        <w:jc w:val="center"/>
        <w:rPr>
          <w:rFonts w:ascii="Calibri" w:hAnsi="Calibri"/>
          <w:sz w:val="26"/>
          <w:szCs w:val="26"/>
          <w:lang w:val="en-US"/>
        </w:rPr>
      </w:pPr>
      <w:bookmarkStart w:id="33" w:name="_Toc67050810"/>
      <w:r w:rsidRPr="005570C0">
        <w:rPr>
          <w:rFonts w:ascii="Calibri" w:hAnsi="Calibri" w:cs="Calibri"/>
          <w:sz w:val="26"/>
          <w:szCs w:val="26"/>
          <w:lang w:val="en-US"/>
        </w:rPr>
        <w:t>BALANCE OF PRIMARY INCOME</w:t>
      </w:r>
      <w:r w:rsidR="006A0A57" w:rsidRPr="005570C0">
        <w:rPr>
          <w:rFonts w:ascii="Calibri" w:hAnsi="Calibri" w:cs="Calibri"/>
          <w:sz w:val="26"/>
          <w:szCs w:val="26"/>
          <w:lang w:val="en-US"/>
        </w:rPr>
        <w:t xml:space="preserve"> </w:t>
      </w:r>
      <w:r w:rsidR="00C917D2" w:rsidRPr="005570C0">
        <w:rPr>
          <w:rFonts w:ascii="Calibri" w:hAnsi="Calibri" w:cs="Calibri"/>
          <w:sz w:val="26"/>
          <w:szCs w:val="26"/>
          <w:lang w:val="en-US"/>
        </w:rPr>
        <w:t>FOR</w:t>
      </w:r>
      <w:r w:rsidRPr="005570C0">
        <w:rPr>
          <w:rFonts w:ascii="Calibri" w:hAnsi="Calibri" w:cs="Calibri"/>
          <w:sz w:val="26"/>
          <w:szCs w:val="26"/>
          <w:lang w:val="en-US"/>
        </w:rPr>
        <w:t xml:space="preserve"> </w:t>
      </w:r>
      <w:r w:rsidR="00C917D2" w:rsidRPr="005570C0">
        <w:rPr>
          <w:rFonts w:ascii="Calibri" w:hAnsi="Calibri" w:cs="Calibri"/>
          <w:sz w:val="26"/>
          <w:szCs w:val="26"/>
          <w:lang w:val="en-US"/>
        </w:rPr>
        <w:t>201</w:t>
      </w:r>
      <w:r w:rsidR="00244E0E">
        <w:rPr>
          <w:rFonts w:ascii="Calibri" w:hAnsi="Calibri" w:cs="Calibri"/>
          <w:sz w:val="26"/>
          <w:szCs w:val="26"/>
          <w:lang w:val="en-US"/>
        </w:rPr>
        <w:t>8</w:t>
      </w:r>
      <w:r w:rsidR="006A0A57" w:rsidRPr="005570C0">
        <w:rPr>
          <w:rFonts w:ascii="Calibri" w:hAnsi="Calibri" w:cs="Calibri"/>
          <w:sz w:val="26"/>
          <w:szCs w:val="26"/>
          <w:lang w:val="en-US"/>
        </w:rPr>
        <w:t xml:space="preserve"> </w:t>
      </w:r>
      <w:r w:rsidR="00B33C6E">
        <w:rPr>
          <w:rFonts w:ascii="Calibri" w:hAnsi="Calibri" w:cs="Calibri"/>
          <w:sz w:val="26"/>
          <w:szCs w:val="26"/>
          <w:lang w:val="en-US"/>
        </w:rPr>
        <w:t>AND</w:t>
      </w:r>
      <w:r w:rsidR="006A0A57" w:rsidRPr="005570C0">
        <w:rPr>
          <w:rFonts w:ascii="Calibri" w:hAnsi="Calibri" w:cs="Calibri"/>
          <w:sz w:val="26"/>
          <w:szCs w:val="26"/>
          <w:lang w:val="en-US"/>
        </w:rPr>
        <w:t xml:space="preserve"> 2020</w:t>
      </w:r>
      <w:bookmarkEnd w:id="33"/>
    </w:p>
    <w:p w:rsidR="009304D9" w:rsidRPr="00F45A80" w:rsidRDefault="009304D9" w:rsidP="009304D9">
      <w:pPr>
        <w:ind w:right="-2"/>
        <w:jc w:val="right"/>
        <w:rPr>
          <w:i/>
          <w:lang w:val="en-US"/>
        </w:rPr>
      </w:pPr>
    </w:p>
    <w:p w:rsidR="009304D9" w:rsidRPr="00F45A80" w:rsidRDefault="009304D9" w:rsidP="00C917D2">
      <w:pPr>
        <w:ind w:right="282"/>
        <w:jc w:val="right"/>
        <w:rPr>
          <w:i/>
          <w:sz w:val="20"/>
          <w:szCs w:val="20"/>
          <w:lang w:val="en-US"/>
        </w:rPr>
      </w:pPr>
      <w:r w:rsidRPr="00F45A80">
        <w:rPr>
          <w:i/>
          <w:sz w:val="20"/>
          <w:szCs w:val="20"/>
          <w:lang w:val="en-US"/>
        </w:rPr>
        <w:t>(mln. USD)</w:t>
      </w:r>
    </w:p>
    <w:tbl>
      <w:tblPr>
        <w:tblW w:w="10405" w:type="dxa"/>
        <w:jc w:val="center"/>
        <w:tblLook w:val="04A0" w:firstRow="1" w:lastRow="0" w:firstColumn="1" w:lastColumn="0" w:noHBand="0" w:noVBand="1"/>
      </w:tblPr>
      <w:tblGrid>
        <w:gridCol w:w="6516"/>
        <w:gridCol w:w="1275"/>
        <w:gridCol w:w="1276"/>
        <w:gridCol w:w="1338"/>
      </w:tblGrid>
      <w:tr w:rsidR="00244E0E" w:rsidRPr="00C917D2" w:rsidTr="00222529">
        <w:trPr>
          <w:trHeight w:val="610"/>
          <w:jc w:val="center"/>
        </w:trPr>
        <w:tc>
          <w:tcPr>
            <w:tcW w:w="6516"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244E0E" w:rsidRPr="00C917D2" w:rsidRDefault="00244E0E" w:rsidP="00244E0E">
            <w:pPr>
              <w:rPr>
                <w:rFonts w:cs="Calibri"/>
                <w:color w:val="000000"/>
              </w:rPr>
            </w:pPr>
            <w:r w:rsidRPr="00C917D2">
              <w:rPr>
                <w:rFonts w:cs="Calibri"/>
                <w:color w:val="000000"/>
              </w:rPr>
              <w:t> </w:t>
            </w:r>
          </w:p>
        </w:tc>
        <w:tc>
          <w:tcPr>
            <w:tcW w:w="1275"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244E0E" w:rsidRPr="00C92486" w:rsidRDefault="00244E0E" w:rsidP="00244E0E">
            <w:pPr>
              <w:jc w:val="center"/>
              <w:rPr>
                <w:rFonts w:asciiTheme="minorHAnsi" w:hAnsiTheme="minorHAnsi" w:cstheme="minorHAnsi"/>
                <w:b/>
                <w:bCs/>
                <w:color w:val="000000"/>
                <w:sz w:val="20"/>
                <w:szCs w:val="20"/>
              </w:rPr>
            </w:pPr>
            <w:r w:rsidRPr="00C92486">
              <w:rPr>
                <w:rFonts w:asciiTheme="minorHAnsi" w:hAnsiTheme="minorHAnsi" w:cstheme="minorHAnsi"/>
                <w:b/>
                <w:bCs/>
                <w:color w:val="000000"/>
                <w:sz w:val="20"/>
                <w:szCs w:val="20"/>
              </w:rPr>
              <w:t>2018</w:t>
            </w:r>
          </w:p>
        </w:tc>
        <w:tc>
          <w:tcPr>
            <w:tcW w:w="1276" w:type="dxa"/>
            <w:tcBorders>
              <w:top w:val="single" w:sz="4" w:space="0" w:color="5B9BD5"/>
              <w:left w:val="single" w:sz="4" w:space="0" w:color="5B9BD5"/>
              <w:right w:val="single" w:sz="4" w:space="0" w:color="5B9BD5"/>
            </w:tcBorders>
            <w:vAlign w:val="center"/>
          </w:tcPr>
          <w:p w:rsidR="00244E0E" w:rsidRPr="00C92486" w:rsidRDefault="00244E0E" w:rsidP="00244E0E">
            <w:pPr>
              <w:jc w:val="center"/>
              <w:rPr>
                <w:rFonts w:asciiTheme="minorHAnsi" w:hAnsiTheme="minorHAnsi" w:cstheme="minorHAnsi"/>
                <w:b/>
                <w:bCs/>
                <w:color w:val="000000"/>
                <w:sz w:val="20"/>
                <w:szCs w:val="20"/>
              </w:rPr>
            </w:pPr>
            <w:r w:rsidRPr="00C92486">
              <w:rPr>
                <w:rFonts w:asciiTheme="minorHAnsi" w:hAnsiTheme="minorHAnsi" w:cstheme="minorHAnsi"/>
                <w:b/>
                <w:bCs/>
                <w:color w:val="000000"/>
                <w:sz w:val="20"/>
                <w:szCs w:val="20"/>
              </w:rPr>
              <w:t>2019</w:t>
            </w:r>
          </w:p>
        </w:tc>
        <w:tc>
          <w:tcPr>
            <w:tcW w:w="1338"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244E0E" w:rsidRPr="00C92486" w:rsidRDefault="00244E0E" w:rsidP="00244E0E">
            <w:pPr>
              <w:jc w:val="center"/>
              <w:rPr>
                <w:rFonts w:asciiTheme="minorHAnsi" w:hAnsiTheme="minorHAnsi" w:cstheme="minorHAnsi"/>
                <w:b/>
                <w:bCs/>
                <w:color w:val="000000"/>
                <w:sz w:val="20"/>
                <w:szCs w:val="20"/>
              </w:rPr>
            </w:pPr>
            <w:r w:rsidRPr="00C92486">
              <w:rPr>
                <w:rFonts w:asciiTheme="minorHAnsi" w:hAnsiTheme="minorHAnsi" w:cstheme="minorHAnsi"/>
                <w:b/>
                <w:bCs/>
                <w:color w:val="000000"/>
                <w:sz w:val="20"/>
                <w:szCs w:val="20"/>
              </w:rPr>
              <w:t>2020</w:t>
            </w:r>
          </w:p>
        </w:tc>
      </w:tr>
      <w:tr w:rsidR="00244E0E" w:rsidRPr="00C917D2" w:rsidTr="00222529">
        <w:trPr>
          <w:trHeight w:val="397"/>
          <w:jc w:val="center"/>
        </w:trPr>
        <w:tc>
          <w:tcPr>
            <w:tcW w:w="6516" w:type="dxa"/>
            <w:tcBorders>
              <w:top w:val="nil"/>
              <w:left w:val="single" w:sz="4" w:space="0" w:color="5B9BD5"/>
              <w:bottom w:val="single" w:sz="4" w:space="0" w:color="5B9BD5"/>
              <w:right w:val="single" w:sz="4" w:space="0" w:color="5B9BD5"/>
            </w:tcBorders>
            <w:shd w:val="clear" w:color="000000" w:fill="BDD7EE"/>
            <w:noWrap/>
            <w:vAlign w:val="center"/>
            <w:hideMark/>
          </w:tcPr>
          <w:p w:rsidR="00244E0E" w:rsidRPr="00C917D2" w:rsidRDefault="00244E0E" w:rsidP="00244E0E">
            <w:pPr>
              <w:rPr>
                <w:rFonts w:cs="Calibri"/>
                <w:b/>
                <w:bCs/>
                <w:color w:val="000000"/>
              </w:rPr>
            </w:pPr>
            <w:r w:rsidRPr="00C917D2">
              <w:rPr>
                <w:rFonts w:cs="Calibri"/>
                <w:b/>
                <w:bCs/>
                <w:color w:val="000000"/>
              </w:rPr>
              <w:t>Balance on primary income</w:t>
            </w:r>
          </w:p>
        </w:tc>
        <w:tc>
          <w:tcPr>
            <w:tcW w:w="1275" w:type="dxa"/>
            <w:tcBorders>
              <w:top w:val="single" w:sz="4" w:space="0" w:color="5B9BD5"/>
              <w:left w:val="nil"/>
              <w:bottom w:val="single" w:sz="4" w:space="0" w:color="5B9BD5"/>
              <w:right w:val="single" w:sz="4" w:space="0" w:color="5B9BD5"/>
            </w:tcBorders>
            <w:shd w:val="clear" w:color="000000" w:fill="BDD7EE"/>
            <w:noWrap/>
            <w:vAlign w:val="center"/>
            <w:hideMark/>
          </w:tcPr>
          <w:p w:rsidR="00244E0E" w:rsidRPr="00C92486" w:rsidRDefault="00244E0E" w:rsidP="00244E0E">
            <w:pPr>
              <w:jc w:val="center"/>
              <w:rPr>
                <w:rFonts w:asciiTheme="minorHAnsi" w:hAnsiTheme="minorHAnsi" w:cstheme="minorHAnsi"/>
                <w:b/>
                <w:bCs/>
                <w:color w:val="000000"/>
                <w:sz w:val="20"/>
                <w:szCs w:val="20"/>
              </w:rPr>
            </w:pPr>
            <w:r w:rsidRPr="00C92486">
              <w:rPr>
                <w:rFonts w:asciiTheme="minorHAnsi" w:hAnsiTheme="minorHAnsi" w:cstheme="minorHAnsi"/>
                <w:b/>
                <w:bCs/>
                <w:color w:val="000000"/>
                <w:sz w:val="20"/>
                <w:szCs w:val="20"/>
              </w:rPr>
              <w:t>1 507,6</w:t>
            </w:r>
          </w:p>
        </w:tc>
        <w:tc>
          <w:tcPr>
            <w:tcW w:w="1276" w:type="dxa"/>
            <w:tcBorders>
              <w:top w:val="single" w:sz="4" w:space="0" w:color="5B9BD5"/>
              <w:left w:val="single" w:sz="4" w:space="0" w:color="5B9BD5"/>
              <w:bottom w:val="single" w:sz="4" w:space="0" w:color="5B9BD5"/>
              <w:right w:val="single" w:sz="4" w:space="0" w:color="5B9BD5"/>
            </w:tcBorders>
            <w:shd w:val="clear" w:color="000000" w:fill="BDD7EE"/>
            <w:vAlign w:val="center"/>
          </w:tcPr>
          <w:p w:rsidR="00244E0E" w:rsidRPr="00C92486" w:rsidRDefault="00244E0E" w:rsidP="00244E0E">
            <w:pPr>
              <w:jc w:val="center"/>
              <w:rPr>
                <w:rFonts w:asciiTheme="minorHAnsi" w:hAnsiTheme="minorHAnsi" w:cstheme="minorHAnsi"/>
                <w:b/>
                <w:bCs/>
                <w:color w:val="000000"/>
                <w:sz w:val="20"/>
                <w:szCs w:val="20"/>
              </w:rPr>
            </w:pPr>
            <w:r w:rsidRPr="00C92486">
              <w:rPr>
                <w:rFonts w:asciiTheme="minorHAnsi" w:hAnsiTheme="minorHAnsi" w:cstheme="minorHAnsi"/>
                <w:b/>
                <w:bCs/>
                <w:color w:val="000000"/>
                <w:sz w:val="20"/>
                <w:szCs w:val="20"/>
              </w:rPr>
              <w:t>737,2</w:t>
            </w:r>
          </w:p>
        </w:tc>
        <w:tc>
          <w:tcPr>
            <w:tcW w:w="1338" w:type="dxa"/>
            <w:tcBorders>
              <w:top w:val="single" w:sz="4" w:space="0" w:color="5B9BD5"/>
              <w:left w:val="single" w:sz="4" w:space="0" w:color="5B9BD5"/>
              <w:bottom w:val="single" w:sz="4" w:space="0" w:color="5B9BD5"/>
              <w:right w:val="single" w:sz="4" w:space="0" w:color="5B9BD5"/>
            </w:tcBorders>
            <w:shd w:val="clear" w:color="000000" w:fill="BDD7EE"/>
            <w:noWrap/>
            <w:vAlign w:val="center"/>
            <w:hideMark/>
          </w:tcPr>
          <w:p w:rsidR="00244E0E" w:rsidRPr="00C92486" w:rsidRDefault="00244E0E" w:rsidP="00244E0E">
            <w:pPr>
              <w:jc w:val="center"/>
              <w:rPr>
                <w:rFonts w:asciiTheme="minorHAnsi" w:hAnsiTheme="minorHAnsi" w:cstheme="minorHAnsi"/>
                <w:b/>
                <w:bCs/>
                <w:color w:val="000000"/>
                <w:sz w:val="20"/>
                <w:szCs w:val="20"/>
              </w:rPr>
            </w:pPr>
            <w:r w:rsidRPr="00C92486">
              <w:rPr>
                <w:rFonts w:asciiTheme="minorHAnsi" w:hAnsiTheme="minorHAnsi" w:cstheme="minorHAnsi"/>
                <w:b/>
                <w:bCs/>
                <w:color w:val="000000"/>
                <w:sz w:val="20"/>
                <w:szCs w:val="20"/>
              </w:rPr>
              <w:t>-241,02</w:t>
            </w:r>
          </w:p>
        </w:tc>
      </w:tr>
      <w:tr w:rsidR="00244E0E" w:rsidRPr="00C917D2" w:rsidTr="00222529">
        <w:trPr>
          <w:trHeight w:val="397"/>
          <w:jc w:val="center"/>
        </w:trPr>
        <w:tc>
          <w:tcPr>
            <w:tcW w:w="6516" w:type="dxa"/>
            <w:tcBorders>
              <w:top w:val="nil"/>
              <w:left w:val="single" w:sz="4" w:space="0" w:color="5B9BD5"/>
              <w:bottom w:val="single" w:sz="4" w:space="0" w:color="5B9BD5"/>
              <w:right w:val="single" w:sz="4" w:space="0" w:color="5B9BD5"/>
            </w:tcBorders>
            <w:shd w:val="clear" w:color="000000" w:fill="BDD7EE"/>
            <w:noWrap/>
            <w:vAlign w:val="center"/>
            <w:hideMark/>
          </w:tcPr>
          <w:p w:rsidR="00244E0E" w:rsidRPr="00C917D2" w:rsidRDefault="00244E0E" w:rsidP="00244E0E">
            <w:pPr>
              <w:rPr>
                <w:rFonts w:cs="Calibri"/>
                <w:b/>
                <w:bCs/>
                <w:color w:val="000000"/>
                <w:lang w:val="en-US"/>
              </w:rPr>
            </w:pPr>
            <w:r w:rsidRPr="00C917D2">
              <w:rPr>
                <w:rFonts w:cs="Calibri"/>
                <w:b/>
                <w:bCs/>
                <w:color w:val="000000"/>
                <w:lang w:val="en-US"/>
              </w:rPr>
              <w:t>I. Income receivable (from nonresidents)</w:t>
            </w:r>
          </w:p>
        </w:tc>
        <w:tc>
          <w:tcPr>
            <w:tcW w:w="1275" w:type="dxa"/>
            <w:tcBorders>
              <w:top w:val="single" w:sz="4" w:space="0" w:color="5B9BD5"/>
              <w:left w:val="nil"/>
              <w:bottom w:val="single" w:sz="4" w:space="0" w:color="5B9BD5"/>
              <w:right w:val="single" w:sz="4" w:space="0" w:color="5B9BD5"/>
            </w:tcBorders>
            <w:shd w:val="clear" w:color="000000" w:fill="BDD7EE"/>
            <w:noWrap/>
            <w:vAlign w:val="center"/>
            <w:hideMark/>
          </w:tcPr>
          <w:p w:rsidR="00244E0E" w:rsidRPr="00C92486" w:rsidRDefault="00244E0E" w:rsidP="00244E0E">
            <w:pPr>
              <w:jc w:val="center"/>
              <w:rPr>
                <w:rFonts w:asciiTheme="minorHAnsi" w:hAnsiTheme="minorHAnsi" w:cstheme="minorHAnsi"/>
                <w:b/>
                <w:bCs/>
                <w:color w:val="000000"/>
                <w:sz w:val="20"/>
                <w:szCs w:val="20"/>
              </w:rPr>
            </w:pPr>
            <w:r w:rsidRPr="00C92486">
              <w:rPr>
                <w:rFonts w:asciiTheme="minorHAnsi" w:hAnsiTheme="minorHAnsi" w:cstheme="minorHAnsi"/>
                <w:b/>
                <w:bCs/>
                <w:color w:val="000000"/>
                <w:sz w:val="20"/>
                <w:szCs w:val="20"/>
              </w:rPr>
              <w:t>3 205,2</w:t>
            </w:r>
          </w:p>
        </w:tc>
        <w:tc>
          <w:tcPr>
            <w:tcW w:w="1276" w:type="dxa"/>
            <w:tcBorders>
              <w:top w:val="single" w:sz="4" w:space="0" w:color="5B9BD5"/>
              <w:left w:val="single" w:sz="4" w:space="0" w:color="5B9BD5"/>
              <w:bottom w:val="single" w:sz="4" w:space="0" w:color="5B9BD5"/>
              <w:right w:val="single" w:sz="4" w:space="0" w:color="5B9BD5"/>
            </w:tcBorders>
            <w:shd w:val="clear" w:color="000000" w:fill="BDD7EE"/>
            <w:vAlign w:val="center"/>
          </w:tcPr>
          <w:p w:rsidR="00244E0E" w:rsidRPr="00C92486" w:rsidRDefault="00244E0E" w:rsidP="00244E0E">
            <w:pPr>
              <w:jc w:val="center"/>
              <w:rPr>
                <w:rFonts w:asciiTheme="minorHAnsi" w:hAnsiTheme="minorHAnsi" w:cstheme="minorHAnsi"/>
                <w:b/>
                <w:bCs/>
                <w:color w:val="000000"/>
                <w:sz w:val="20"/>
                <w:szCs w:val="20"/>
              </w:rPr>
            </w:pPr>
            <w:r w:rsidRPr="00C92486">
              <w:rPr>
                <w:rFonts w:asciiTheme="minorHAnsi" w:hAnsiTheme="minorHAnsi" w:cstheme="minorHAnsi"/>
                <w:b/>
                <w:bCs/>
                <w:color w:val="000000"/>
                <w:sz w:val="20"/>
                <w:szCs w:val="20"/>
              </w:rPr>
              <w:t>2 957,3</w:t>
            </w:r>
          </w:p>
        </w:tc>
        <w:tc>
          <w:tcPr>
            <w:tcW w:w="1338" w:type="dxa"/>
            <w:tcBorders>
              <w:top w:val="single" w:sz="4" w:space="0" w:color="5B9BD5"/>
              <w:left w:val="single" w:sz="4" w:space="0" w:color="5B9BD5"/>
              <w:bottom w:val="single" w:sz="4" w:space="0" w:color="5B9BD5"/>
              <w:right w:val="single" w:sz="4" w:space="0" w:color="5B9BD5"/>
            </w:tcBorders>
            <w:shd w:val="clear" w:color="000000" w:fill="BDD7EE"/>
            <w:noWrap/>
            <w:vAlign w:val="center"/>
            <w:hideMark/>
          </w:tcPr>
          <w:p w:rsidR="00244E0E" w:rsidRPr="00C92486" w:rsidRDefault="00244E0E" w:rsidP="00244E0E">
            <w:pPr>
              <w:jc w:val="center"/>
              <w:rPr>
                <w:rFonts w:asciiTheme="minorHAnsi" w:hAnsiTheme="minorHAnsi" w:cstheme="minorHAnsi"/>
                <w:b/>
                <w:bCs/>
                <w:color w:val="000000"/>
                <w:sz w:val="20"/>
                <w:szCs w:val="20"/>
              </w:rPr>
            </w:pPr>
            <w:r w:rsidRPr="00C92486">
              <w:rPr>
                <w:rFonts w:asciiTheme="minorHAnsi" w:hAnsiTheme="minorHAnsi" w:cstheme="minorHAnsi"/>
                <w:b/>
                <w:bCs/>
                <w:color w:val="000000"/>
                <w:sz w:val="20"/>
                <w:szCs w:val="20"/>
              </w:rPr>
              <w:t>1 658,3</w:t>
            </w:r>
          </w:p>
        </w:tc>
      </w:tr>
      <w:tr w:rsidR="00244E0E" w:rsidRPr="00C917D2" w:rsidTr="00222529">
        <w:trPr>
          <w:trHeight w:val="397"/>
          <w:jc w:val="center"/>
        </w:trPr>
        <w:tc>
          <w:tcPr>
            <w:tcW w:w="6516" w:type="dxa"/>
            <w:tcBorders>
              <w:top w:val="nil"/>
              <w:left w:val="single" w:sz="4" w:space="0" w:color="5B9BD5"/>
              <w:bottom w:val="single" w:sz="4" w:space="0" w:color="5B9BD5"/>
              <w:right w:val="single" w:sz="4" w:space="0" w:color="5B9BD5"/>
            </w:tcBorders>
            <w:shd w:val="clear" w:color="auto" w:fill="auto"/>
            <w:noWrap/>
            <w:vAlign w:val="center"/>
            <w:hideMark/>
          </w:tcPr>
          <w:p w:rsidR="00244E0E" w:rsidRPr="00C917D2" w:rsidRDefault="00244E0E" w:rsidP="00244E0E">
            <w:pPr>
              <w:ind w:left="175"/>
              <w:rPr>
                <w:rFonts w:cs="Calibri"/>
                <w:color w:val="000000"/>
              </w:rPr>
            </w:pPr>
            <w:r w:rsidRPr="00C917D2">
              <w:rPr>
                <w:rFonts w:cs="Calibri"/>
                <w:color w:val="000000"/>
              </w:rPr>
              <w:t>1. Compensation of employees</w:t>
            </w:r>
          </w:p>
        </w:tc>
        <w:tc>
          <w:tcPr>
            <w:tcW w:w="1275" w:type="dxa"/>
            <w:tcBorders>
              <w:top w:val="single" w:sz="4" w:space="0" w:color="5B9BD5"/>
              <w:left w:val="nil"/>
              <w:bottom w:val="single" w:sz="4" w:space="0" w:color="5B9BD5"/>
              <w:right w:val="single" w:sz="4" w:space="0" w:color="5B9BD5"/>
            </w:tcBorders>
            <w:shd w:val="clear" w:color="auto" w:fill="auto"/>
            <w:noWrap/>
            <w:vAlign w:val="center"/>
            <w:hideMark/>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2 947,1</w:t>
            </w:r>
          </w:p>
        </w:tc>
        <w:tc>
          <w:tcPr>
            <w:tcW w:w="1276" w:type="dxa"/>
            <w:tcBorders>
              <w:top w:val="single" w:sz="4" w:space="0" w:color="5B9BD5"/>
              <w:left w:val="single" w:sz="4" w:space="0" w:color="5B9BD5"/>
              <w:bottom w:val="single" w:sz="4" w:space="0" w:color="5B9BD5"/>
              <w:right w:val="single" w:sz="4" w:space="0" w:color="5B9BD5"/>
            </w:tcBorders>
            <w:vAlign w:val="center"/>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2 660,7</w:t>
            </w:r>
          </w:p>
        </w:tc>
        <w:tc>
          <w:tcPr>
            <w:tcW w:w="1338"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1 510,5</w:t>
            </w:r>
          </w:p>
        </w:tc>
      </w:tr>
      <w:tr w:rsidR="00244E0E" w:rsidRPr="00C917D2" w:rsidTr="00222529">
        <w:trPr>
          <w:trHeight w:val="397"/>
          <w:jc w:val="center"/>
        </w:trPr>
        <w:tc>
          <w:tcPr>
            <w:tcW w:w="6516" w:type="dxa"/>
            <w:tcBorders>
              <w:top w:val="nil"/>
              <w:left w:val="single" w:sz="4" w:space="0" w:color="5B9BD5"/>
              <w:bottom w:val="single" w:sz="4" w:space="0" w:color="5B9BD5"/>
              <w:right w:val="single" w:sz="4" w:space="0" w:color="5B9BD5"/>
            </w:tcBorders>
            <w:shd w:val="clear" w:color="auto" w:fill="auto"/>
            <w:noWrap/>
            <w:vAlign w:val="center"/>
            <w:hideMark/>
          </w:tcPr>
          <w:p w:rsidR="00244E0E" w:rsidRPr="00C917D2" w:rsidRDefault="00244E0E" w:rsidP="00244E0E">
            <w:pPr>
              <w:ind w:left="175"/>
              <w:rPr>
                <w:rFonts w:cs="Calibri"/>
                <w:color w:val="000000"/>
              </w:rPr>
            </w:pPr>
            <w:r w:rsidRPr="00C917D2">
              <w:rPr>
                <w:rFonts w:cs="Calibri"/>
                <w:color w:val="000000"/>
              </w:rPr>
              <w:t>2. Income from direct investments</w:t>
            </w:r>
          </w:p>
        </w:tc>
        <w:tc>
          <w:tcPr>
            <w:tcW w:w="1275" w:type="dxa"/>
            <w:tcBorders>
              <w:top w:val="single" w:sz="4" w:space="0" w:color="5B9BD5"/>
              <w:left w:val="nil"/>
              <w:bottom w:val="single" w:sz="4" w:space="0" w:color="5B9BD5"/>
              <w:right w:val="single" w:sz="4" w:space="0" w:color="5B9BD5"/>
            </w:tcBorders>
            <w:shd w:val="clear" w:color="auto" w:fill="auto"/>
            <w:noWrap/>
            <w:vAlign w:val="center"/>
            <w:hideMark/>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22,8</w:t>
            </w:r>
          </w:p>
        </w:tc>
        <w:tc>
          <w:tcPr>
            <w:tcW w:w="1276" w:type="dxa"/>
            <w:tcBorders>
              <w:top w:val="single" w:sz="4" w:space="0" w:color="5B9BD5"/>
              <w:left w:val="single" w:sz="4" w:space="0" w:color="5B9BD5"/>
              <w:bottom w:val="single" w:sz="4" w:space="0" w:color="5B9BD5"/>
              <w:right w:val="single" w:sz="4" w:space="0" w:color="5B9BD5"/>
            </w:tcBorders>
            <w:vAlign w:val="center"/>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6,0</w:t>
            </w:r>
          </w:p>
        </w:tc>
        <w:tc>
          <w:tcPr>
            <w:tcW w:w="1338"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4,1</w:t>
            </w:r>
          </w:p>
        </w:tc>
      </w:tr>
      <w:tr w:rsidR="00244E0E" w:rsidRPr="00C917D2" w:rsidTr="00222529">
        <w:trPr>
          <w:trHeight w:val="397"/>
          <w:jc w:val="center"/>
        </w:trPr>
        <w:tc>
          <w:tcPr>
            <w:tcW w:w="6516" w:type="dxa"/>
            <w:tcBorders>
              <w:top w:val="nil"/>
              <w:left w:val="single" w:sz="4" w:space="0" w:color="5B9BD5"/>
              <w:bottom w:val="single" w:sz="4" w:space="0" w:color="5B9BD5"/>
              <w:right w:val="single" w:sz="4" w:space="0" w:color="5B9BD5"/>
            </w:tcBorders>
            <w:shd w:val="clear" w:color="auto" w:fill="auto"/>
            <w:noWrap/>
            <w:vAlign w:val="center"/>
            <w:hideMark/>
          </w:tcPr>
          <w:p w:rsidR="00244E0E" w:rsidRPr="00C917D2" w:rsidRDefault="00244E0E" w:rsidP="00244E0E">
            <w:pPr>
              <w:ind w:left="175"/>
              <w:rPr>
                <w:rFonts w:cs="Calibri"/>
                <w:color w:val="000000"/>
              </w:rPr>
            </w:pPr>
            <w:r w:rsidRPr="00C917D2">
              <w:rPr>
                <w:rFonts w:cs="Calibri"/>
                <w:color w:val="000000"/>
              </w:rPr>
              <w:t>3. Income from portfolio investments</w:t>
            </w:r>
          </w:p>
        </w:tc>
        <w:tc>
          <w:tcPr>
            <w:tcW w:w="1275" w:type="dxa"/>
            <w:tcBorders>
              <w:top w:val="single" w:sz="4" w:space="0" w:color="5B9BD5"/>
              <w:left w:val="nil"/>
              <w:bottom w:val="single" w:sz="4" w:space="0" w:color="5B9BD5"/>
              <w:right w:val="single" w:sz="4" w:space="0" w:color="5B9BD5"/>
            </w:tcBorders>
            <w:shd w:val="clear" w:color="auto" w:fill="auto"/>
            <w:noWrap/>
            <w:vAlign w:val="center"/>
            <w:hideMark/>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w:t>
            </w:r>
          </w:p>
        </w:tc>
        <w:tc>
          <w:tcPr>
            <w:tcW w:w="1276" w:type="dxa"/>
            <w:tcBorders>
              <w:top w:val="single" w:sz="4" w:space="0" w:color="5B9BD5"/>
              <w:left w:val="single" w:sz="4" w:space="0" w:color="5B9BD5"/>
              <w:bottom w:val="single" w:sz="4" w:space="0" w:color="5B9BD5"/>
              <w:right w:val="single" w:sz="4" w:space="0" w:color="5B9BD5"/>
            </w:tcBorders>
            <w:vAlign w:val="center"/>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0,4</w:t>
            </w:r>
          </w:p>
        </w:tc>
        <w:tc>
          <w:tcPr>
            <w:tcW w:w="1338"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1,5</w:t>
            </w:r>
          </w:p>
        </w:tc>
      </w:tr>
      <w:tr w:rsidR="00244E0E" w:rsidRPr="00C917D2" w:rsidTr="00222529">
        <w:trPr>
          <w:trHeight w:val="397"/>
          <w:jc w:val="center"/>
        </w:trPr>
        <w:tc>
          <w:tcPr>
            <w:tcW w:w="6516" w:type="dxa"/>
            <w:tcBorders>
              <w:top w:val="nil"/>
              <w:left w:val="single" w:sz="4" w:space="0" w:color="5B9BD5"/>
              <w:bottom w:val="single" w:sz="4" w:space="0" w:color="5B9BD5"/>
              <w:right w:val="single" w:sz="4" w:space="0" w:color="5B9BD5"/>
            </w:tcBorders>
            <w:shd w:val="clear" w:color="auto" w:fill="auto"/>
            <w:vAlign w:val="center"/>
            <w:hideMark/>
          </w:tcPr>
          <w:p w:rsidR="00244E0E" w:rsidRPr="00C917D2" w:rsidRDefault="00244E0E" w:rsidP="00244E0E">
            <w:pPr>
              <w:ind w:left="175"/>
              <w:rPr>
                <w:rFonts w:cs="Calibri"/>
                <w:color w:val="000000"/>
                <w:lang w:val="en-US"/>
              </w:rPr>
            </w:pPr>
            <w:r w:rsidRPr="00C917D2">
              <w:rPr>
                <w:rFonts w:cs="Calibri"/>
                <w:color w:val="000000"/>
                <w:lang w:val="en-US"/>
              </w:rPr>
              <w:t xml:space="preserve">4. Income from international reserves (including FRDU assets) </w:t>
            </w:r>
          </w:p>
        </w:tc>
        <w:tc>
          <w:tcPr>
            <w:tcW w:w="1275" w:type="dxa"/>
            <w:tcBorders>
              <w:top w:val="single" w:sz="4" w:space="0" w:color="5B9BD5"/>
              <w:left w:val="nil"/>
              <w:bottom w:val="single" w:sz="4" w:space="0" w:color="5B9BD5"/>
              <w:right w:val="single" w:sz="4" w:space="0" w:color="5B9BD5"/>
            </w:tcBorders>
            <w:shd w:val="clear" w:color="auto" w:fill="auto"/>
            <w:vAlign w:val="center"/>
            <w:hideMark/>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226,1</w:t>
            </w:r>
          </w:p>
        </w:tc>
        <w:tc>
          <w:tcPr>
            <w:tcW w:w="1276" w:type="dxa"/>
            <w:tcBorders>
              <w:top w:val="single" w:sz="4" w:space="0" w:color="5B9BD5"/>
              <w:left w:val="single" w:sz="4" w:space="0" w:color="5B9BD5"/>
              <w:bottom w:val="single" w:sz="4" w:space="0" w:color="5B9BD5"/>
              <w:right w:val="single" w:sz="4" w:space="0" w:color="5B9BD5"/>
            </w:tcBorders>
            <w:vAlign w:val="center"/>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283,7</w:t>
            </w:r>
          </w:p>
        </w:tc>
        <w:tc>
          <w:tcPr>
            <w:tcW w:w="1338"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137,2</w:t>
            </w:r>
          </w:p>
        </w:tc>
      </w:tr>
      <w:tr w:rsidR="00244E0E" w:rsidRPr="00C917D2" w:rsidTr="00222529">
        <w:trPr>
          <w:trHeight w:val="397"/>
          <w:jc w:val="center"/>
        </w:trPr>
        <w:tc>
          <w:tcPr>
            <w:tcW w:w="6516" w:type="dxa"/>
            <w:tcBorders>
              <w:top w:val="nil"/>
              <w:left w:val="single" w:sz="4" w:space="0" w:color="5B9BD5"/>
              <w:bottom w:val="single" w:sz="4" w:space="0" w:color="5B9BD5"/>
              <w:right w:val="single" w:sz="4" w:space="0" w:color="5B9BD5"/>
            </w:tcBorders>
            <w:shd w:val="clear" w:color="auto" w:fill="auto"/>
            <w:noWrap/>
            <w:vAlign w:val="center"/>
            <w:hideMark/>
          </w:tcPr>
          <w:p w:rsidR="00244E0E" w:rsidRPr="00C917D2" w:rsidRDefault="00244E0E" w:rsidP="00244E0E">
            <w:pPr>
              <w:ind w:left="175"/>
              <w:rPr>
                <w:rFonts w:cs="Calibri"/>
                <w:color w:val="000000"/>
                <w:lang w:val="en-US"/>
              </w:rPr>
            </w:pPr>
            <w:r w:rsidRPr="00C917D2">
              <w:rPr>
                <w:rFonts w:cs="Calibri"/>
                <w:color w:val="000000"/>
                <w:lang w:val="en-US"/>
              </w:rPr>
              <w:t>5. Income from loans and credits raised</w:t>
            </w:r>
          </w:p>
        </w:tc>
        <w:tc>
          <w:tcPr>
            <w:tcW w:w="1275" w:type="dxa"/>
            <w:tcBorders>
              <w:top w:val="single" w:sz="4" w:space="0" w:color="5B9BD5"/>
              <w:left w:val="nil"/>
              <w:bottom w:val="single" w:sz="4" w:space="0" w:color="5B9BD5"/>
              <w:right w:val="single" w:sz="4" w:space="0" w:color="5B9BD5"/>
            </w:tcBorders>
            <w:shd w:val="clear" w:color="auto" w:fill="auto"/>
            <w:noWrap/>
            <w:vAlign w:val="center"/>
            <w:hideMark/>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w:t>
            </w:r>
          </w:p>
        </w:tc>
        <w:tc>
          <w:tcPr>
            <w:tcW w:w="1276" w:type="dxa"/>
            <w:tcBorders>
              <w:top w:val="single" w:sz="4" w:space="0" w:color="5B9BD5"/>
              <w:left w:val="single" w:sz="4" w:space="0" w:color="5B9BD5"/>
              <w:bottom w:val="single" w:sz="4" w:space="0" w:color="5B9BD5"/>
              <w:right w:val="single" w:sz="4" w:space="0" w:color="5B9BD5"/>
            </w:tcBorders>
            <w:vAlign w:val="center"/>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w:t>
            </w:r>
          </w:p>
        </w:tc>
        <w:tc>
          <w:tcPr>
            <w:tcW w:w="1338"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w:t>
            </w:r>
          </w:p>
        </w:tc>
      </w:tr>
      <w:tr w:rsidR="00244E0E" w:rsidRPr="00C917D2" w:rsidTr="00222529">
        <w:trPr>
          <w:trHeight w:val="630"/>
          <w:jc w:val="center"/>
        </w:trPr>
        <w:tc>
          <w:tcPr>
            <w:tcW w:w="6516" w:type="dxa"/>
            <w:tcBorders>
              <w:top w:val="single" w:sz="4" w:space="0" w:color="5B9BD5"/>
              <w:left w:val="single" w:sz="4" w:space="0" w:color="5B9BD5"/>
              <w:bottom w:val="single" w:sz="4" w:space="0" w:color="5B9BD5" w:themeColor="accent1"/>
              <w:right w:val="single" w:sz="4" w:space="0" w:color="5B9BD5"/>
            </w:tcBorders>
            <w:shd w:val="clear" w:color="auto" w:fill="auto"/>
            <w:vAlign w:val="center"/>
            <w:hideMark/>
          </w:tcPr>
          <w:p w:rsidR="00244E0E" w:rsidRPr="00C917D2" w:rsidRDefault="00244E0E" w:rsidP="00244E0E">
            <w:pPr>
              <w:ind w:left="175"/>
              <w:rPr>
                <w:rFonts w:cs="Calibri"/>
                <w:color w:val="000000"/>
                <w:lang w:val="en-US"/>
              </w:rPr>
            </w:pPr>
            <w:r w:rsidRPr="00C917D2">
              <w:rPr>
                <w:rFonts w:cs="Calibri"/>
                <w:color w:val="000000"/>
                <w:lang w:val="en-US"/>
              </w:rPr>
              <w:t>6. Income from deposits and correspondent accounts in foreign banks</w:t>
            </w:r>
          </w:p>
        </w:tc>
        <w:tc>
          <w:tcPr>
            <w:tcW w:w="1275" w:type="dxa"/>
            <w:tcBorders>
              <w:top w:val="single" w:sz="4" w:space="0" w:color="5B9BD5"/>
              <w:left w:val="nil"/>
              <w:bottom w:val="single" w:sz="4" w:space="0" w:color="5B9BD5" w:themeColor="accent1"/>
              <w:right w:val="single" w:sz="4" w:space="0" w:color="5B9BD5"/>
            </w:tcBorders>
            <w:shd w:val="clear" w:color="auto" w:fill="auto"/>
            <w:vAlign w:val="center"/>
            <w:hideMark/>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9,1</w:t>
            </w:r>
          </w:p>
        </w:tc>
        <w:tc>
          <w:tcPr>
            <w:tcW w:w="1276" w:type="dxa"/>
            <w:tcBorders>
              <w:top w:val="single" w:sz="4" w:space="0" w:color="5B9BD5"/>
              <w:left w:val="single" w:sz="4" w:space="0" w:color="5B9BD5"/>
              <w:bottom w:val="single" w:sz="4" w:space="0" w:color="5B9BD5" w:themeColor="accent1"/>
              <w:right w:val="single" w:sz="4" w:space="0" w:color="5B9BD5"/>
            </w:tcBorders>
            <w:vAlign w:val="center"/>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6,6</w:t>
            </w:r>
          </w:p>
        </w:tc>
        <w:tc>
          <w:tcPr>
            <w:tcW w:w="1338" w:type="dxa"/>
            <w:tcBorders>
              <w:top w:val="single" w:sz="4" w:space="0" w:color="5B9BD5"/>
              <w:left w:val="single" w:sz="4" w:space="0" w:color="5B9BD5"/>
              <w:bottom w:val="single" w:sz="4" w:space="0" w:color="5B9BD5" w:themeColor="accent1"/>
              <w:right w:val="single" w:sz="4" w:space="0" w:color="5B9BD5"/>
            </w:tcBorders>
            <w:shd w:val="clear" w:color="auto" w:fill="auto"/>
            <w:vAlign w:val="center"/>
            <w:hideMark/>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5,02</w:t>
            </w:r>
          </w:p>
        </w:tc>
      </w:tr>
      <w:tr w:rsidR="00222529" w:rsidRPr="00C917D2" w:rsidTr="00222529">
        <w:trPr>
          <w:trHeight w:val="315"/>
          <w:jc w:val="center"/>
        </w:trPr>
        <w:tc>
          <w:tcPr>
            <w:tcW w:w="10405"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222529" w:rsidRPr="00C917D2" w:rsidRDefault="00222529" w:rsidP="00244E0E">
            <w:pPr>
              <w:jc w:val="center"/>
              <w:rPr>
                <w:rFonts w:ascii="Times New Roman" w:hAnsi="Times New Roman"/>
                <w:sz w:val="20"/>
                <w:szCs w:val="20"/>
              </w:rPr>
            </w:pPr>
            <w:r w:rsidRPr="00C917D2">
              <w:rPr>
                <w:rFonts w:cs="Calibri"/>
                <w:color w:val="000000"/>
              </w:rPr>
              <w:t> </w:t>
            </w:r>
          </w:p>
        </w:tc>
      </w:tr>
      <w:tr w:rsidR="00244E0E" w:rsidRPr="00C917D2" w:rsidTr="00222529">
        <w:trPr>
          <w:trHeight w:val="397"/>
          <w:jc w:val="center"/>
        </w:trPr>
        <w:tc>
          <w:tcPr>
            <w:tcW w:w="6516" w:type="dxa"/>
            <w:tcBorders>
              <w:top w:val="single" w:sz="4" w:space="0" w:color="5B9BD5" w:themeColor="accent1"/>
              <w:left w:val="single" w:sz="4" w:space="0" w:color="5B9BD5"/>
              <w:bottom w:val="single" w:sz="4" w:space="0" w:color="5B9BD5"/>
              <w:right w:val="single" w:sz="4" w:space="0" w:color="5B9BD5"/>
            </w:tcBorders>
            <w:shd w:val="clear" w:color="000000" w:fill="BDD7EE"/>
            <w:noWrap/>
            <w:vAlign w:val="center"/>
            <w:hideMark/>
          </w:tcPr>
          <w:p w:rsidR="00244E0E" w:rsidRPr="00C917D2" w:rsidRDefault="00244E0E" w:rsidP="00244E0E">
            <w:pPr>
              <w:rPr>
                <w:rFonts w:cs="Calibri"/>
                <w:b/>
                <w:bCs/>
                <w:color w:val="000000"/>
                <w:lang w:val="en-US"/>
              </w:rPr>
            </w:pPr>
            <w:r w:rsidRPr="00C917D2">
              <w:rPr>
                <w:rFonts w:cs="Calibri"/>
                <w:b/>
                <w:bCs/>
                <w:color w:val="000000"/>
                <w:lang w:val="en-US"/>
              </w:rPr>
              <w:t>II. Income payable (to nonresidents)</w:t>
            </w:r>
          </w:p>
        </w:tc>
        <w:tc>
          <w:tcPr>
            <w:tcW w:w="1275" w:type="dxa"/>
            <w:tcBorders>
              <w:top w:val="single" w:sz="4" w:space="0" w:color="5B9BD5" w:themeColor="accent1"/>
              <w:left w:val="nil"/>
              <w:bottom w:val="single" w:sz="4" w:space="0" w:color="5B9BD5"/>
              <w:right w:val="single" w:sz="4" w:space="0" w:color="5B9BD5"/>
            </w:tcBorders>
            <w:shd w:val="clear" w:color="000000" w:fill="BDD7EE"/>
            <w:noWrap/>
            <w:vAlign w:val="center"/>
            <w:hideMark/>
          </w:tcPr>
          <w:p w:rsidR="00244E0E" w:rsidRPr="00C92486" w:rsidRDefault="00244E0E" w:rsidP="00244E0E">
            <w:pPr>
              <w:jc w:val="center"/>
              <w:rPr>
                <w:rFonts w:asciiTheme="minorHAnsi" w:hAnsiTheme="minorHAnsi" w:cstheme="minorHAnsi"/>
                <w:b/>
                <w:bCs/>
                <w:color w:val="000000"/>
                <w:sz w:val="20"/>
                <w:szCs w:val="20"/>
              </w:rPr>
            </w:pPr>
            <w:r w:rsidRPr="00C92486">
              <w:rPr>
                <w:rFonts w:asciiTheme="minorHAnsi" w:hAnsiTheme="minorHAnsi" w:cstheme="minorHAnsi"/>
                <w:b/>
                <w:bCs/>
                <w:color w:val="000000"/>
                <w:sz w:val="20"/>
                <w:szCs w:val="20"/>
              </w:rPr>
              <w:t>1 697,6</w:t>
            </w:r>
          </w:p>
        </w:tc>
        <w:tc>
          <w:tcPr>
            <w:tcW w:w="1276" w:type="dxa"/>
            <w:tcBorders>
              <w:top w:val="single" w:sz="4" w:space="0" w:color="5B9BD5" w:themeColor="accent1"/>
              <w:left w:val="single" w:sz="4" w:space="0" w:color="5B9BD5"/>
              <w:bottom w:val="single" w:sz="4" w:space="0" w:color="5B9BD5"/>
              <w:right w:val="single" w:sz="4" w:space="0" w:color="5B9BD5"/>
            </w:tcBorders>
            <w:shd w:val="clear" w:color="000000" w:fill="BDD7EE"/>
            <w:vAlign w:val="center"/>
          </w:tcPr>
          <w:p w:rsidR="00244E0E" w:rsidRPr="00C92486" w:rsidRDefault="00244E0E" w:rsidP="00244E0E">
            <w:pPr>
              <w:jc w:val="center"/>
              <w:rPr>
                <w:rFonts w:asciiTheme="minorHAnsi" w:hAnsiTheme="minorHAnsi" w:cstheme="minorHAnsi"/>
                <w:b/>
                <w:bCs/>
                <w:color w:val="000000"/>
                <w:sz w:val="20"/>
                <w:szCs w:val="20"/>
              </w:rPr>
            </w:pPr>
            <w:r w:rsidRPr="00C92486">
              <w:rPr>
                <w:rFonts w:asciiTheme="minorHAnsi" w:hAnsiTheme="minorHAnsi" w:cstheme="minorHAnsi"/>
                <w:b/>
                <w:bCs/>
                <w:color w:val="000000"/>
                <w:sz w:val="20"/>
                <w:szCs w:val="20"/>
              </w:rPr>
              <w:t>2 220,1</w:t>
            </w:r>
          </w:p>
        </w:tc>
        <w:tc>
          <w:tcPr>
            <w:tcW w:w="1338" w:type="dxa"/>
            <w:tcBorders>
              <w:top w:val="single" w:sz="4" w:space="0" w:color="5B9BD5" w:themeColor="accent1"/>
              <w:left w:val="single" w:sz="4" w:space="0" w:color="5B9BD5"/>
              <w:bottom w:val="single" w:sz="4" w:space="0" w:color="5B9BD5"/>
              <w:right w:val="single" w:sz="4" w:space="0" w:color="5B9BD5"/>
            </w:tcBorders>
            <w:shd w:val="clear" w:color="000000" w:fill="BDD7EE"/>
            <w:noWrap/>
            <w:vAlign w:val="center"/>
            <w:hideMark/>
          </w:tcPr>
          <w:p w:rsidR="00244E0E" w:rsidRPr="00C92486" w:rsidRDefault="00244E0E" w:rsidP="00244E0E">
            <w:pPr>
              <w:jc w:val="center"/>
              <w:rPr>
                <w:rFonts w:asciiTheme="minorHAnsi" w:hAnsiTheme="minorHAnsi" w:cstheme="minorHAnsi"/>
                <w:b/>
                <w:bCs/>
                <w:color w:val="000000"/>
                <w:sz w:val="20"/>
                <w:szCs w:val="20"/>
              </w:rPr>
            </w:pPr>
            <w:r w:rsidRPr="00C92486">
              <w:rPr>
                <w:rFonts w:asciiTheme="minorHAnsi" w:hAnsiTheme="minorHAnsi" w:cstheme="minorHAnsi"/>
                <w:b/>
                <w:bCs/>
                <w:color w:val="000000"/>
                <w:sz w:val="20"/>
                <w:szCs w:val="20"/>
              </w:rPr>
              <w:t>1 899,4</w:t>
            </w:r>
          </w:p>
        </w:tc>
      </w:tr>
      <w:tr w:rsidR="00244E0E" w:rsidRPr="00C917D2" w:rsidTr="00222529">
        <w:trPr>
          <w:trHeight w:val="397"/>
          <w:jc w:val="center"/>
        </w:trPr>
        <w:tc>
          <w:tcPr>
            <w:tcW w:w="6516" w:type="dxa"/>
            <w:tcBorders>
              <w:top w:val="nil"/>
              <w:left w:val="single" w:sz="4" w:space="0" w:color="5B9BD5"/>
              <w:bottom w:val="single" w:sz="4" w:space="0" w:color="5B9BD5"/>
              <w:right w:val="single" w:sz="4" w:space="0" w:color="5B9BD5"/>
            </w:tcBorders>
            <w:shd w:val="clear" w:color="auto" w:fill="auto"/>
            <w:noWrap/>
            <w:vAlign w:val="center"/>
            <w:hideMark/>
          </w:tcPr>
          <w:p w:rsidR="00244E0E" w:rsidRPr="00C917D2" w:rsidRDefault="00244E0E" w:rsidP="00244E0E">
            <w:pPr>
              <w:ind w:left="175"/>
              <w:rPr>
                <w:rFonts w:cs="Calibri"/>
                <w:color w:val="000000"/>
              </w:rPr>
            </w:pPr>
            <w:r w:rsidRPr="00C917D2">
              <w:rPr>
                <w:rFonts w:cs="Calibri"/>
                <w:color w:val="000000"/>
              </w:rPr>
              <w:t>1. Compensation of employees</w:t>
            </w:r>
          </w:p>
        </w:tc>
        <w:tc>
          <w:tcPr>
            <w:tcW w:w="1275" w:type="dxa"/>
            <w:tcBorders>
              <w:top w:val="single" w:sz="4" w:space="0" w:color="5B9BD5"/>
              <w:left w:val="nil"/>
              <w:bottom w:val="single" w:sz="4" w:space="0" w:color="5B9BD5"/>
              <w:right w:val="single" w:sz="4" w:space="0" w:color="5B9BD5"/>
            </w:tcBorders>
            <w:shd w:val="clear" w:color="auto" w:fill="auto"/>
            <w:noWrap/>
            <w:vAlign w:val="center"/>
            <w:hideMark/>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24,4</w:t>
            </w:r>
          </w:p>
        </w:tc>
        <w:tc>
          <w:tcPr>
            <w:tcW w:w="1276" w:type="dxa"/>
            <w:tcBorders>
              <w:top w:val="single" w:sz="4" w:space="0" w:color="5B9BD5"/>
              <w:left w:val="single" w:sz="4" w:space="0" w:color="5B9BD5"/>
              <w:bottom w:val="single" w:sz="4" w:space="0" w:color="5B9BD5"/>
              <w:right w:val="single" w:sz="4" w:space="0" w:color="5B9BD5"/>
            </w:tcBorders>
            <w:vAlign w:val="center"/>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50,4</w:t>
            </w:r>
          </w:p>
        </w:tc>
        <w:tc>
          <w:tcPr>
            <w:tcW w:w="1338"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244E0E" w:rsidRPr="00C92486" w:rsidRDefault="00244E0E" w:rsidP="00244E0E">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101,0</w:t>
            </w:r>
          </w:p>
        </w:tc>
      </w:tr>
      <w:tr w:rsidR="00244E0E" w:rsidRPr="00C917D2" w:rsidTr="00222529">
        <w:trPr>
          <w:trHeight w:val="397"/>
          <w:jc w:val="center"/>
        </w:trPr>
        <w:tc>
          <w:tcPr>
            <w:tcW w:w="6516" w:type="dxa"/>
            <w:tcBorders>
              <w:top w:val="nil"/>
              <w:left w:val="single" w:sz="4" w:space="0" w:color="5B9BD5"/>
              <w:bottom w:val="single" w:sz="4" w:space="0" w:color="5B9BD5"/>
              <w:right w:val="single" w:sz="4" w:space="0" w:color="5B9BD5"/>
            </w:tcBorders>
            <w:shd w:val="clear" w:color="auto" w:fill="auto"/>
            <w:noWrap/>
            <w:vAlign w:val="center"/>
            <w:hideMark/>
          </w:tcPr>
          <w:p w:rsidR="00244E0E" w:rsidRPr="00C917D2" w:rsidRDefault="00244E0E" w:rsidP="00244E0E">
            <w:pPr>
              <w:ind w:left="175"/>
              <w:rPr>
                <w:rFonts w:cs="Calibri"/>
                <w:color w:val="000000"/>
              </w:rPr>
            </w:pPr>
            <w:r w:rsidRPr="00C917D2">
              <w:rPr>
                <w:rFonts w:cs="Calibri"/>
                <w:color w:val="000000"/>
              </w:rPr>
              <w:t>2. Income from direct investments</w:t>
            </w:r>
          </w:p>
        </w:tc>
        <w:tc>
          <w:tcPr>
            <w:tcW w:w="1275" w:type="dxa"/>
            <w:tcBorders>
              <w:top w:val="single" w:sz="4" w:space="0" w:color="5B9BD5"/>
              <w:left w:val="nil"/>
              <w:bottom w:val="single" w:sz="4" w:space="0" w:color="5B9BD5"/>
              <w:right w:val="single" w:sz="4" w:space="0" w:color="5B9BD5"/>
            </w:tcBorders>
            <w:shd w:val="clear" w:color="auto" w:fill="auto"/>
            <w:noWrap/>
            <w:vAlign w:val="center"/>
            <w:hideMark/>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1 135,3</w:t>
            </w:r>
          </w:p>
        </w:tc>
        <w:tc>
          <w:tcPr>
            <w:tcW w:w="1276" w:type="dxa"/>
            <w:tcBorders>
              <w:top w:val="single" w:sz="4" w:space="0" w:color="5B9BD5"/>
              <w:left w:val="single" w:sz="4" w:space="0" w:color="5B9BD5"/>
              <w:bottom w:val="single" w:sz="4" w:space="0" w:color="5B9BD5"/>
              <w:right w:val="single" w:sz="4" w:space="0" w:color="5B9BD5"/>
            </w:tcBorders>
            <w:vAlign w:val="center"/>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1 429,3</w:t>
            </w:r>
          </w:p>
        </w:tc>
        <w:tc>
          <w:tcPr>
            <w:tcW w:w="1338"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244E0E" w:rsidRPr="00C92486" w:rsidRDefault="00244E0E" w:rsidP="00244E0E">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973,5</w:t>
            </w:r>
          </w:p>
        </w:tc>
      </w:tr>
      <w:tr w:rsidR="00244E0E" w:rsidRPr="00C917D2" w:rsidTr="00222529">
        <w:trPr>
          <w:trHeight w:val="397"/>
          <w:jc w:val="center"/>
        </w:trPr>
        <w:tc>
          <w:tcPr>
            <w:tcW w:w="6516" w:type="dxa"/>
            <w:tcBorders>
              <w:top w:val="nil"/>
              <w:left w:val="single" w:sz="4" w:space="0" w:color="5B9BD5"/>
              <w:bottom w:val="single" w:sz="4" w:space="0" w:color="5B9BD5"/>
              <w:right w:val="single" w:sz="4" w:space="0" w:color="5B9BD5"/>
            </w:tcBorders>
            <w:shd w:val="clear" w:color="auto" w:fill="auto"/>
            <w:noWrap/>
            <w:vAlign w:val="center"/>
            <w:hideMark/>
          </w:tcPr>
          <w:p w:rsidR="00244E0E" w:rsidRPr="00C917D2" w:rsidRDefault="00244E0E" w:rsidP="00244E0E">
            <w:pPr>
              <w:ind w:firstLineChars="200" w:firstLine="480"/>
              <w:rPr>
                <w:rFonts w:cs="Calibri"/>
                <w:color w:val="000000"/>
                <w:lang w:val="en-US"/>
              </w:rPr>
            </w:pPr>
            <w:r w:rsidRPr="00C917D2">
              <w:rPr>
                <w:rFonts w:cs="Calibri"/>
                <w:color w:val="000000"/>
                <w:lang w:val="en-US"/>
              </w:rPr>
              <w:t>Remuneration on loans of direct investors</w:t>
            </w:r>
          </w:p>
        </w:tc>
        <w:tc>
          <w:tcPr>
            <w:tcW w:w="1275" w:type="dxa"/>
            <w:tcBorders>
              <w:top w:val="single" w:sz="4" w:space="0" w:color="5B9BD5"/>
              <w:left w:val="nil"/>
              <w:bottom w:val="single" w:sz="4" w:space="0" w:color="5B9BD5"/>
              <w:right w:val="single" w:sz="4" w:space="0" w:color="5B9BD5"/>
            </w:tcBorders>
            <w:shd w:val="clear" w:color="auto" w:fill="auto"/>
            <w:noWrap/>
            <w:vAlign w:val="center"/>
            <w:hideMark/>
          </w:tcPr>
          <w:p w:rsidR="00244E0E" w:rsidRPr="00C92486" w:rsidRDefault="00244E0E" w:rsidP="00244E0E">
            <w:pPr>
              <w:ind w:firstLineChars="200" w:firstLine="4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63,4</w:t>
            </w:r>
          </w:p>
        </w:tc>
        <w:tc>
          <w:tcPr>
            <w:tcW w:w="1276" w:type="dxa"/>
            <w:tcBorders>
              <w:top w:val="single" w:sz="4" w:space="0" w:color="5B9BD5"/>
              <w:left w:val="single" w:sz="4" w:space="0" w:color="5B9BD5"/>
              <w:bottom w:val="single" w:sz="4" w:space="0" w:color="5B9BD5"/>
              <w:right w:val="single" w:sz="4" w:space="0" w:color="5B9BD5"/>
            </w:tcBorders>
            <w:vAlign w:val="center"/>
          </w:tcPr>
          <w:p w:rsidR="00244E0E" w:rsidRPr="00C92486" w:rsidRDefault="00244E0E" w:rsidP="00244E0E">
            <w:pPr>
              <w:ind w:firstLineChars="200" w:firstLine="4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44,0</w:t>
            </w:r>
          </w:p>
        </w:tc>
        <w:tc>
          <w:tcPr>
            <w:tcW w:w="1338"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244E0E" w:rsidRPr="00C92486" w:rsidRDefault="00244E0E" w:rsidP="00244E0E">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34,3</w:t>
            </w:r>
          </w:p>
        </w:tc>
      </w:tr>
      <w:tr w:rsidR="00244E0E" w:rsidRPr="00C917D2" w:rsidTr="00222529">
        <w:trPr>
          <w:trHeight w:val="397"/>
          <w:jc w:val="center"/>
        </w:trPr>
        <w:tc>
          <w:tcPr>
            <w:tcW w:w="6516" w:type="dxa"/>
            <w:tcBorders>
              <w:top w:val="nil"/>
              <w:left w:val="single" w:sz="4" w:space="0" w:color="5B9BD5"/>
              <w:bottom w:val="single" w:sz="4" w:space="0" w:color="5B9BD5"/>
              <w:right w:val="single" w:sz="4" w:space="0" w:color="5B9BD5"/>
            </w:tcBorders>
            <w:shd w:val="clear" w:color="auto" w:fill="auto"/>
            <w:noWrap/>
            <w:vAlign w:val="center"/>
            <w:hideMark/>
          </w:tcPr>
          <w:p w:rsidR="00244E0E" w:rsidRPr="00C917D2" w:rsidRDefault="00244E0E" w:rsidP="00244E0E">
            <w:pPr>
              <w:ind w:firstLineChars="200" w:firstLine="480"/>
              <w:rPr>
                <w:rFonts w:cs="Calibri"/>
                <w:color w:val="000000"/>
              </w:rPr>
            </w:pPr>
            <w:r w:rsidRPr="00C917D2">
              <w:rPr>
                <w:rFonts w:cs="Calibri"/>
                <w:color w:val="000000"/>
              </w:rPr>
              <w:t>Dividends</w:t>
            </w:r>
          </w:p>
        </w:tc>
        <w:tc>
          <w:tcPr>
            <w:tcW w:w="1275" w:type="dxa"/>
            <w:tcBorders>
              <w:top w:val="single" w:sz="4" w:space="0" w:color="5B9BD5"/>
              <w:left w:val="nil"/>
              <w:bottom w:val="single" w:sz="4" w:space="0" w:color="5B9BD5"/>
              <w:right w:val="single" w:sz="4" w:space="0" w:color="5B9BD5"/>
            </w:tcBorders>
            <w:shd w:val="clear" w:color="auto" w:fill="auto"/>
            <w:noWrap/>
            <w:vAlign w:val="center"/>
            <w:hideMark/>
          </w:tcPr>
          <w:p w:rsidR="00244E0E" w:rsidRPr="00C92486" w:rsidRDefault="00244E0E" w:rsidP="00244E0E">
            <w:pPr>
              <w:ind w:firstLineChars="200" w:firstLine="4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379,2</w:t>
            </w:r>
          </w:p>
        </w:tc>
        <w:tc>
          <w:tcPr>
            <w:tcW w:w="1276" w:type="dxa"/>
            <w:tcBorders>
              <w:top w:val="single" w:sz="4" w:space="0" w:color="5B9BD5"/>
              <w:left w:val="single" w:sz="4" w:space="0" w:color="5B9BD5"/>
              <w:bottom w:val="single" w:sz="4" w:space="0" w:color="5B9BD5"/>
              <w:right w:val="single" w:sz="4" w:space="0" w:color="5B9BD5"/>
            </w:tcBorders>
            <w:vAlign w:val="center"/>
          </w:tcPr>
          <w:p w:rsidR="00244E0E" w:rsidRPr="00C92486" w:rsidRDefault="00244E0E" w:rsidP="00244E0E">
            <w:pPr>
              <w:ind w:firstLineChars="200" w:firstLine="4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673,1</w:t>
            </w:r>
          </w:p>
        </w:tc>
        <w:tc>
          <w:tcPr>
            <w:tcW w:w="1338"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244E0E" w:rsidRPr="00C92486" w:rsidRDefault="00244E0E" w:rsidP="00244E0E">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408,4</w:t>
            </w:r>
          </w:p>
        </w:tc>
      </w:tr>
      <w:tr w:rsidR="00244E0E" w:rsidRPr="00C917D2" w:rsidTr="00222529">
        <w:trPr>
          <w:trHeight w:val="397"/>
          <w:jc w:val="center"/>
        </w:trPr>
        <w:tc>
          <w:tcPr>
            <w:tcW w:w="6516" w:type="dxa"/>
            <w:tcBorders>
              <w:top w:val="nil"/>
              <w:left w:val="single" w:sz="4" w:space="0" w:color="5B9BD5"/>
              <w:bottom w:val="single" w:sz="4" w:space="0" w:color="5B9BD5"/>
              <w:right w:val="single" w:sz="4" w:space="0" w:color="5B9BD5"/>
            </w:tcBorders>
            <w:shd w:val="clear" w:color="auto" w:fill="auto"/>
            <w:noWrap/>
            <w:vAlign w:val="center"/>
            <w:hideMark/>
          </w:tcPr>
          <w:p w:rsidR="00244E0E" w:rsidRPr="00C917D2" w:rsidRDefault="00244E0E" w:rsidP="00244E0E">
            <w:pPr>
              <w:ind w:firstLineChars="200" w:firstLine="480"/>
              <w:rPr>
                <w:rFonts w:cs="Calibri"/>
                <w:color w:val="000000"/>
              </w:rPr>
            </w:pPr>
            <w:r w:rsidRPr="00C917D2">
              <w:rPr>
                <w:rFonts w:cs="Calibri"/>
                <w:color w:val="000000"/>
              </w:rPr>
              <w:t>Reinvested profit</w:t>
            </w:r>
          </w:p>
        </w:tc>
        <w:tc>
          <w:tcPr>
            <w:tcW w:w="1275" w:type="dxa"/>
            <w:tcBorders>
              <w:top w:val="single" w:sz="4" w:space="0" w:color="5B9BD5"/>
              <w:left w:val="nil"/>
              <w:bottom w:val="single" w:sz="4" w:space="0" w:color="5B9BD5"/>
              <w:right w:val="single" w:sz="4" w:space="0" w:color="5B9BD5"/>
            </w:tcBorders>
            <w:shd w:val="clear" w:color="auto" w:fill="auto"/>
            <w:noWrap/>
            <w:vAlign w:val="center"/>
            <w:hideMark/>
          </w:tcPr>
          <w:p w:rsidR="00244E0E" w:rsidRPr="00C92486" w:rsidRDefault="00244E0E" w:rsidP="00244E0E">
            <w:pPr>
              <w:ind w:firstLineChars="200" w:firstLine="4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692,7</w:t>
            </w:r>
          </w:p>
        </w:tc>
        <w:tc>
          <w:tcPr>
            <w:tcW w:w="1276" w:type="dxa"/>
            <w:tcBorders>
              <w:top w:val="single" w:sz="4" w:space="0" w:color="5B9BD5"/>
              <w:left w:val="single" w:sz="4" w:space="0" w:color="5B9BD5"/>
              <w:bottom w:val="single" w:sz="4" w:space="0" w:color="5B9BD5"/>
              <w:right w:val="single" w:sz="4" w:space="0" w:color="5B9BD5"/>
            </w:tcBorders>
            <w:vAlign w:val="center"/>
          </w:tcPr>
          <w:p w:rsidR="00244E0E" w:rsidRPr="00C92486" w:rsidRDefault="00244E0E" w:rsidP="00244E0E">
            <w:pPr>
              <w:ind w:firstLineChars="200" w:firstLine="4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712,1</w:t>
            </w:r>
          </w:p>
        </w:tc>
        <w:tc>
          <w:tcPr>
            <w:tcW w:w="1338"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244E0E" w:rsidRPr="00C92486" w:rsidRDefault="00244E0E" w:rsidP="00244E0E">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530,7</w:t>
            </w:r>
          </w:p>
        </w:tc>
      </w:tr>
      <w:tr w:rsidR="00244E0E" w:rsidRPr="00C917D2" w:rsidTr="00222529">
        <w:trPr>
          <w:trHeight w:val="397"/>
          <w:jc w:val="center"/>
        </w:trPr>
        <w:tc>
          <w:tcPr>
            <w:tcW w:w="6516" w:type="dxa"/>
            <w:tcBorders>
              <w:top w:val="nil"/>
              <w:left w:val="single" w:sz="4" w:space="0" w:color="5B9BD5"/>
              <w:bottom w:val="single" w:sz="4" w:space="0" w:color="5B9BD5"/>
              <w:right w:val="single" w:sz="4" w:space="0" w:color="5B9BD5"/>
            </w:tcBorders>
            <w:shd w:val="clear" w:color="auto" w:fill="auto"/>
            <w:noWrap/>
            <w:vAlign w:val="center"/>
            <w:hideMark/>
          </w:tcPr>
          <w:p w:rsidR="00244E0E" w:rsidRPr="00C917D2" w:rsidRDefault="00244E0E" w:rsidP="00244E0E">
            <w:pPr>
              <w:ind w:left="175"/>
              <w:rPr>
                <w:rFonts w:cs="Calibri"/>
                <w:color w:val="000000"/>
              </w:rPr>
            </w:pPr>
            <w:r w:rsidRPr="00C917D2">
              <w:rPr>
                <w:rFonts w:cs="Calibri"/>
                <w:color w:val="000000"/>
              </w:rPr>
              <w:t>3. Income from portfolio investments</w:t>
            </w:r>
          </w:p>
        </w:tc>
        <w:tc>
          <w:tcPr>
            <w:tcW w:w="1275" w:type="dxa"/>
            <w:tcBorders>
              <w:top w:val="single" w:sz="4" w:space="0" w:color="5B9BD5"/>
              <w:left w:val="nil"/>
              <w:bottom w:val="single" w:sz="4" w:space="0" w:color="5B9BD5"/>
              <w:right w:val="single" w:sz="4" w:space="0" w:color="5B9BD5"/>
            </w:tcBorders>
            <w:shd w:val="clear" w:color="auto" w:fill="auto"/>
            <w:noWrap/>
            <w:vAlign w:val="center"/>
            <w:hideMark/>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1,7</w:t>
            </w:r>
          </w:p>
        </w:tc>
        <w:tc>
          <w:tcPr>
            <w:tcW w:w="1276" w:type="dxa"/>
            <w:tcBorders>
              <w:top w:val="single" w:sz="4" w:space="0" w:color="5B9BD5"/>
              <w:left w:val="single" w:sz="4" w:space="0" w:color="5B9BD5"/>
              <w:bottom w:val="single" w:sz="4" w:space="0" w:color="5B9BD5"/>
              <w:right w:val="single" w:sz="4" w:space="0" w:color="5B9BD5"/>
            </w:tcBorders>
            <w:vAlign w:val="center"/>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49,2</w:t>
            </w:r>
          </w:p>
        </w:tc>
        <w:tc>
          <w:tcPr>
            <w:tcW w:w="1338"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244E0E" w:rsidRPr="00C92486" w:rsidRDefault="00244E0E" w:rsidP="00244E0E">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79,3</w:t>
            </w:r>
          </w:p>
        </w:tc>
      </w:tr>
      <w:tr w:rsidR="00244E0E" w:rsidRPr="00C917D2" w:rsidTr="00222529">
        <w:trPr>
          <w:trHeight w:val="397"/>
          <w:jc w:val="center"/>
        </w:trPr>
        <w:tc>
          <w:tcPr>
            <w:tcW w:w="6516" w:type="dxa"/>
            <w:tcBorders>
              <w:top w:val="nil"/>
              <w:left w:val="single" w:sz="4" w:space="0" w:color="5B9BD5"/>
              <w:bottom w:val="single" w:sz="4" w:space="0" w:color="5B9BD5"/>
              <w:right w:val="single" w:sz="4" w:space="0" w:color="5B9BD5"/>
            </w:tcBorders>
            <w:shd w:val="clear" w:color="auto" w:fill="auto"/>
            <w:noWrap/>
            <w:vAlign w:val="center"/>
            <w:hideMark/>
          </w:tcPr>
          <w:p w:rsidR="00244E0E" w:rsidRPr="00C917D2" w:rsidRDefault="00244E0E" w:rsidP="00244E0E">
            <w:pPr>
              <w:ind w:left="175"/>
              <w:rPr>
                <w:rFonts w:cs="Calibri"/>
                <w:color w:val="000000"/>
                <w:lang w:val="en-US"/>
              </w:rPr>
            </w:pPr>
            <w:r w:rsidRPr="00C917D2">
              <w:rPr>
                <w:rFonts w:cs="Calibri"/>
                <w:color w:val="000000"/>
                <w:lang w:val="en-US"/>
              </w:rPr>
              <w:t>4. Income from loans and credits raised</w:t>
            </w:r>
          </w:p>
        </w:tc>
        <w:tc>
          <w:tcPr>
            <w:tcW w:w="1275" w:type="dxa"/>
            <w:tcBorders>
              <w:top w:val="single" w:sz="4" w:space="0" w:color="5B9BD5"/>
              <w:left w:val="nil"/>
              <w:bottom w:val="single" w:sz="4" w:space="0" w:color="5B9BD5"/>
              <w:right w:val="single" w:sz="4" w:space="0" w:color="5B9BD5"/>
            </w:tcBorders>
            <w:shd w:val="clear" w:color="auto" w:fill="auto"/>
            <w:noWrap/>
            <w:vAlign w:val="center"/>
            <w:hideMark/>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534,3</w:t>
            </w:r>
          </w:p>
        </w:tc>
        <w:tc>
          <w:tcPr>
            <w:tcW w:w="1276" w:type="dxa"/>
            <w:tcBorders>
              <w:top w:val="single" w:sz="4" w:space="0" w:color="5B9BD5"/>
              <w:left w:val="single" w:sz="4" w:space="0" w:color="5B9BD5"/>
              <w:bottom w:val="single" w:sz="4" w:space="0" w:color="5B9BD5"/>
              <w:right w:val="single" w:sz="4" w:space="0" w:color="5B9BD5"/>
            </w:tcBorders>
            <w:vAlign w:val="center"/>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689,5</w:t>
            </w:r>
          </w:p>
        </w:tc>
        <w:tc>
          <w:tcPr>
            <w:tcW w:w="1338"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244E0E" w:rsidRPr="00C92486" w:rsidRDefault="00244E0E" w:rsidP="00244E0E">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738,5</w:t>
            </w:r>
          </w:p>
        </w:tc>
      </w:tr>
      <w:tr w:rsidR="00244E0E" w:rsidRPr="00C917D2" w:rsidTr="00222529">
        <w:trPr>
          <w:trHeight w:val="630"/>
          <w:jc w:val="center"/>
        </w:trPr>
        <w:tc>
          <w:tcPr>
            <w:tcW w:w="6516" w:type="dxa"/>
            <w:tcBorders>
              <w:top w:val="nil"/>
              <w:left w:val="single" w:sz="4" w:space="0" w:color="5B9BD5"/>
              <w:bottom w:val="single" w:sz="4" w:space="0" w:color="5B9BD5"/>
              <w:right w:val="single" w:sz="4" w:space="0" w:color="5B9BD5"/>
            </w:tcBorders>
            <w:shd w:val="clear" w:color="auto" w:fill="auto"/>
            <w:vAlign w:val="center"/>
            <w:hideMark/>
          </w:tcPr>
          <w:p w:rsidR="00244E0E" w:rsidRPr="00C917D2" w:rsidRDefault="00244E0E" w:rsidP="00244E0E">
            <w:pPr>
              <w:ind w:left="458"/>
              <w:rPr>
                <w:rFonts w:cs="Calibri"/>
                <w:color w:val="000000"/>
                <w:lang w:val="en-US"/>
              </w:rPr>
            </w:pPr>
            <w:r w:rsidRPr="00C917D2">
              <w:rPr>
                <w:rFonts w:cs="Calibri"/>
                <w:color w:val="000000"/>
                <w:lang w:val="en-US"/>
              </w:rPr>
              <w:t xml:space="preserve">by Government (including, guaranteed by the government of the Republic of Uzbekistan) </w:t>
            </w:r>
          </w:p>
        </w:tc>
        <w:tc>
          <w:tcPr>
            <w:tcW w:w="1275" w:type="dxa"/>
            <w:tcBorders>
              <w:top w:val="single" w:sz="4" w:space="0" w:color="5B9BD5"/>
              <w:left w:val="nil"/>
              <w:bottom w:val="single" w:sz="4" w:space="0" w:color="5B9BD5"/>
              <w:right w:val="single" w:sz="4" w:space="0" w:color="5B9BD5"/>
            </w:tcBorders>
            <w:shd w:val="clear" w:color="auto" w:fill="auto"/>
            <w:vAlign w:val="center"/>
            <w:hideMark/>
          </w:tcPr>
          <w:p w:rsidR="00244E0E" w:rsidRPr="00C92486" w:rsidRDefault="00244E0E" w:rsidP="00244E0E">
            <w:pPr>
              <w:ind w:firstLineChars="200" w:firstLine="4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186,0</w:t>
            </w:r>
          </w:p>
        </w:tc>
        <w:tc>
          <w:tcPr>
            <w:tcW w:w="1276" w:type="dxa"/>
            <w:tcBorders>
              <w:top w:val="single" w:sz="4" w:space="0" w:color="5B9BD5"/>
              <w:left w:val="single" w:sz="4" w:space="0" w:color="5B9BD5"/>
              <w:bottom w:val="single" w:sz="4" w:space="0" w:color="5B9BD5"/>
              <w:right w:val="single" w:sz="4" w:space="0" w:color="5B9BD5"/>
            </w:tcBorders>
            <w:vAlign w:val="center"/>
          </w:tcPr>
          <w:p w:rsidR="00244E0E" w:rsidRPr="00C92486" w:rsidRDefault="00244E0E" w:rsidP="00244E0E">
            <w:pPr>
              <w:ind w:firstLineChars="200" w:firstLine="4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271,3</w:t>
            </w:r>
          </w:p>
        </w:tc>
        <w:tc>
          <w:tcPr>
            <w:tcW w:w="1338"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244E0E" w:rsidRPr="00C92486" w:rsidRDefault="00244E0E" w:rsidP="00244E0E">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338,8</w:t>
            </w:r>
          </w:p>
        </w:tc>
      </w:tr>
      <w:tr w:rsidR="00244E0E" w:rsidRPr="00C917D2" w:rsidTr="00222529">
        <w:trPr>
          <w:trHeight w:val="397"/>
          <w:jc w:val="center"/>
        </w:trPr>
        <w:tc>
          <w:tcPr>
            <w:tcW w:w="6516" w:type="dxa"/>
            <w:tcBorders>
              <w:top w:val="nil"/>
              <w:left w:val="single" w:sz="4" w:space="0" w:color="5B9BD5"/>
              <w:bottom w:val="single" w:sz="4" w:space="0" w:color="5B9BD5"/>
              <w:right w:val="single" w:sz="4" w:space="0" w:color="5B9BD5"/>
            </w:tcBorders>
            <w:shd w:val="clear" w:color="auto" w:fill="auto"/>
            <w:noWrap/>
            <w:vAlign w:val="center"/>
            <w:hideMark/>
          </w:tcPr>
          <w:p w:rsidR="00244E0E" w:rsidRPr="00C917D2" w:rsidRDefault="00244E0E" w:rsidP="00244E0E">
            <w:pPr>
              <w:ind w:left="458"/>
              <w:rPr>
                <w:rFonts w:cs="Calibri"/>
                <w:color w:val="000000"/>
                <w:lang w:val="en-US"/>
              </w:rPr>
            </w:pPr>
            <w:r w:rsidRPr="00C917D2">
              <w:rPr>
                <w:rFonts w:cs="Calibri"/>
                <w:color w:val="000000"/>
                <w:lang w:val="en-US"/>
              </w:rPr>
              <w:t>by Banks and other sectors</w:t>
            </w:r>
          </w:p>
        </w:tc>
        <w:tc>
          <w:tcPr>
            <w:tcW w:w="1275" w:type="dxa"/>
            <w:tcBorders>
              <w:top w:val="single" w:sz="4" w:space="0" w:color="5B9BD5"/>
              <w:left w:val="nil"/>
              <w:bottom w:val="single" w:sz="4" w:space="0" w:color="5B9BD5"/>
              <w:right w:val="single" w:sz="4" w:space="0" w:color="5B9BD5"/>
            </w:tcBorders>
            <w:shd w:val="clear" w:color="auto" w:fill="auto"/>
            <w:noWrap/>
            <w:vAlign w:val="center"/>
            <w:hideMark/>
          </w:tcPr>
          <w:p w:rsidR="00244E0E" w:rsidRPr="00C92486" w:rsidRDefault="00244E0E" w:rsidP="00244E0E">
            <w:pPr>
              <w:ind w:firstLineChars="200" w:firstLine="4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348,3</w:t>
            </w:r>
          </w:p>
        </w:tc>
        <w:tc>
          <w:tcPr>
            <w:tcW w:w="1276" w:type="dxa"/>
            <w:tcBorders>
              <w:top w:val="single" w:sz="4" w:space="0" w:color="5B9BD5"/>
              <w:left w:val="single" w:sz="4" w:space="0" w:color="5B9BD5"/>
              <w:bottom w:val="single" w:sz="4" w:space="0" w:color="5B9BD5"/>
              <w:right w:val="single" w:sz="4" w:space="0" w:color="5B9BD5"/>
            </w:tcBorders>
            <w:vAlign w:val="center"/>
          </w:tcPr>
          <w:p w:rsidR="00244E0E" w:rsidRPr="00C92486" w:rsidRDefault="00244E0E" w:rsidP="00244E0E">
            <w:pPr>
              <w:ind w:firstLineChars="200" w:firstLine="4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418,2</w:t>
            </w:r>
          </w:p>
        </w:tc>
        <w:tc>
          <w:tcPr>
            <w:tcW w:w="1338"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244E0E" w:rsidRPr="00C92486" w:rsidRDefault="00244E0E" w:rsidP="00244E0E">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399,8</w:t>
            </w:r>
          </w:p>
        </w:tc>
      </w:tr>
      <w:tr w:rsidR="00244E0E" w:rsidRPr="00C917D2" w:rsidTr="00222529">
        <w:trPr>
          <w:trHeight w:val="630"/>
          <w:jc w:val="center"/>
        </w:trPr>
        <w:tc>
          <w:tcPr>
            <w:tcW w:w="6516" w:type="dxa"/>
            <w:tcBorders>
              <w:top w:val="nil"/>
              <w:left w:val="single" w:sz="4" w:space="0" w:color="5B9BD5"/>
              <w:bottom w:val="single" w:sz="4" w:space="0" w:color="5B9BD5"/>
              <w:right w:val="single" w:sz="4" w:space="0" w:color="5B9BD5"/>
            </w:tcBorders>
            <w:shd w:val="clear" w:color="auto" w:fill="auto"/>
            <w:vAlign w:val="center"/>
            <w:hideMark/>
          </w:tcPr>
          <w:p w:rsidR="00244E0E" w:rsidRPr="00C917D2" w:rsidRDefault="00244E0E" w:rsidP="00244E0E">
            <w:pPr>
              <w:ind w:left="175"/>
              <w:rPr>
                <w:rFonts w:cs="Calibri"/>
                <w:color w:val="000000"/>
                <w:lang w:val="en-US"/>
              </w:rPr>
            </w:pPr>
            <w:r w:rsidRPr="00C917D2">
              <w:rPr>
                <w:rFonts w:cs="Calibri"/>
                <w:color w:val="000000"/>
                <w:lang w:val="en-US"/>
              </w:rPr>
              <w:t xml:space="preserve">5. Income from deposits and correspondent accounts in banks of Uzbekistan </w:t>
            </w:r>
          </w:p>
        </w:tc>
        <w:tc>
          <w:tcPr>
            <w:tcW w:w="1275" w:type="dxa"/>
            <w:tcBorders>
              <w:top w:val="single" w:sz="4" w:space="0" w:color="5B9BD5"/>
              <w:left w:val="nil"/>
              <w:bottom w:val="single" w:sz="4" w:space="0" w:color="5B9BD5"/>
              <w:right w:val="single" w:sz="4" w:space="0" w:color="5B9BD5"/>
            </w:tcBorders>
            <w:shd w:val="clear" w:color="auto" w:fill="auto"/>
            <w:vAlign w:val="center"/>
            <w:hideMark/>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1,9</w:t>
            </w:r>
          </w:p>
        </w:tc>
        <w:tc>
          <w:tcPr>
            <w:tcW w:w="1276" w:type="dxa"/>
            <w:tcBorders>
              <w:top w:val="single" w:sz="4" w:space="0" w:color="5B9BD5"/>
              <w:left w:val="single" w:sz="4" w:space="0" w:color="5B9BD5"/>
              <w:bottom w:val="single" w:sz="4" w:space="0" w:color="5B9BD5"/>
              <w:right w:val="single" w:sz="4" w:space="0" w:color="5B9BD5"/>
            </w:tcBorders>
            <w:vAlign w:val="center"/>
          </w:tcPr>
          <w:p w:rsidR="00244E0E" w:rsidRPr="00C92486" w:rsidRDefault="00244E0E" w:rsidP="00244E0E">
            <w:pPr>
              <w:ind w:firstLineChars="100" w:firstLine="200"/>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1,7</w:t>
            </w:r>
          </w:p>
        </w:tc>
        <w:tc>
          <w:tcPr>
            <w:tcW w:w="1338"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244E0E" w:rsidRPr="00C92486" w:rsidRDefault="00244E0E" w:rsidP="00244E0E">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7,1</w:t>
            </w:r>
          </w:p>
        </w:tc>
      </w:tr>
    </w:tbl>
    <w:p w:rsidR="009304D9" w:rsidRPr="00F45A80" w:rsidRDefault="009304D9" w:rsidP="009304D9">
      <w:pPr>
        <w:ind w:right="338"/>
        <w:jc w:val="right"/>
        <w:rPr>
          <w:rFonts w:cs="Arial"/>
          <w:lang w:val="en-US"/>
        </w:rPr>
      </w:pPr>
    </w:p>
    <w:p w:rsidR="00A835D8" w:rsidRDefault="00A835D8" w:rsidP="00600369">
      <w:pPr>
        <w:ind w:right="54"/>
        <w:jc w:val="right"/>
        <w:rPr>
          <w:rFonts w:cs="Arial"/>
          <w:lang w:val="en-US"/>
        </w:rPr>
        <w:sectPr w:rsidR="00A835D8" w:rsidSect="006A0A57">
          <w:pgSz w:w="11906" w:h="16838" w:code="9"/>
          <w:pgMar w:top="1531" w:right="709" w:bottom="737" w:left="567" w:header="709" w:footer="709" w:gutter="0"/>
          <w:cols w:space="708"/>
          <w:titlePg/>
          <w:docGrid w:linePitch="360"/>
        </w:sectPr>
      </w:pPr>
    </w:p>
    <w:p w:rsidR="009304D9" w:rsidRPr="00ED5572" w:rsidRDefault="009304D9" w:rsidP="00A835D8">
      <w:pPr>
        <w:ind w:right="282"/>
        <w:jc w:val="right"/>
        <w:rPr>
          <w:i/>
          <w:sz w:val="22"/>
          <w:szCs w:val="22"/>
          <w:lang w:val="uz-Cyrl-UZ"/>
        </w:rPr>
      </w:pPr>
      <w:r w:rsidRPr="00ED5572">
        <w:rPr>
          <w:i/>
          <w:sz w:val="22"/>
          <w:szCs w:val="22"/>
          <w:lang w:val="en-US"/>
        </w:rPr>
        <w:lastRenderedPageBreak/>
        <w:t>Addenda 1</w:t>
      </w:r>
      <w:r w:rsidR="00244E0E">
        <w:rPr>
          <w:i/>
          <w:sz w:val="22"/>
          <w:szCs w:val="22"/>
          <w:lang w:val="en-US"/>
        </w:rPr>
        <w:t>1</w:t>
      </w:r>
    </w:p>
    <w:p w:rsidR="009304D9" w:rsidRPr="00F45A80" w:rsidRDefault="009304D9" w:rsidP="009304D9">
      <w:pPr>
        <w:ind w:right="338"/>
        <w:jc w:val="right"/>
        <w:rPr>
          <w:i/>
          <w:lang w:val="en-US"/>
        </w:rPr>
      </w:pPr>
    </w:p>
    <w:p w:rsidR="009304D9" w:rsidRPr="00B30F70" w:rsidRDefault="009304D9" w:rsidP="009304D9">
      <w:pPr>
        <w:pStyle w:val="1"/>
        <w:spacing w:before="0"/>
        <w:ind w:left="0"/>
        <w:jc w:val="center"/>
        <w:rPr>
          <w:rFonts w:ascii="Calibri" w:hAnsi="Calibri"/>
          <w:sz w:val="26"/>
          <w:szCs w:val="26"/>
          <w:lang w:val="en-US"/>
        </w:rPr>
      </w:pPr>
      <w:bookmarkStart w:id="34" w:name="_Toc67050811"/>
      <w:r w:rsidRPr="005570C0">
        <w:rPr>
          <w:rFonts w:ascii="Calibri" w:hAnsi="Calibri" w:cs="Calibri"/>
          <w:sz w:val="26"/>
          <w:szCs w:val="26"/>
          <w:lang w:val="en-US"/>
        </w:rPr>
        <w:t xml:space="preserve">BALANCE OF SECONDARY INCOME </w:t>
      </w:r>
      <w:r w:rsidR="00CA703E" w:rsidRPr="005570C0">
        <w:rPr>
          <w:rFonts w:ascii="Calibri" w:hAnsi="Calibri" w:cs="Calibri"/>
          <w:sz w:val="26"/>
          <w:szCs w:val="26"/>
          <w:lang w:val="en-US"/>
        </w:rPr>
        <w:t>FOR</w:t>
      </w:r>
      <w:r w:rsidRPr="005570C0">
        <w:rPr>
          <w:rFonts w:ascii="Calibri" w:hAnsi="Calibri" w:cs="Calibri"/>
          <w:sz w:val="26"/>
          <w:szCs w:val="26"/>
          <w:lang w:val="en-US"/>
        </w:rPr>
        <w:t xml:space="preserve"> 201</w:t>
      </w:r>
      <w:r w:rsidR="00244E0E">
        <w:rPr>
          <w:rFonts w:ascii="Calibri" w:hAnsi="Calibri" w:cs="Calibri"/>
          <w:sz w:val="26"/>
          <w:szCs w:val="26"/>
          <w:lang w:val="en-US"/>
        </w:rPr>
        <w:t>8</w:t>
      </w:r>
      <w:r w:rsidR="00B33C6E">
        <w:rPr>
          <w:rFonts w:ascii="Calibri" w:hAnsi="Calibri" w:cs="Calibri"/>
          <w:sz w:val="26"/>
          <w:szCs w:val="26"/>
          <w:lang w:val="en-US"/>
        </w:rPr>
        <w:t xml:space="preserve"> AND </w:t>
      </w:r>
      <w:r w:rsidRPr="005570C0">
        <w:rPr>
          <w:rFonts w:ascii="Calibri" w:hAnsi="Calibri" w:cs="Calibri"/>
          <w:sz w:val="26"/>
          <w:szCs w:val="26"/>
          <w:lang w:val="en-US"/>
        </w:rPr>
        <w:t>20</w:t>
      </w:r>
      <w:r w:rsidR="00A835D8" w:rsidRPr="005570C0">
        <w:rPr>
          <w:rFonts w:ascii="Calibri" w:hAnsi="Calibri" w:cs="Calibri"/>
          <w:sz w:val="26"/>
          <w:szCs w:val="26"/>
          <w:lang w:val="en-US"/>
        </w:rPr>
        <w:t>20</w:t>
      </w:r>
      <w:bookmarkEnd w:id="34"/>
    </w:p>
    <w:p w:rsidR="009304D9" w:rsidRPr="00F45A80" w:rsidRDefault="009304D9" w:rsidP="009304D9">
      <w:pPr>
        <w:ind w:right="282"/>
        <w:jc w:val="right"/>
        <w:rPr>
          <w:i/>
          <w:lang w:val="en-US"/>
        </w:rPr>
      </w:pPr>
    </w:p>
    <w:p w:rsidR="009304D9" w:rsidRPr="00F45A80" w:rsidRDefault="009304D9" w:rsidP="00A835D8">
      <w:pPr>
        <w:ind w:right="282"/>
        <w:jc w:val="right"/>
        <w:rPr>
          <w:i/>
          <w:sz w:val="20"/>
          <w:szCs w:val="20"/>
          <w:lang w:val="en-US"/>
        </w:rPr>
      </w:pPr>
      <w:r w:rsidRPr="00F45A80">
        <w:rPr>
          <w:i/>
          <w:sz w:val="20"/>
          <w:szCs w:val="20"/>
          <w:lang w:val="en-US"/>
        </w:rPr>
        <w:t>(mln. USD)</w:t>
      </w:r>
    </w:p>
    <w:tbl>
      <w:tblPr>
        <w:tblW w:w="10125" w:type="dxa"/>
        <w:tblInd w:w="279" w:type="dxa"/>
        <w:tblLook w:val="04A0" w:firstRow="1" w:lastRow="0" w:firstColumn="1" w:lastColumn="0" w:noHBand="0" w:noVBand="1"/>
      </w:tblPr>
      <w:tblGrid>
        <w:gridCol w:w="5812"/>
        <w:gridCol w:w="1560"/>
        <w:gridCol w:w="1416"/>
        <w:gridCol w:w="1337"/>
      </w:tblGrid>
      <w:tr w:rsidR="00244E0E" w:rsidRPr="00CA703E" w:rsidTr="007F6743">
        <w:trPr>
          <w:trHeight w:val="618"/>
        </w:trPr>
        <w:tc>
          <w:tcPr>
            <w:tcW w:w="5812"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244E0E" w:rsidRPr="00CA703E" w:rsidRDefault="00244E0E" w:rsidP="00244E0E">
            <w:pPr>
              <w:rPr>
                <w:rFonts w:cs="Calibri"/>
                <w:b/>
                <w:color w:val="000000"/>
              </w:rPr>
            </w:pPr>
            <w:r w:rsidRPr="00CA703E">
              <w:rPr>
                <w:rFonts w:cs="Calibri"/>
                <w:b/>
                <w:color w:val="000000"/>
              </w:rPr>
              <w:t> </w:t>
            </w:r>
          </w:p>
        </w:tc>
        <w:tc>
          <w:tcPr>
            <w:tcW w:w="156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244E0E" w:rsidRPr="00C92486" w:rsidRDefault="00244E0E" w:rsidP="00244E0E">
            <w:pPr>
              <w:jc w:val="center"/>
              <w:rPr>
                <w:rFonts w:asciiTheme="minorHAnsi" w:hAnsiTheme="minorHAnsi" w:cstheme="minorHAnsi"/>
                <w:b/>
                <w:color w:val="000000"/>
                <w:sz w:val="20"/>
                <w:szCs w:val="20"/>
              </w:rPr>
            </w:pPr>
            <w:r w:rsidRPr="00C92486">
              <w:rPr>
                <w:rFonts w:asciiTheme="minorHAnsi" w:hAnsiTheme="minorHAnsi" w:cstheme="minorHAnsi"/>
                <w:b/>
                <w:color w:val="000000"/>
                <w:sz w:val="20"/>
                <w:szCs w:val="20"/>
              </w:rPr>
              <w:t>2018</w:t>
            </w:r>
          </w:p>
        </w:tc>
        <w:tc>
          <w:tcPr>
            <w:tcW w:w="1416" w:type="dxa"/>
            <w:tcBorders>
              <w:top w:val="single" w:sz="4" w:space="0" w:color="5B9BD5"/>
              <w:left w:val="single" w:sz="4" w:space="0" w:color="5B9BD5"/>
              <w:right w:val="single" w:sz="4" w:space="0" w:color="5B9BD5"/>
            </w:tcBorders>
            <w:vAlign w:val="center"/>
          </w:tcPr>
          <w:p w:rsidR="00244E0E" w:rsidRPr="00C92486" w:rsidRDefault="00244E0E" w:rsidP="00244E0E">
            <w:pPr>
              <w:jc w:val="center"/>
              <w:rPr>
                <w:rFonts w:asciiTheme="minorHAnsi" w:hAnsiTheme="minorHAnsi" w:cstheme="minorHAnsi"/>
                <w:b/>
                <w:color w:val="000000"/>
                <w:sz w:val="20"/>
                <w:szCs w:val="20"/>
              </w:rPr>
            </w:pPr>
            <w:r w:rsidRPr="00C92486">
              <w:rPr>
                <w:rFonts w:asciiTheme="minorHAnsi" w:hAnsiTheme="minorHAnsi" w:cstheme="minorHAnsi"/>
                <w:b/>
                <w:color w:val="000000"/>
                <w:sz w:val="20"/>
                <w:szCs w:val="20"/>
              </w:rPr>
              <w:t>2019</w:t>
            </w:r>
          </w:p>
        </w:tc>
        <w:tc>
          <w:tcPr>
            <w:tcW w:w="1337"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244E0E" w:rsidRPr="00C92486" w:rsidRDefault="00244E0E" w:rsidP="00244E0E">
            <w:pPr>
              <w:jc w:val="center"/>
              <w:rPr>
                <w:rFonts w:asciiTheme="minorHAnsi" w:hAnsiTheme="minorHAnsi" w:cstheme="minorHAnsi"/>
                <w:b/>
                <w:color w:val="000000"/>
                <w:sz w:val="20"/>
                <w:szCs w:val="20"/>
              </w:rPr>
            </w:pPr>
            <w:r w:rsidRPr="00C92486">
              <w:rPr>
                <w:rFonts w:asciiTheme="minorHAnsi" w:hAnsiTheme="minorHAnsi" w:cstheme="minorHAnsi"/>
                <w:b/>
                <w:color w:val="000000"/>
                <w:sz w:val="20"/>
                <w:szCs w:val="20"/>
              </w:rPr>
              <w:t>2020</w:t>
            </w:r>
          </w:p>
        </w:tc>
      </w:tr>
      <w:tr w:rsidR="00244E0E" w:rsidRPr="00CA703E" w:rsidTr="00244E0E">
        <w:trPr>
          <w:trHeight w:val="397"/>
        </w:trPr>
        <w:tc>
          <w:tcPr>
            <w:tcW w:w="5812" w:type="dxa"/>
            <w:tcBorders>
              <w:top w:val="nil"/>
              <w:left w:val="single" w:sz="4" w:space="0" w:color="5B9BD5"/>
              <w:bottom w:val="single" w:sz="4" w:space="0" w:color="5B9BD5"/>
              <w:right w:val="single" w:sz="4" w:space="0" w:color="5B9BD5"/>
            </w:tcBorders>
            <w:shd w:val="clear" w:color="000000" w:fill="BDD7EE"/>
            <w:noWrap/>
            <w:vAlign w:val="center"/>
            <w:hideMark/>
          </w:tcPr>
          <w:p w:rsidR="00244E0E" w:rsidRPr="00CA703E" w:rsidRDefault="00244E0E" w:rsidP="00244E0E">
            <w:pPr>
              <w:rPr>
                <w:rFonts w:cs="Calibri"/>
                <w:b/>
                <w:bCs/>
                <w:color w:val="000000"/>
              </w:rPr>
            </w:pPr>
            <w:r w:rsidRPr="00CA703E">
              <w:rPr>
                <w:rFonts w:cs="Calibri"/>
                <w:b/>
                <w:bCs/>
                <w:color w:val="000000"/>
              </w:rPr>
              <w:t>Balance on secondary income</w:t>
            </w:r>
          </w:p>
        </w:tc>
        <w:tc>
          <w:tcPr>
            <w:tcW w:w="1560" w:type="dxa"/>
            <w:tcBorders>
              <w:top w:val="single" w:sz="4" w:space="0" w:color="5B9BD5"/>
              <w:left w:val="nil"/>
              <w:bottom w:val="single" w:sz="4" w:space="0" w:color="5B9BD5"/>
              <w:right w:val="single" w:sz="4" w:space="0" w:color="5B9BD5"/>
            </w:tcBorders>
            <w:shd w:val="clear" w:color="000000" w:fill="BDD7EE"/>
            <w:noWrap/>
            <w:vAlign w:val="center"/>
            <w:hideMark/>
          </w:tcPr>
          <w:p w:rsidR="00244E0E" w:rsidRPr="00244E0E" w:rsidRDefault="00244E0E" w:rsidP="00244E0E">
            <w:pPr>
              <w:jc w:val="center"/>
              <w:rPr>
                <w:rFonts w:asciiTheme="minorHAnsi" w:hAnsiTheme="minorHAnsi" w:cstheme="minorHAnsi"/>
                <w:b/>
                <w:bCs/>
                <w:color w:val="000000"/>
                <w:sz w:val="20"/>
                <w:szCs w:val="20"/>
              </w:rPr>
            </w:pPr>
            <w:r w:rsidRPr="00244E0E">
              <w:rPr>
                <w:rFonts w:asciiTheme="minorHAnsi" w:hAnsiTheme="minorHAnsi" w:cstheme="minorHAnsi"/>
                <w:b/>
                <w:bCs/>
                <w:color w:val="000000"/>
                <w:sz w:val="20"/>
                <w:szCs w:val="20"/>
              </w:rPr>
              <w:t>4 207,7</w:t>
            </w:r>
          </w:p>
        </w:tc>
        <w:tc>
          <w:tcPr>
            <w:tcW w:w="1416" w:type="dxa"/>
            <w:tcBorders>
              <w:top w:val="single" w:sz="4" w:space="0" w:color="5B9BD5"/>
              <w:left w:val="single" w:sz="4" w:space="0" w:color="5B9BD5"/>
              <w:bottom w:val="single" w:sz="4" w:space="0" w:color="5B9BD5"/>
              <w:right w:val="single" w:sz="4" w:space="0" w:color="5B9BD5"/>
            </w:tcBorders>
            <w:shd w:val="clear" w:color="000000" w:fill="BDD7EE"/>
            <w:vAlign w:val="center"/>
          </w:tcPr>
          <w:p w:rsidR="00244E0E" w:rsidRPr="00244E0E" w:rsidRDefault="00244E0E" w:rsidP="00244E0E">
            <w:pPr>
              <w:jc w:val="center"/>
              <w:rPr>
                <w:rFonts w:asciiTheme="minorHAnsi" w:hAnsiTheme="minorHAnsi" w:cstheme="minorHAnsi"/>
                <w:b/>
                <w:bCs/>
                <w:color w:val="000000"/>
                <w:sz w:val="20"/>
                <w:szCs w:val="20"/>
              </w:rPr>
            </w:pPr>
            <w:r w:rsidRPr="00244E0E">
              <w:rPr>
                <w:rFonts w:asciiTheme="minorHAnsi" w:hAnsiTheme="minorHAnsi" w:cstheme="minorHAnsi"/>
                <w:b/>
                <w:bCs/>
                <w:color w:val="000000"/>
                <w:sz w:val="20"/>
                <w:szCs w:val="20"/>
              </w:rPr>
              <w:t>5 454,5</w:t>
            </w:r>
          </w:p>
        </w:tc>
        <w:tc>
          <w:tcPr>
            <w:tcW w:w="1337" w:type="dxa"/>
            <w:tcBorders>
              <w:top w:val="single" w:sz="4" w:space="0" w:color="5B9BD5"/>
              <w:left w:val="single" w:sz="4" w:space="0" w:color="5B9BD5"/>
              <w:bottom w:val="single" w:sz="4" w:space="0" w:color="5B9BD5"/>
              <w:right w:val="single" w:sz="4" w:space="0" w:color="5B9BD5"/>
            </w:tcBorders>
            <w:shd w:val="clear" w:color="000000" w:fill="BDD7EE"/>
            <w:noWrap/>
            <w:vAlign w:val="center"/>
            <w:hideMark/>
          </w:tcPr>
          <w:p w:rsidR="00244E0E" w:rsidRPr="00244E0E" w:rsidRDefault="00244E0E" w:rsidP="00244E0E">
            <w:pPr>
              <w:jc w:val="center"/>
              <w:rPr>
                <w:rFonts w:asciiTheme="minorHAnsi" w:hAnsiTheme="minorHAnsi" w:cstheme="minorHAnsi"/>
                <w:b/>
                <w:bCs/>
                <w:color w:val="000000"/>
                <w:sz w:val="20"/>
                <w:szCs w:val="20"/>
              </w:rPr>
            </w:pPr>
            <w:r w:rsidRPr="00244E0E">
              <w:rPr>
                <w:rFonts w:asciiTheme="minorHAnsi" w:hAnsiTheme="minorHAnsi" w:cstheme="minorHAnsi"/>
                <w:b/>
                <w:bCs/>
                <w:color w:val="000000"/>
                <w:sz w:val="20"/>
                <w:szCs w:val="20"/>
              </w:rPr>
              <w:t>5 139,49</w:t>
            </w:r>
          </w:p>
        </w:tc>
      </w:tr>
      <w:tr w:rsidR="00244E0E" w:rsidRPr="00CA703E" w:rsidTr="00244E0E">
        <w:trPr>
          <w:trHeight w:val="397"/>
        </w:trPr>
        <w:tc>
          <w:tcPr>
            <w:tcW w:w="5812" w:type="dxa"/>
            <w:tcBorders>
              <w:top w:val="nil"/>
              <w:left w:val="single" w:sz="4" w:space="0" w:color="5B9BD5"/>
              <w:bottom w:val="single" w:sz="4" w:space="0" w:color="5B9BD5"/>
              <w:right w:val="single" w:sz="4" w:space="0" w:color="5B9BD5"/>
            </w:tcBorders>
            <w:shd w:val="clear" w:color="000000" w:fill="BDD7EE"/>
            <w:noWrap/>
            <w:vAlign w:val="center"/>
            <w:hideMark/>
          </w:tcPr>
          <w:p w:rsidR="00244E0E" w:rsidRPr="00CA703E" w:rsidRDefault="00244E0E" w:rsidP="00244E0E">
            <w:pPr>
              <w:rPr>
                <w:rFonts w:cs="Calibri"/>
                <w:b/>
                <w:bCs/>
                <w:color w:val="000000"/>
              </w:rPr>
            </w:pPr>
            <w:r w:rsidRPr="00CA703E">
              <w:rPr>
                <w:rFonts w:cs="Calibri"/>
                <w:b/>
                <w:bCs/>
                <w:color w:val="000000"/>
              </w:rPr>
              <w:t>I. Credits</w:t>
            </w:r>
          </w:p>
        </w:tc>
        <w:tc>
          <w:tcPr>
            <w:tcW w:w="1560" w:type="dxa"/>
            <w:tcBorders>
              <w:top w:val="single" w:sz="4" w:space="0" w:color="5B9BD5"/>
              <w:left w:val="nil"/>
              <w:bottom w:val="single" w:sz="4" w:space="0" w:color="5B9BD5"/>
              <w:right w:val="single" w:sz="4" w:space="0" w:color="5B9BD5"/>
            </w:tcBorders>
            <w:shd w:val="clear" w:color="000000" w:fill="BDD7EE"/>
            <w:noWrap/>
            <w:vAlign w:val="center"/>
            <w:hideMark/>
          </w:tcPr>
          <w:p w:rsidR="00244E0E" w:rsidRPr="00244E0E" w:rsidRDefault="00244E0E" w:rsidP="00244E0E">
            <w:pPr>
              <w:jc w:val="center"/>
              <w:rPr>
                <w:rFonts w:asciiTheme="minorHAnsi" w:hAnsiTheme="minorHAnsi" w:cstheme="minorHAnsi"/>
                <w:b/>
                <w:bCs/>
                <w:color w:val="000000"/>
                <w:sz w:val="20"/>
                <w:szCs w:val="20"/>
              </w:rPr>
            </w:pPr>
            <w:r w:rsidRPr="00244E0E">
              <w:rPr>
                <w:rFonts w:asciiTheme="minorHAnsi" w:hAnsiTheme="minorHAnsi" w:cstheme="minorHAnsi"/>
                <w:b/>
                <w:bCs/>
                <w:color w:val="000000"/>
                <w:sz w:val="20"/>
                <w:szCs w:val="20"/>
              </w:rPr>
              <w:t>4 822,9</w:t>
            </w:r>
          </w:p>
        </w:tc>
        <w:tc>
          <w:tcPr>
            <w:tcW w:w="1416" w:type="dxa"/>
            <w:tcBorders>
              <w:top w:val="single" w:sz="4" w:space="0" w:color="5B9BD5"/>
              <w:left w:val="single" w:sz="4" w:space="0" w:color="5B9BD5"/>
              <w:bottom w:val="single" w:sz="4" w:space="0" w:color="5B9BD5"/>
              <w:right w:val="single" w:sz="4" w:space="0" w:color="5B9BD5"/>
            </w:tcBorders>
            <w:shd w:val="clear" w:color="000000" w:fill="BDD7EE"/>
            <w:vAlign w:val="center"/>
          </w:tcPr>
          <w:p w:rsidR="00244E0E" w:rsidRPr="00244E0E" w:rsidRDefault="00244E0E" w:rsidP="00244E0E">
            <w:pPr>
              <w:jc w:val="center"/>
              <w:rPr>
                <w:rFonts w:asciiTheme="minorHAnsi" w:hAnsiTheme="minorHAnsi" w:cstheme="minorHAnsi"/>
                <w:b/>
                <w:bCs/>
                <w:color w:val="000000"/>
                <w:sz w:val="20"/>
                <w:szCs w:val="20"/>
              </w:rPr>
            </w:pPr>
            <w:r w:rsidRPr="00244E0E">
              <w:rPr>
                <w:rFonts w:asciiTheme="minorHAnsi" w:hAnsiTheme="minorHAnsi" w:cstheme="minorHAnsi"/>
                <w:b/>
                <w:bCs/>
                <w:color w:val="000000"/>
                <w:sz w:val="20"/>
                <w:szCs w:val="20"/>
              </w:rPr>
              <w:t>6 040,3</w:t>
            </w:r>
          </w:p>
        </w:tc>
        <w:tc>
          <w:tcPr>
            <w:tcW w:w="1337" w:type="dxa"/>
            <w:tcBorders>
              <w:top w:val="single" w:sz="4" w:space="0" w:color="5B9BD5"/>
              <w:left w:val="single" w:sz="4" w:space="0" w:color="5B9BD5"/>
              <w:bottom w:val="single" w:sz="4" w:space="0" w:color="5B9BD5"/>
              <w:right w:val="single" w:sz="4" w:space="0" w:color="5B9BD5"/>
            </w:tcBorders>
            <w:shd w:val="clear" w:color="000000" w:fill="BDD7EE"/>
            <w:noWrap/>
            <w:vAlign w:val="center"/>
            <w:hideMark/>
          </w:tcPr>
          <w:p w:rsidR="00244E0E" w:rsidRPr="00244E0E" w:rsidRDefault="00244E0E" w:rsidP="00244E0E">
            <w:pPr>
              <w:jc w:val="center"/>
              <w:rPr>
                <w:rFonts w:asciiTheme="minorHAnsi" w:hAnsiTheme="minorHAnsi" w:cstheme="minorHAnsi"/>
                <w:b/>
                <w:bCs/>
                <w:color w:val="000000"/>
                <w:sz w:val="20"/>
                <w:szCs w:val="20"/>
              </w:rPr>
            </w:pPr>
            <w:r w:rsidRPr="00244E0E">
              <w:rPr>
                <w:rFonts w:asciiTheme="minorHAnsi" w:hAnsiTheme="minorHAnsi" w:cstheme="minorHAnsi"/>
                <w:b/>
                <w:bCs/>
                <w:color w:val="000000"/>
                <w:sz w:val="20"/>
                <w:szCs w:val="20"/>
              </w:rPr>
              <w:t>5 584,8</w:t>
            </w:r>
          </w:p>
        </w:tc>
      </w:tr>
      <w:tr w:rsidR="00244E0E" w:rsidRPr="00CA703E" w:rsidTr="00244E0E">
        <w:trPr>
          <w:trHeight w:val="397"/>
        </w:trPr>
        <w:tc>
          <w:tcPr>
            <w:tcW w:w="5812" w:type="dxa"/>
            <w:tcBorders>
              <w:top w:val="nil"/>
              <w:left w:val="single" w:sz="4" w:space="0" w:color="5B9BD5"/>
              <w:bottom w:val="single" w:sz="4" w:space="0" w:color="5B9BD5"/>
              <w:right w:val="single" w:sz="4" w:space="0" w:color="5B9BD5"/>
            </w:tcBorders>
            <w:shd w:val="clear" w:color="auto" w:fill="auto"/>
            <w:noWrap/>
            <w:vAlign w:val="center"/>
            <w:hideMark/>
          </w:tcPr>
          <w:p w:rsidR="00244E0E" w:rsidRPr="00CA703E" w:rsidRDefault="00244E0E" w:rsidP="00244E0E">
            <w:pPr>
              <w:ind w:left="172"/>
              <w:rPr>
                <w:rFonts w:cs="Calibri"/>
                <w:color w:val="000000"/>
              </w:rPr>
            </w:pPr>
            <w:r w:rsidRPr="00CA703E">
              <w:rPr>
                <w:rFonts w:cs="Calibri"/>
                <w:color w:val="000000"/>
              </w:rPr>
              <w:t>1. Government units</w:t>
            </w:r>
          </w:p>
        </w:tc>
        <w:tc>
          <w:tcPr>
            <w:tcW w:w="1560" w:type="dxa"/>
            <w:tcBorders>
              <w:top w:val="single" w:sz="4" w:space="0" w:color="5B9BD5"/>
              <w:left w:val="nil"/>
              <w:bottom w:val="single" w:sz="4" w:space="0" w:color="5B9BD5"/>
              <w:right w:val="single" w:sz="4" w:space="0" w:color="5B9BD5"/>
            </w:tcBorders>
            <w:shd w:val="clear" w:color="auto" w:fill="auto"/>
            <w:vAlign w:val="center"/>
            <w:hideMark/>
          </w:tcPr>
          <w:p w:rsidR="00244E0E" w:rsidRPr="00244E0E" w:rsidRDefault="00244E0E" w:rsidP="00244E0E">
            <w:pPr>
              <w:jc w:val="center"/>
              <w:rPr>
                <w:rFonts w:asciiTheme="minorHAnsi" w:hAnsiTheme="minorHAnsi" w:cstheme="minorHAnsi"/>
                <w:color w:val="000000"/>
                <w:sz w:val="20"/>
                <w:szCs w:val="20"/>
              </w:rPr>
            </w:pPr>
            <w:r w:rsidRPr="00244E0E">
              <w:rPr>
                <w:rFonts w:asciiTheme="minorHAnsi" w:hAnsiTheme="minorHAnsi" w:cstheme="minorHAnsi"/>
                <w:color w:val="000000"/>
                <w:sz w:val="20"/>
                <w:szCs w:val="20"/>
              </w:rPr>
              <w:t>23,0</w:t>
            </w:r>
          </w:p>
        </w:tc>
        <w:tc>
          <w:tcPr>
            <w:tcW w:w="1416" w:type="dxa"/>
            <w:tcBorders>
              <w:top w:val="single" w:sz="4" w:space="0" w:color="5B9BD5"/>
              <w:left w:val="single" w:sz="4" w:space="0" w:color="5B9BD5"/>
              <w:bottom w:val="single" w:sz="4" w:space="0" w:color="5B9BD5"/>
              <w:right w:val="single" w:sz="4" w:space="0" w:color="5B9BD5"/>
            </w:tcBorders>
            <w:vAlign w:val="center"/>
          </w:tcPr>
          <w:p w:rsidR="00244E0E" w:rsidRPr="00244E0E" w:rsidRDefault="00244E0E" w:rsidP="00244E0E">
            <w:pPr>
              <w:jc w:val="center"/>
              <w:rPr>
                <w:rFonts w:asciiTheme="minorHAnsi" w:hAnsiTheme="minorHAnsi" w:cstheme="minorHAnsi"/>
                <w:color w:val="000000"/>
                <w:sz w:val="20"/>
                <w:szCs w:val="20"/>
              </w:rPr>
            </w:pPr>
            <w:r w:rsidRPr="00244E0E">
              <w:rPr>
                <w:rFonts w:asciiTheme="minorHAnsi" w:hAnsiTheme="minorHAnsi" w:cstheme="minorHAnsi"/>
                <w:color w:val="000000"/>
                <w:sz w:val="20"/>
                <w:szCs w:val="20"/>
              </w:rPr>
              <w:t>40,3</w:t>
            </w:r>
          </w:p>
        </w:tc>
        <w:tc>
          <w:tcPr>
            <w:tcW w:w="1337"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244E0E" w:rsidRPr="00244E0E" w:rsidRDefault="00244E0E" w:rsidP="00244E0E">
            <w:pPr>
              <w:jc w:val="center"/>
              <w:rPr>
                <w:rFonts w:asciiTheme="minorHAnsi" w:hAnsiTheme="minorHAnsi" w:cstheme="minorHAnsi"/>
                <w:color w:val="000000"/>
                <w:sz w:val="20"/>
                <w:szCs w:val="20"/>
              </w:rPr>
            </w:pPr>
            <w:r w:rsidRPr="00244E0E">
              <w:rPr>
                <w:rFonts w:asciiTheme="minorHAnsi" w:hAnsiTheme="minorHAnsi" w:cstheme="minorHAnsi"/>
                <w:color w:val="000000"/>
                <w:sz w:val="20"/>
                <w:szCs w:val="20"/>
              </w:rPr>
              <w:t>35,0</w:t>
            </w:r>
          </w:p>
        </w:tc>
      </w:tr>
      <w:tr w:rsidR="00244E0E" w:rsidRPr="00CA703E" w:rsidTr="00244E0E">
        <w:trPr>
          <w:trHeight w:val="638"/>
        </w:trPr>
        <w:tc>
          <w:tcPr>
            <w:tcW w:w="5812" w:type="dxa"/>
            <w:tcBorders>
              <w:top w:val="nil"/>
              <w:left w:val="single" w:sz="4" w:space="0" w:color="5B9BD5"/>
              <w:bottom w:val="single" w:sz="4" w:space="0" w:color="5B9BD5"/>
              <w:right w:val="single" w:sz="4" w:space="0" w:color="5B9BD5"/>
            </w:tcBorders>
            <w:shd w:val="clear" w:color="auto" w:fill="auto"/>
            <w:vAlign w:val="center"/>
            <w:hideMark/>
          </w:tcPr>
          <w:p w:rsidR="00244E0E" w:rsidRPr="00CA703E" w:rsidRDefault="00244E0E" w:rsidP="00244E0E">
            <w:pPr>
              <w:ind w:left="172"/>
              <w:rPr>
                <w:rFonts w:cs="Calibri"/>
                <w:color w:val="000000"/>
                <w:lang w:val="en-US"/>
              </w:rPr>
            </w:pPr>
            <w:r>
              <w:rPr>
                <w:rFonts w:cs="Calibri"/>
                <w:color w:val="000000"/>
                <w:lang w:val="en-US"/>
              </w:rPr>
              <w:t xml:space="preserve">2. </w:t>
            </w:r>
            <w:r w:rsidRPr="00CA703E">
              <w:rPr>
                <w:rFonts w:cs="Calibri"/>
                <w:color w:val="000000"/>
                <w:lang w:val="en-US"/>
              </w:rPr>
              <w:t>Financial corporations, nonfinancial corporations, households, and NPISHs</w:t>
            </w:r>
          </w:p>
        </w:tc>
        <w:tc>
          <w:tcPr>
            <w:tcW w:w="1560" w:type="dxa"/>
            <w:tcBorders>
              <w:top w:val="single" w:sz="4" w:space="0" w:color="5B9BD5"/>
              <w:left w:val="nil"/>
              <w:bottom w:val="single" w:sz="4" w:space="0" w:color="5B9BD5"/>
              <w:right w:val="single" w:sz="4" w:space="0" w:color="5B9BD5"/>
            </w:tcBorders>
            <w:shd w:val="clear" w:color="auto" w:fill="auto"/>
            <w:noWrap/>
            <w:vAlign w:val="center"/>
            <w:hideMark/>
          </w:tcPr>
          <w:p w:rsidR="00244E0E" w:rsidRPr="00244E0E" w:rsidRDefault="00244E0E" w:rsidP="00244E0E">
            <w:pPr>
              <w:jc w:val="center"/>
              <w:rPr>
                <w:rFonts w:asciiTheme="minorHAnsi" w:hAnsiTheme="minorHAnsi" w:cstheme="minorHAnsi"/>
                <w:color w:val="000000"/>
                <w:sz w:val="20"/>
                <w:szCs w:val="20"/>
              </w:rPr>
            </w:pPr>
            <w:r w:rsidRPr="00244E0E">
              <w:rPr>
                <w:rFonts w:asciiTheme="minorHAnsi" w:hAnsiTheme="minorHAnsi" w:cstheme="minorHAnsi"/>
                <w:color w:val="000000"/>
                <w:sz w:val="20"/>
                <w:szCs w:val="20"/>
              </w:rPr>
              <w:t>4 799,9</w:t>
            </w:r>
          </w:p>
        </w:tc>
        <w:tc>
          <w:tcPr>
            <w:tcW w:w="1416" w:type="dxa"/>
            <w:tcBorders>
              <w:top w:val="single" w:sz="4" w:space="0" w:color="5B9BD5"/>
              <w:left w:val="single" w:sz="4" w:space="0" w:color="5B9BD5"/>
              <w:bottom w:val="single" w:sz="4" w:space="0" w:color="5B9BD5"/>
              <w:right w:val="single" w:sz="4" w:space="0" w:color="5B9BD5"/>
            </w:tcBorders>
            <w:vAlign w:val="center"/>
          </w:tcPr>
          <w:p w:rsidR="00244E0E" w:rsidRPr="00244E0E" w:rsidRDefault="00244E0E" w:rsidP="00244E0E">
            <w:pPr>
              <w:jc w:val="center"/>
              <w:rPr>
                <w:rFonts w:asciiTheme="minorHAnsi" w:hAnsiTheme="minorHAnsi" w:cstheme="minorHAnsi"/>
                <w:color w:val="000000"/>
                <w:sz w:val="20"/>
                <w:szCs w:val="20"/>
              </w:rPr>
            </w:pPr>
            <w:r w:rsidRPr="00244E0E">
              <w:rPr>
                <w:rFonts w:asciiTheme="minorHAnsi" w:hAnsiTheme="minorHAnsi" w:cstheme="minorHAnsi"/>
                <w:color w:val="000000"/>
                <w:sz w:val="20"/>
                <w:szCs w:val="20"/>
              </w:rPr>
              <w:t>6 000,0</w:t>
            </w:r>
          </w:p>
        </w:tc>
        <w:tc>
          <w:tcPr>
            <w:tcW w:w="1337"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244E0E" w:rsidRPr="00244E0E" w:rsidRDefault="00244E0E" w:rsidP="00244E0E">
            <w:pPr>
              <w:jc w:val="center"/>
              <w:rPr>
                <w:rFonts w:asciiTheme="minorHAnsi" w:hAnsiTheme="minorHAnsi" w:cstheme="minorHAnsi"/>
                <w:color w:val="000000"/>
                <w:sz w:val="20"/>
                <w:szCs w:val="20"/>
              </w:rPr>
            </w:pPr>
            <w:r w:rsidRPr="00244E0E">
              <w:rPr>
                <w:rFonts w:asciiTheme="minorHAnsi" w:hAnsiTheme="minorHAnsi" w:cstheme="minorHAnsi"/>
                <w:color w:val="000000"/>
                <w:sz w:val="20"/>
                <w:szCs w:val="20"/>
              </w:rPr>
              <w:t>5 549,8</w:t>
            </w:r>
          </w:p>
        </w:tc>
      </w:tr>
      <w:tr w:rsidR="00244E0E" w:rsidRPr="00CA703E" w:rsidTr="00244E0E">
        <w:trPr>
          <w:trHeight w:val="651"/>
        </w:trPr>
        <w:tc>
          <w:tcPr>
            <w:tcW w:w="5812" w:type="dxa"/>
            <w:tcBorders>
              <w:top w:val="nil"/>
              <w:left w:val="single" w:sz="4" w:space="0" w:color="5B9BD5"/>
              <w:bottom w:val="single" w:sz="4" w:space="0" w:color="5B9BD5"/>
              <w:right w:val="single" w:sz="4" w:space="0" w:color="5B9BD5"/>
            </w:tcBorders>
            <w:shd w:val="clear" w:color="auto" w:fill="auto"/>
            <w:vAlign w:val="center"/>
            <w:hideMark/>
          </w:tcPr>
          <w:p w:rsidR="00244E0E" w:rsidRPr="00CA703E" w:rsidRDefault="00244E0E" w:rsidP="00244E0E">
            <w:pPr>
              <w:ind w:left="456"/>
              <w:rPr>
                <w:rFonts w:cs="Calibri"/>
                <w:color w:val="000000"/>
                <w:lang w:val="en-US"/>
              </w:rPr>
            </w:pPr>
            <w:r w:rsidRPr="00CA703E">
              <w:rPr>
                <w:rFonts w:cs="Calibri"/>
                <w:color w:val="000000"/>
                <w:lang w:val="en-US"/>
              </w:rPr>
              <w:t xml:space="preserve">Personal transfers (current transfers between resident and nonresident households) </w:t>
            </w:r>
          </w:p>
        </w:tc>
        <w:tc>
          <w:tcPr>
            <w:tcW w:w="1560" w:type="dxa"/>
            <w:tcBorders>
              <w:top w:val="single" w:sz="4" w:space="0" w:color="5B9BD5"/>
              <w:left w:val="nil"/>
              <w:bottom w:val="single" w:sz="4" w:space="0" w:color="5B9BD5"/>
              <w:right w:val="single" w:sz="4" w:space="0" w:color="5B9BD5"/>
            </w:tcBorders>
            <w:shd w:val="clear" w:color="auto" w:fill="auto"/>
            <w:vAlign w:val="center"/>
            <w:hideMark/>
          </w:tcPr>
          <w:p w:rsidR="00244E0E" w:rsidRPr="00244E0E" w:rsidRDefault="00244E0E" w:rsidP="00244E0E">
            <w:pPr>
              <w:jc w:val="center"/>
              <w:rPr>
                <w:rFonts w:asciiTheme="minorHAnsi" w:hAnsiTheme="minorHAnsi" w:cstheme="minorHAnsi"/>
                <w:color w:val="000000"/>
                <w:sz w:val="20"/>
                <w:szCs w:val="20"/>
              </w:rPr>
            </w:pPr>
            <w:r w:rsidRPr="00244E0E">
              <w:rPr>
                <w:rFonts w:asciiTheme="minorHAnsi" w:hAnsiTheme="minorHAnsi" w:cstheme="minorHAnsi"/>
                <w:color w:val="000000"/>
                <w:sz w:val="20"/>
                <w:szCs w:val="20"/>
              </w:rPr>
              <w:t>4 662,5</w:t>
            </w:r>
          </w:p>
        </w:tc>
        <w:tc>
          <w:tcPr>
            <w:tcW w:w="1416" w:type="dxa"/>
            <w:tcBorders>
              <w:top w:val="single" w:sz="4" w:space="0" w:color="5B9BD5"/>
              <w:left w:val="single" w:sz="4" w:space="0" w:color="5B9BD5"/>
              <w:bottom w:val="single" w:sz="4" w:space="0" w:color="5B9BD5"/>
              <w:right w:val="single" w:sz="4" w:space="0" w:color="5B9BD5"/>
            </w:tcBorders>
            <w:vAlign w:val="center"/>
          </w:tcPr>
          <w:p w:rsidR="00244E0E" w:rsidRPr="00244E0E" w:rsidRDefault="00244E0E" w:rsidP="00244E0E">
            <w:pPr>
              <w:jc w:val="center"/>
              <w:rPr>
                <w:rFonts w:asciiTheme="minorHAnsi" w:hAnsiTheme="minorHAnsi" w:cstheme="minorHAnsi"/>
                <w:color w:val="000000"/>
                <w:sz w:val="20"/>
                <w:szCs w:val="20"/>
              </w:rPr>
            </w:pPr>
            <w:r w:rsidRPr="00244E0E">
              <w:rPr>
                <w:rFonts w:asciiTheme="minorHAnsi" w:hAnsiTheme="minorHAnsi" w:cstheme="minorHAnsi"/>
                <w:color w:val="000000"/>
                <w:sz w:val="20"/>
                <w:szCs w:val="20"/>
              </w:rPr>
              <w:t>5 885,1</w:t>
            </w:r>
          </w:p>
        </w:tc>
        <w:tc>
          <w:tcPr>
            <w:tcW w:w="1337"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244E0E" w:rsidRPr="00244E0E" w:rsidRDefault="00244E0E" w:rsidP="00244E0E">
            <w:pPr>
              <w:jc w:val="center"/>
              <w:rPr>
                <w:rFonts w:asciiTheme="minorHAnsi" w:hAnsiTheme="minorHAnsi" w:cstheme="minorHAnsi"/>
                <w:color w:val="000000"/>
                <w:sz w:val="20"/>
                <w:szCs w:val="20"/>
              </w:rPr>
            </w:pPr>
            <w:r w:rsidRPr="00244E0E">
              <w:rPr>
                <w:rFonts w:asciiTheme="minorHAnsi" w:hAnsiTheme="minorHAnsi" w:cstheme="minorHAnsi"/>
                <w:color w:val="000000"/>
                <w:sz w:val="20"/>
                <w:szCs w:val="20"/>
              </w:rPr>
              <w:t>5 478,8</w:t>
            </w:r>
          </w:p>
        </w:tc>
      </w:tr>
      <w:tr w:rsidR="00244E0E" w:rsidRPr="00CA703E" w:rsidTr="00244E0E">
        <w:trPr>
          <w:trHeight w:val="397"/>
        </w:trPr>
        <w:tc>
          <w:tcPr>
            <w:tcW w:w="5812"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244E0E" w:rsidRPr="00CA703E" w:rsidRDefault="00244E0E" w:rsidP="00244E0E">
            <w:pPr>
              <w:ind w:left="456"/>
              <w:rPr>
                <w:rFonts w:cs="Calibri"/>
                <w:color w:val="000000"/>
              </w:rPr>
            </w:pPr>
            <w:r w:rsidRPr="00CA703E">
              <w:rPr>
                <w:rFonts w:cs="Calibri"/>
                <w:color w:val="000000"/>
              </w:rPr>
              <w:t>Other current transfers</w:t>
            </w:r>
          </w:p>
        </w:tc>
        <w:tc>
          <w:tcPr>
            <w:tcW w:w="1560" w:type="dxa"/>
            <w:tcBorders>
              <w:top w:val="single" w:sz="4" w:space="0" w:color="5B9BD5"/>
              <w:left w:val="nil"/>
              <w:bottom w:val="single" w:sz="4" w:space="0" w:color="5B9BD5"/>
              <w:right w:val="single" w:sz="4" w:space="0" w:color="5B9BD5"/>
            </w:tcBorders>
            <w:shd w:val="clear" w:color="auto" w:fill="auto"/>
            <w:vAlign w:val="center"/>
            <w:hideMark/>
          </w:tcPr>
          <w:p w:rsidR="00244E0E" w:rsidRPr="00244E0E" w:rsidRDefault="00244E0E" w:rsidP="00244E0E">
            <w:pPr>
              <w:jc w:val="center"/>
              <w:rPr>
                <w:rFonts w:asciiTheme="minorHAnsi" w:hAnsiTheme="minorHAnsi" w:cstheme="minorHAnsi"/>
                <w:color w:val="000000"/>
                <w:sz w:val="20"/>
                <w:szCs w:val="20"/>
              </w:rPr>
            </w:pPr>
            <w:r w:rsidRPr="00244E0E">
              <w:rPr>
                <w:rFonts w:asciiTheme="minorHAnsi" w:hAnsiTheme="minorHAnsi" w:cstheme="minorHAnsi"/>
                <w:color w:val="000000"/>
                <w:sz w:val="20"/>
                <w:szCs w:val="20"/>
              </w:rPr>
              <w:t>137,4</w:t>
            </w:r>
          </w:p>
        </w:tc>
        <w:tc>
          <w:tcPr>
            <w:tcW w:w="1416" w:type="dxa"/>
            <w:tcBorders>
              <w:top w:val="single" w:sz="4" w:space="0" w:color="5B9BD5"/>
              <w:left w:val="single" w:sz="4" w:space="0" w:color="5B9BD5"/>
              <w:bottom w:val="single" w:sz="4" w:space="0" w:color="5B9BD5"/>
              <w:right w:val="single" w:sz="4" w:space="0" w:color="5B9BD5"/>
            </w:tcBorders>
            <w:vAlign w:val="center"/>
          </w:tcPr>
          <w:p w:rsidR="00244E0E" w:rsidRPr="00244E0E" w:rsidRDefault="00244E0E" w:rsidP="00244E0E">
            <w:pPr>
              <w:jc w:val="center"/>
              <w:rPr>
                <w:rFonts w:asciiTheme="minorHAnsi" w:hAnsiTheme="minorHAnsi" w:cstheme="minorHAnsi"/>
                <w:color w:val="000000"/>
                <w:sz w:val="20"/>
                <w:szCs w:val="20"/>
              </w:rPr>
            </w:pPr>
            <w:r w:rsidRPr="00244E0E">
              <w:rPr>
                <w:rFonts w:asciiTheme="minorHAnsi" w:hAnsiTheme="minorHAnsi" w:cstheme="minorHAnsi"/>
                <w:color w:val="000000"/>
                <w:sz w:val="20"/>
                <w:szCs w:val="20"/>
              </w:rPr>
              <w:t>114,9</w:t>
            </w:r>
          </w:p>
        </w:tc>
        <w:tc>
          <w:tcPr>
            <w:tcW w:w="1337"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244E0E" w:rsidRPr="00244E0E" w:rsidRDefault="00244E0E" w:rsidP="00244E0E">
            <w:pPr>
              <w:jc w:val="center"/>
              <w:rPr>
                <w:rFonts w:asciiTheme="minorHAnsi" w:hAnsiTheme="minorHAnsi" w:cstheme="minorHAnsi"/>
                <w:color w:val="000000"/>
                <w:sz w:val="20"/>
                <w:szCs w:val="20"/>
              </w:rPr>
            </w:pPr>
            <w:r w:rsidRPr="00244E0E">
              <w:rPr>
                <w:rFonts w:asciiTheme="minorHAnsi" w:hAnsiTheme="minorHAnsi" w:cstheme="minorHAnsi"/>
                <w:color w:val="000000"/>
                <w:sz w:val="20"/>
                <w:szCs w:val="20"/>
              </w:rPr>
              <w:t>71,0</w:t>
            </w:r>
          </w:p>
        </w:tc>
      </w:tr>
      <w:tr w:rsidR="00244E0E" w:rsidRPr="00CA703E" w:rsidTr="00244E0E">
        <w:trPr>
          <w:trHeight w:val="319"/>
        </w:trPr>
        <w:tc>
          <w:tcPr>
            <w:tcW w:w="5812" w:type="dxa"/>
            <w:tcBorders>
              <w:top w:val="single" w:sz="4" w:space="0" w:color="5B9BD5"/>
              <w:bottom w:val="single" w:sz="4" w:space="0" w:color="5B9BD5"/>
            </w:tcBorders>
            <w:shd w:val="clear" w:color="auto" w:fill="auto"/>
            <w:noWrap/>
            <w:vAlign w:val="center"/>
            <w:hideMark/>
          </w:tcPr>
          <w:p w:rsidR="00244E0E" w:rsidRPr="00CA703E" w:rsidRDefault="00244E0E" w:rsidP="008124A4">
            <w:pPr>
              <w:ind w:firstLineChars="200" w:firstLine="480"/>
              <w:rPr>
                <w:rFonts w:cs="Calibri"/>
                <w:color w:val="000000"/>
              </w:rPr>
            </w:pPr>
            <w:r w:rsidRPr="00CA703E">
              <w:rPr>
                <w:rFonts w:cs="Calibri"/>
                <w:color w:val="000000"/>
              </w:rPr>
              <w:t> </w:t>
            </w:r>
          </w:p>
        </w:tc>
        <w:tc>
          <w:tcPr>
            <w:tcW w:w="1560" w:type="dxa"/>
            <w:tcBorders>
              <w:top w:val="single" w:sz="4" w:space="0" w:color="5B9BD5"/>
              <w:bottom w:val="single" w:sz="4" w:space="0" w:color="5B9BD5"/>
            </w:tcBorders>
            <w:shd w:val="clear" w:color="auto" w:fill="auto"/>
            <w:vAlign w:val="center"/>
            <w:hideMark/>
          </w:tcPr>
          <w:p w:rsidR="00244E0E" w:rsidRPr="006D0893" w:rsidRDefault="00244E0E" w:rsidP="008124A4">
            <w:pPr>
              <w:jc w:val="center"/>
              <w:rPr>
                <w:rFonts w:cs="Calibri"/>
                <w:color w:val="000000"/>
              </w:rPr>
            </w:pPr>
          </w:p>
        </w:tc>
        <w:tc>
          <w:tcPr>
            <w:tcW w:w="1416" w:type="dxa"/>
            <w:tcBorders>
              <w:top w:val="single" w:sz="4" w:space="0" w:color="5B9BD5"/>
              <w:bottom w:val="single" w:sz="4" w:space="0" w:color="5B9BD5"/>
            </w:tcBorders>
          </w:tcPr>
          <w:p w:rsidR="00244E0E" w:rsidRPr="006D0893" w:rsidRDefault="00244E0E" w:rsidP="008124A4">
            <w:pPr>
              <w:jc w:val="center"/>
              <w:rPr>
                <w:rFonts w:cs="Calibri"/>
                <w:color w:val="000000"/>
              </w:rPr>
            </w:pPr>
          </w:p>
        </w:tc>
        <w:tc>
          <w:tcPr>
            <w:tcW w:w="1337" w:type="dxa"/>
            <w:tcBorders>
              <w:top w:val="single" w:sz="4" w:space="0" w:color="5B9BD5"/>
              <w:bottom w:val="single" w:sz="4" w:space="0" w:color="5B9BD5"/>
            </w:tcBorders>
            <w:shd w:val="clear" w:color="auto" w:fill="auto"/>
            <w:vAlign w:val="center"/>
            <w:hideMark/>
          </w:tcPr>
          <w:p w:rsidR="00244E0E" w:rsidRPr="006D0893" w:rsidRDefault="00244E0E" w:rsidP="008124A4">
            <w:pPr>
              <w:jc w:val="center"/>
              <w:rPr>
                <w:rFonts w:cs="Calibri"/>
                <w:color w:val="000000"/>
              </w:rPr>
            </w:pPr>
          </w:p>
        </w:tc>
      </w:tr>
      <w:tr w:rsidR="00244E0E" w:rsidRPr="00CA703E" w:rsidTr="007F6743">
        <w:trPr>
          <w:trHeight w:val="397"/>
        </w:trPr>
        <w:tc>
          <w:tcPr>
            <w:tcW w:w="5812" w:type="dxa"/>
            <w:tcBorders>
              <w:top w:val="single" w:sz="4" w:space="0" w:color="5B9BD5"/>
              <w:left w:val="single" w:sz="4" w:space="0" w:color="5B9BD5"/>
              <w:bottom w:val="single" w:sz="4" w:space="0" w:color="5B9BD5"/>
              <w:right w:val="single" w:sz="4" w:space="0" w:color="5B9BD5"/>
            </w:tcBorders>
            <w:shd w:val="clear" w:color="000000" w:fill="BDD7EE"/>
            <w:noWrap/>
            <w:vAlign w:val="center"/>
            <w:hideMark/>
          </w:tcPr>
          <w:p w:rsidR="00244E0E" w:rsidRPr="00CA703E" w:rsidRDefault="00244E0E" w:rsidP="00244E0E">
            <w:pPr>
              <w:rPr>
                <w:rFonts w:cs="Calibri"/>
                <w:b/>
                <w:bCs/>
                <w:color w:val="000000"/>
              </w:rPr>
            </w:pPr>
            <w:r w:rsidRPr="00CA703E">
              <w:rPr>
                <w:rFonts w:cs="Calibri"/>
                <w:b/>
                <w:bCs/>
                <w:color w:val="000000"/>
              </w:rPr>
              <w:t>II. Debits</w:t>
            </w:r>
          </w:p>
        </w:tc>
        <w:tc>
          <w:tcPr>
            <w:tcW w:w="1560" w:type="dxa"/>
            <w:tcBorders>
              <w:top w:val="single" w:sz="4" w:space="0" w:color="5B9BD5"/>
              <w:left w:val="nil"/>
              <w:bottom w:val="single" w:sz="4" w:space="0" w:color="5B9BD5"/>
              <w:right w:val="single" w:sz="4" w:space="0" w:color="5B9BD5"/>
            </w:tcBorders>
            <w:shd w:val="clear" w:color="000000" w:fill="BDD7EE"/>
            <w:noWrap/>
            <w:vAlign w:val="center"/>
            <w:hideMark/>
          </w:tcPr>
          <w:p w:rsidR="00244E0E" w:rsidRPr="00C92486" w:rsidRDefault="00244E0E" w:rsidP="00244E0E">
            <w:pPr>
              <w:jc w:val="center"/>
              <w:rPr>
                <w:rFonts w:asciiTheme="minorHAnsi" w:hAnsiTheme="minorHAnsi" w:cstheme="minorHAnsi"/>
                <w:b/>
                <w:bCs/>
                <w:color w:val="000000"/>
                <w:sz w:val="20"/>
                <w:szCs w:val="20"/>
              </w:rPr>
            </w:pPr>
            <w:r w:rsidRPr="00C92486">
              <w:rPr>
                <w:rFonts w:asciiTheme="minorHAnsi" w:hAnsiTheme="minorHAnsi" w:cstheme="minorHAnsi"/>
                <w:b/>
                <w:bCs/>
                <w:color w:val="000000"/>
                <w:sz w:val="20"/>
                <w:szCs w:val="20"/>
              </w:rPr>
              <w:t>615,2</w:t>
            </w:r>
          </w:p>
        </w:tc>
        <w:tc>
          <w:tcPr>
            <w:tcW w:w="1416" w:type="dxa"/>
            <w:tcBorders>
              <w:top w:val="single" w:sz="4" w:space="0" w:color="5B9BD5"/>
              <w:left w:val="single" w:sz="4" w:space="0" w:color="5B9BD5"/>
              <w:bottom w:val="single" w:sz="4" w:space="0" w:color="5B9BD5"/>
              <w:right w:val="single" w:sz="4" w:space="0" w:color="5B9BD5"/>
            </w:tcBorders>
            <w:shd w:val="clear" w:color="000000" w:fill="BDD7EE"/>
            <w:vAlign w:val="center"/>
          </w:tcPr>
          <w:p w:rsidR="00244E0E" w:rsidRPr="00C92486" w:rsidRDefault="00244E0E" w:rsidP="00244E0E">
            <w:pPr>
              <w:jc w:val="center"/>
              <w:rPr>
                <w:rFonts w:asciiTheme="minorHAnsi" w:hAnsiTheme="minorHAnsi" w:cstheme="minorHAnsi"/>
                <w:b/>
                <w:bCs/>
                <w:color w:val="000000"/>
                <w:sz w:val="20"/>
                <w:szCs w:val="20"/>
              </w:rPr>
            </w:pPr>
            <w:r w:rsidRPr="00C92486">
              <w:rPr>
                <w:rFonts w:asciiTheme="minorHAnsi" w:hAnsiTheme="minorHAnsi" w:cstheme="minorHAnsi"/>
                <w:b/>
                <w:bCs/>
                <w:color w:val="000000"/>
                <w:sz w:val="20"/>
                <w:szCs w:val="20"/>
              </w:rPr>
              <w:t>585,7</w:t>
            </w:r>
          </w:p>
        </w:tc>
        <w:tc>
          <w:tcPr>
            <w:tcW w:w="1337" w:type="dxa"/>
            <w:tcBorders>
              <w:top w:val="single" w:sz="4" w:space="0" w:color="5B9BD5"/>
              <w:left w:val="single" w:sz="4" w:space="0" w:color="5B9BD5"/>
              <w:bottom w:val="single" w:sz="4" w:space="0" w:color="5B9BD5"/>
              <w:right w:val="single" w:sz="4" w:space="0" w:color="5B9BD5"/>
            </w:tcBorders>
            <w:shd w:val="clear" w:color="000000" w:fill="BDD7EE"/>
            <w:noWrap/>
            <w:vAlign w:val="center"/>
            <w:hideMark/>
          </w:tcPr>
          <w:p w:rsidR="00244E0E" w:rsidRPr="00C92486" w:rsidRDefault="00244E0E" w:rsidP="00244E0E">
            <w:pPr>
              <w:jc w:val="center"/>
              <w:rPr>
                <w:rFonts w:asciiTheme="minorHAnsi" w:hAnsiTheme="minorHAnsi" w:cstheme="minorHAnsi"/>
                <w:b/>
                <w:bCs/>
                <w:color w:val="000000"/>
                <w:sz w:val="20"/>
                <w:szCs w:val="20"/>
              </w:rPr>
            </w:pPr>
            <w:r w:rsidRPr="00C92486">
              <w:rPr>
                <w:rFonts w:asciiTheme="minorHAnsi" w:hAnsiTheme="minorHAnsi" w:cstheme="minorHAnsi"/>
                <w:b/>
                <w:bCs/>
                <w:color w:val="000000"/>
                <w:sz w:val="20"/>
                <w:szCs w:val="20"/>
              </w:rPr>
              <w:t>445,3</w:t>
            </w:r>
          </w:p>
        </w:tc>
      </w:tr>
      <w:tr w:rsidR="00244E0E" w:rsidRPr="00CA703E" w:rsidTr="007F6743">
        <w:trPr>
          <w:trHeight w:val="397"/>
        </w:trPr>
        <w:tc>
          <w:tcPr>
            <w:tcW w:w="5812" w:type="dxa"/>
            <w:tcBorders>
              <w:top w:val="nil"/>
              <w:left w:val="single" w:sz="4" w:space="0" w:color="5B9BD5"/>
              <w:bottom w:val="single" w:sz="4" w:space="0" w:color="5B9BD5"/>
              <w:right w:val="single" w:sz="4" w:space="0" w:color="5B9BD5"/>
            </w:tcBorders>
            <w:shd w:val="clear" w:color="auto" w:fill="auto"/>
            <w:noWrap/>
            <w:vAlign w:val="center"/>
            <w:hideMark/>
          </w:tcPr>
          <w:p w:rsidR="00244E0E" w:rsidRPr="00CA703E" w:rsidRDefault="00244E0E" w:rsidP="00244E0E">
            <w:pPr>
              <w:ind w:left="172"/>
              <w:rPr>
                <w:rFonts w:cs="Calibri"/>
                <w:color w:val="000000"/>
              </w:rPr>
            </w:pPr>
            <w:r w:rsidRPr="00CA703E">
              <w:rPr>
                <w:rFonts w:cs="Calibri"/>
                <w:color w:val="000000"/>
              </w:rPr>
              <w:t>1. Government units</w:t>
            </w:r>
          </w:p>
        </w:tc>
        <w:tc>
          <w:tcPr>
            <w:tcW w:w="1560" w:type="dxa"/>
            <w:tcBorders>
              <w:top w:val="single" w:sz="4" w:space="0" w:color="5B9BD5"/>
              <w:left w:val="nil"/>
              <w:bottom w:val="single" w:sz="4" w:space="0" w:color="5B9BD5"/>
              <w:right w:val="single" w:sz="4" w:space="0" w:color="5B9BD5"/>
            </w:tcBorders>
            <w:shd w:val="clear" w:color="auto" w:fill="auto"/>
            <w:vAlign w:val="center"/>
            <w:hideMark/>
          </w:tcPr>
          <w:p w:rsidR="00244E0E" w:rsidRPr="00C92486" w:rsidRDefault="00244E0E" w:rsidP="00244E0E">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12,7</w:t>
            </w:r>
          </w:p>
        </w:tc>
        <w:tc>
          <w:tcPr>
            <w:tcW w:w="1416" w:type="dxa"/>
            <w:tcBorders>
              <w:top w:val="single" w:sz="4" w:space="0" w:color="5B9BD5"/>
              <w:left w:val="single" w:sz="4" w:space="0" w:color="5B9BD5"/>
              <w:bottom w:val="single" w:sz="4" w:space="0" w:color="5B9BD5"/>
              <w:right w:val="single" w:sz="4" w:space="0" w:color="5B9BD5"/>
            </w:tcBorders>
            <w:vAlign w:val="center"/>
          </w:tcPr>
          <w:p w:rsidR="00244E0E" w:rsidRPr="00C92486" w:rsidRDefault="00244E0E" w:rsidP="00244E0E">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17,0</w:t>
            </w:r>
          </w:p>
        </w:tc>
        <w:tc>
          <w:tcPr>
            <w:tcW w:w="1337"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244E0E" w:rsidRPr="00C92486" w:rsidRDefault="00244E0E" w:rsidP="00244E0E">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8,0</w:t>
            </w:r>
          </w:p>
        </w:tc>
      </w:tr>
      <w:tr w:rsidR="00244E0E" w:rsidRPr="00CA703E" w:rsidTr="007F6743">
        <w:trPr>
          <w:trHeight w:val="614"/>
        </w:trPr>
        <w:tc>
          <w:tcPr>
            <w:tcW w:w="5812" w:type="dxa"/>
            <w:tcBorders>
              <w:top w:val="nil"/>
              <w:left w:val="single" w:sz="4" w:space="0" w:color="5B9BD5"/>
              <w:bottom w:val="single" w:sz="4" w:space="0" w:color="5B9BD5"/>
              <w:right w:val="single" w:sz="4" w:space="0" w:color="5B9BD5"/>
            </w:tcBorders>
            <w:shd w:val="clear" w:color="auto" w:fill="auto"/>
            <w:vAlign w:val="center"/>
            <w:hideMark/>
          </w:tcPr>
          <w:p w:rsidR="00244E0E" w:rsidRPr="00CA703E" w:rsidRDefault="00244E0E" w:rsidP="00244E0E">
            <w:pPr>
              <w:ind w:left="172"/>
              <w:rPr>
                <w:rFonts w:cs="Calibri"/>
                <w:color w:val="000000"/>
                <w:lang w:val="en-US"/>
              </w:rPr>
            </w:pPr>
            <w:r w:rsidRPr="00CA703E">
              <w:rPr>
                <w:rFonts w:cs="Calibri"/>
                <w:color w:val="000000"/>
                <w:lang w:val="en-US"/>
              </w:rPr>
              <w:t>2. Financial corporations, nonfinancial corporations, households, and NPISHs</w:t>
            </w:r>
          </w:p>
        </w:tc>
        <w:tc>
          <w:tcPr>
            <w:tcW w:w="1560" w:type="dxa"/>
            <w:tcBorders>
              <w:top w:val="single" w:sz="4" w:space="0" w:color="5B9BD5"/>
              <w:left w:val="nil"/>
              <w:bottom w:val="single" w:sz="4" w:space="0" w:color="5B9BD5"/>
              <w:right w:val="single" w:sz="4" w:space="0" w:color="5B9BD5"/>
            </w:tcBorders>
            <w:shd w:val="clear" w:color="auto" w:fill="auto"/>
            <w:noWrap/>
            <w:vAlign w:val="center"/>
            <w:hideMark/>
          </w:tcPr>
          <w:p w:rsidR="00244E0E" w:rsidRPr="00C92486" w:rsidRDefault="00244E0E" w:rsidP="00244E0E">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602,5</w:t>
            </w:r>
          </w:p>
        </w:tc>
        <w:tc>
          <w:tcPr>
            <w:tcW w:w="1416" w:type="dxa"/>
            <w:tcBorders>
              <w:top w:val="single" w:sz="4" w:space="0" w:color="5B9BD5"/>
              <w:left w:val="single" w:sz="4" w:space="0" w:color="5B9BD5"/>
              <w:bottom w:val="single" w:sz="4" w:space="0" w:color="5B9BD5"/>
              <w:right w:val="single" w:sz="4" w:space="0" w:color="5B9BD5"/>
            </w:tcBorders>
            <w:vAlign w:val="center"/>
          </w:tcPr>
          <w:p w:rsidR="00244E0E" w:rsidRPr="00C92486" w:rsidRDefault="00244E0E" w:rsidP="00244E0E">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568,7</w:t>
            </w:r>
          </w:p>
        </w:tc>
        <w:tc>
          <w:tcPr>
            <w:tcW w:w="1337"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244E0E" w:rsidRPr="00C92486" w:rsidRDefault="00244E0E" w:rsidP="00244E0E">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437,3</w:t>
            </w:r>
          </w:p>
        </w:tc>
      </w:tr>
      <w:tr w:rsidR="00244E0E" w:rsidRPr="00CA703E" w:rsidTr="007F6743">
        <w:trPr>
          <w:trHeight w:val="708"/>
        </w:trPr>
        <w:tc>
          <w:tcPr>
            <w:tcW w:w="5812" w:type="dxa"/>
            <w:tcBorders>
              <w:top w:val="nil"/>
              <w:left w:val="single" w:sz="4" w:space="0" w:color="5B9BD5"/>
              <w:bottom w:val="single" w:sz="4" w:space="0" w:color="5B9BD5"/>
              <w:right w:val="single" w:sz="4" w:space="0" w:color="5B9BD5"/>
            </w:tcBorders>
            <w:shd w:val="clear" w:color="auto" w:fill="auto"/>
            <w:vAlign w:val="center"/>
            <w:hideMark/>
          </w:tcPr>
          <w:p w:rsidR="00244E0E" w:rsidRPr="00CA703E" w:rsidRDefault="00244E0E" w:rsidP="00244E0E">
            <w:pPr>
              <w:ind w:left="456"/>
              <w:rPr>
                <w:rFonts w:cs="Calibri"/>
                <w:color w:val="000000"/>
                <w:lang w:val="en-US"/>
              </w:rPr>
            </w:pPr>
            <w:r w:rsidRPr="00CA703E">
              <w:rPr>
                <w:rFonts w:cs="Calibri"/>
                <w:color w:val="000000"/>
                <w:lang w:val="en-US"/>
              </w:rPr>
              <w:t>Personal transfers (current transfers between resident and nonresident households)</w:t>
            </w:r>
          </w:p>
        </w:tc>
        <w:tc>
          <w:tcPr>
            <w:tcW w:w="1560" w:type="dxa"/>
            <w:tcBorders>
              <w:top w:val="single" w:sz="4" w:space="0" w:color="5B9BD5"/>
              <w:left w:val="nil"/>
              <w:bottom w:val="single" w:sz="4" w:space="0" w:color="5B9BD5"/>
              <w:right w:val="single" w:sz="4" w:space="0" w:color="5B9BD5"/>
            </w:tcBorders>
            <w:shd w:val="clear" w:color="auto" w:fill="auto"/>
            <w:vAlign w:val="center"/>
            <w:hideMark/>
          </w:tcPr>
          <w:p w:rsidR="00244E0E" w:rsidRPr="00C92486" w:rsidRDefault="00244E0E" w:rsidP="00244E0E">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219,7</w:t>
            </w:r>
          </w:p>
        </w:tc>
        <w:tc>
          <w:tcPr>
            <w:tcW w:w="1416" w:type="dxa"/>
            <w:tcBorders>
              <w:top w:val="single" w:sz="4" w:space="0" w:color="5B9BD5"/>
              <w:left w:val="single" w:sz="4" w:space="0" w:color="5B9BD5"/>
              <w:bottom w:val="single" w:sz="4" w:space="0" w:color="5B9BD5"/>
              <w:right w:val="single" w:sz="4" w:space="0" w:color="5B9BD5"/>
            </w:tcBorders>
            <w:vAlign w:val="center"/>
          </w:tcPr>
          <w:p w:rsidR="00244E0E" w:rsidRPr="00C92486" w:rsidRDefault="00244E0E" w:rsidP="00244E0E">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223,4</w:t>
            </w:r>
          </w:p>
        </w:tc>
        <w:tc>
          <w:tcPr>
            <w:tcW w:w="1337"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244E0E" w:rsidRPr="00C92486" w:rsidRDefault="00244E0E" w:rsidP="00244E0E">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235,9</w:t>
            </w:r>
          </w:p>
        </w:tc>
      </w:tr>
      <w:tr w:rsidR="00244E0E" w:rsidRPr="00CA703E" w:rsidTr="007F6743">
        <w:trPr>
          <w:trHeight w:val="397"/>
        </w:trPr>
        <w:tc>
          <w:tcPr>
            <w:tcW w:w="5812" w:type="dxa"/>
            <w:tcBorders>
              <w:top w:val="nil"/>
              <w:left w:val="single" w:sz="4" w:space="0" w:color="5B9BD5"/>
              <w:bottom w:val="single" w:sz="4" w:space="0" w:color="5B9BD5"/>
              <w:right w:val="single" w:sz="4" w:space="0" w:color="5B9BD5"/>
            </w:tcBorders>
            <w:shd w:val="clear" w:color="auto" w:fill="auto"/>
            <w:noWrap/>
            <w:vAlign w:val="center"/>
            <w:hideMark/>
          </w:tcPr>
          <w:p w:rsidR="00244E0E" w:rsidRPr="00CA703E" w:rsidRDefault="00244E0E" w:rsidP="00244E0E">
            <w:pPr>
              <w:ind w:left="456"/>
              <w:rPr>
                <w:rFonts w:cs="Calibri"/>
                <w:color w:val="000000"/>
              </w:rPr>
            </w:pPr>
            <w:r w:rsidRPr="00CA703E">
              <w:rPr>
                <w:rFonts w:cs="Calibri"/>
                <w:color w:val="000000"/>
              </w:rPr>
              <w:t>Other current transfers</w:t>
            </w:r>
          </w:p>
        </w:tc>
        <w:tc>
          <w:tcPr>
            <w:tcW w:w="1560" w:type="dxa"/>
            <w:tcBorders>
              <w:top w:val="single" w:sz="4" w:space="0" w:color="5B9BD5"/>
              <w:left w:val="nil"/>
              <w:bottom w:val="single" w:sz="4" w:space="0" w:color="5B9BD5"/>
              <w:right w:val="single" w:sz="4" w:space="0" w:color="5B9BD5"/>
            </w:tcBorders>
            <w:shd w:val="clear" w:color="auto" w:fill="auto"/>
            <w:vAlign w:val="center"/>
            <w:hideMark/>
          </w:tcPr>
          <w:p w:rsidR="00244E0E" w:rsidRPr="00C92486" w:rsidRDefault="00244E0E" w:rsidP="00244E0E">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382,8</w:t>
            </w:r>
          </w:p>
        </w:tc>
        <w:tc>
          <w:tcPr>
            <w:tcW w:w="1416" w:type="dxa"/>
            <w:tcBorders>
              <w:top w:val="single" w:sz="4" w:space="0" w:color="5B9BD5"/>
              <w:left w:val="single" w:sz="4" w:space="0" w:color="5B9BD5"/>
              <w:bottom w:val="single" w:sz="4" w:space="0" w:color="5B9BD5"/>
              <w:right w:val="single" w:sz="4" w:space="0" w:color="5B9BD5"/>
            </w:tcBorders>
            <w:vAlign w:val="center"/>
          </w:tcPr>
          <w:p w:rsidR="00244E0E" w:rsidRPr="00C92486" w:rsidRDefault="00244E0E" w:rsidP="00244E0E">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345,4</w:t>
            </w:r>
          </w:p>
        </w:tc>
        <w:tc>
          <w:tcPr>
            <w:tcW w:w="1337"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244E0E" w:rsidRPr="00C92486" w:rsidRDefault="00244E0E" w:rsidP="00244E0E">
            <w:pPr>
              <w:jc w:val="center"/>
              <w:rPr>
                <w:rFonts w:asciiTheme="minorHAnsi" w:hAnsiTheme="minorHAnsi" w:cstheme="minorHAnsi"/>
                <w:color w:val="000000"/>
                <w:sz w:val="20"/>
                <w:szCs w:val="20"/>
              </w:rPr>
            </w:pPr>
            <w:r w:rsidRPr="00C92486">
              <w:rPr>
                <w:rFonts w:asciiTheme="minorHAnsi" w:hAnsiTheme="minorHAnsi" w:cstheme="minorHAnsi"/>
                <w:color w:val="000000"/>
                <w:sz w:val="20"/>
                <w:szCs w:val="20"/>
              </w:rPr>
              <w:t>201,5</w:t>
            </w:r>
          </w:p>
        </w:tc>
      </w:tr>
    </w:tbl>
    <w:p w:rsidR="009304D9" w:rsidRPr="00F45A80" w:rsidRDefault="009304D9" w:rsidP="009304D9">
      <w:pPr>
        <w:jc w:val="both"/>
        <w:rPr>
          <w:lang w:val="en-US"/>
        </w:rPr>
      </w:pPr>
    </w:p>
    <w:p w:rsidR="009304D9" w:rsidRPr="00F45A80" w:rsidRDefault="009304D9" w:rsidP="009304D9">
      <w:pPr>
        <w:jc w:val="both"/>
        <w:rPr>
          <w:rFonts w:cs="Arial"/>
          <w:lang w:val="en-US"/>
        </w:rPr>
        <w:sectPr w:rsidR="009304D9" w:rsidRPr="00F45A80" w:rsidSect="00A835D8">
          <w:pgSz w:w="11906" w:h="16838" w:code="9"/>
          <w:pgMar w:top="737" w:right="567" w:bottom="1531" w:left="709" w:header="709" w:footer="709" w:gutter="0"/>
          <w:cols w:space="708"/>
          <w:titlePg/>
          <w:docGrid w:linePitch="360"/>
        </w:sectPr>
      </w:pPr>
    </w:p>
    <w:p w:rsidR="009304D9" w:rsidRPr="00ED5572" w:rsidRDefault="009304D9" w:rsidP="009304D9">
      <w:pPr>
        <w:ind w:right="54"/>
        <w:jc w:val="right"/>
        <w:rPr>
          <w:i/>
          <w:sz w:val="22"/>
          <w:szCs w:val="22"/>
          <w:lang w:val="uz-Cyrl-UZ"/>
        </w:rPr>
      </w:pPr>
      <w:r w:rsidRPr="00ED5572">
        <w:rPr>
          <w:i/>
          <w:sz w:val="22"/>
          <w:szCs w:val="22"/>
          <w:lang w:val="en-US"/>
        </w:rPr>
        <w:lastRenderedPageBreak/>
        <w:t>Addenda 1</w:t>
      </w:r>
      <w:r w:rsidR="00FA4977">
        <w:rPr>
          <w:i/>
          <w:sz w:val="22"/>
          <w:szCs w:val="22"/>
          <w:lang w:val="en-US"/>
        </w:rPr>
        <w:t>2</w:t>
      </w:r>
    </w:p>
    <w:p w:rsidR="009304D9" w:rsidRPr="00B30F70" w:rsidRDefault="00357263" w:rsidP="009304D9">
      <w:pPr>
        <w:pStyle w:val="1"/>
        <w:ind w:left="34"/>
        <w:jc w:val="center"/>
        <w:rPr>
          <w:rFonts w:ascii="Calibri" w:hAnsi="Calibri"/>
          <w:sz w:val="26"/>
          <w:szCs w:val="26"/>
          <w:lang w:val="en-US"/>
        </w:rPr>
      </w:pPr>
      <w:bookmarkStart w:id="35" w:name="_Toc19615966"/>
      <w:bookmarkStart w:id="36" w:name="_Toc67050812"/>
      <w:r>
        <w:rPr>
          <w:rFonts w:ascii="Calibri" w:hAnsi="Calibri" w:cs="Calibri"/>
          <w:sz w:val="26"/>
          <w:szCs w:val="26"/>
          <w:lang w:val="en-US" w:eastAsia="ru-RU"/>
        </w:rPr>
        <w:t xml:space="preserve">NET </w:t>
      </w:r>
      <w:r w:rsidR="009304D9" w:rsidRPr="00B30F70">
        <w:rPr>
          <w:rFonts w:ascii="Calibri" w:hAnsi="Calibri" w:cs="Calibri"/>
          <w:sz w:val="26"/>
          <w:szCs w:val="26"/>
          <w:lang w:val="en-US" w:eastAsia="ru-RU"/>
        </w:rPr>
        <w:t xml:space="preserve">INFLOWS OF FOREIGN DIRECT INVESTMENT </w:t>
      </w:r>
      <w:r w:rsidR="005A353C">
        <w:rPr>
          <w:rFonts w:ascii="Calibri" w:hAnsi="Calibri" w:cs="Calibri"/>
          <w:sz w:val="26"/>
          <w:szCs w:val="26"/>
          <w:lang w:val="en-US" w:eastAsia="ru-RU"/>
        </w:rPr>
        <w:t>FOR</w:t>
      </w:r>
      <w:r w:rsidR="009304D9" w:rsidRPr="00B30F70">
        <w:rPr>
          <w:rFonts w:ascii="Calibri" w:hAnsi="Calibri" w:cs="Calibri"/>
          <w:sz w:val="26"/>
          <w:szCs w:val="26"/>
          <w:lang w:val="en-US" w:eastAsia="ru-RU"/>
        </w:rPr>
        <w:t xml:space="preserve"> </w:t>
      </w:r>
      <w:r w:rsidR="009304D9" w:rsidRPr="00B30F70">
        <w:rPr>
          <w:rFonts w:ascii="Calibri" w:hAnsi="Calibri" w:cs="Calibri"/>
          <w:sz w:val="26"/>
          <w:szCs w:val="26"/>
          <w:lang w:val="en-US"/>
        </w:rPr>
        <w:t>201</w:t>
      </w:r>
      <w:r w:rsidR="00FB7B75">
        <w:rPr>
          <w:rFonts w:ascii="Calibri" w:hAnsi="Calibri" w:cs="Calibri"/>
          <w:sz w:val="26"/>
          <w:szCs w:val="26"/>
          <w:lang w:val="en-US"/>
        </w:rPr>
        <w:t>9</w:t>
      </w:r>
      <w:r w:rsidR="00B33C6E">
        <w:rPr>
          <w:rFonts w:ascii="Calibri" w:hAnsi="Calibri" w:cs="Calibri"/>
          <w:sz w:val="26"/>
          <w:szCs w:val="26"/>
          <w:lang w:val="en-US"/>
        </w:rPr>
        <w:t xml:space="preserve"> AND </w:t>
      </w:r>
      <w:r w:rsidR="009304D9" w:rsidRPr="00B30F70">
        <w:rPr>
          <w:rFonts w:ascii="Calibri" w:hAnsi="Calibri" w:cs="Calibri"/>
          <w:sz w:val="26"/>
          <w:szCs w:val="26"/>
          <w:lang w:val="en-US"/>
        </w:rPr>
        <w:t>20</w:t>
      </w:r>
      <w:r w:rsidR="00FB7B75">
        <w:rPr>
          <w:rFonts w:ascii="Calibri" w:hAnsi="Calibri" w:cs="Calibri"/>
          <w:sz w:val="26"/>
          <w:szCs w:val="26"/>
          <w:lang w:val="en-US"/>
        </w:rPr>
        <w:t>20</w:t>
      </w:r>
      <w:r w:rsidR="009304D9" w:rsidRPr="00B30F70">
        <w:rPr>
          <w:rFonts w:ascii="Calibri" w:hAnsi="Calibri" w:cs="Calibri"/>
          <w:sz w:val="26"/>
          <w:szCs w:val="26"/>
          <w:lang w:val="en-US"/>
        </w:rPr>
        <w:t>*</w:t>
      </w:r>
      <w:bookmarkEnd w:id="35"/>
      <w:bookmarkEnd w:id="36"/>
    </w:p>
    <w:p w:rsidR="00AD030C" w:rsidRDefault="00AD030C" w:rsidP="00E6277C">
      <w:pPr>
        <w:ind w:right="-88"/>
        <w:jc w:val="right"/>
        <w:rPr>
          <w:i/>
          <w:sz w:val="20"/>
          <w:szCs w:val="20"/>
          <w:lang w:val="en-US"/>
        </w:rPr>
      </w:pPr>
    </w:p>
    <w:p w:rsidR="009304D9" w:rsidRDefault="009304D9" w:rsidP="00E6277C">
      <w:pPr>
        <w:ind w:right="-88"/>
        <w:jc w:val="right"/>
        <w:rPr>
          <w:i/>
          <w:sz w:val="20"/>
          <w:szCs w:val="20"/>
          <w:lang w:val="en-US"/>
        </w:rPr>
      </w:pPr>
      <w:r w:rsidRPr="00F45A80">
        <w:rPr>
          <w:i/>
          <w:sz w:val="20"/>
          <w:szCs w:val="20"/>
          <w:lang w:val="en-US"/>
        </w:rPr>
        <w:t>(mln. USD)</w:t>
      </w:r>
    </w:p>
    <w:tbl>
      <w:tblPr>
        <w:tblW w:w="149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7"/>
        <w:gridCol w:w="1812"/>
        <w:gridCol w:w="1984"/>
        <w:gridCol w:w="1418"/>
        <w:gridCol w:w="1843"/>
        <w:gridCol w:w="1933"/>
        <w:gridCol w:w="1428"/>
      </w:tblGrid>
      <w:tr w:rsidR="00597449" w:rsidRPr="00E87D3C" w:rsidTr="00CA1229">
        <w:trPr>
          <w:trHeight w:val="370"/>
        </w:trPr>
        <w:tc>
          <w:tcPr>
            <w:tcW w:w="4567" w:type="dxa"/>
            <w:vMerge w:val="restart"/>
            <w:tcBorders>
              <w:top w:val="single" w:sz="4" w:space="0" w:color="5B9BD5" w:themeColor="accent1"/>
              <w:left w:val="single" w:sz="4" w:space="0" w:color="5B9BD5" w:themeColor="accent1"/>
              <w:right w:val="single" w:sz="4" w:space="0" w:color="5B9BD5" w:themeColor="accent1"/>
            </w:tcBorders>
            <w:vAlign w:val="center"/>
          </w:tcPr>
          <w:p w:rsidR="00597449" w:rsidRPr="00E87D3C" w:rsidRDefault="00597449" w:rsidP="00597449">
            <w:pPr>
              <w:jc w:val="center"/>
              <w:rPr>
                <w:rFonts w:asciiTheme="minorHAnsi" w:hAnsiTheme="minorHAnsi" w:cstheme="minorHAnsi"/>
                <w:b/>
                <w:color w:val="000000"/>
              </w:rPr>
            </w:pPr>
            <w:r w:rsidRPr="00E87D3C">
              <w:rPr>
                <w:rFonts w:cs="Calibri"/>
                <w:b/>
                <w:color w:val="000000"/>
              </w:rPr>
              <w:t>Type of investment</w:t>
            </w:r>
          </w:p>
        </w:tc>
        <w:tc>
          <w:tcPr>
            <w:tcW w:w="1812" w:type="dxa"/>
            <w:vMerge w:val="restart"/>
            <w:tcBorders>
              <w:top w:val="single" w:sz="4" w:space="0" w:color="5B9BD5" w:themeColor="accent1"/>
              <w:left w:val="single" w:sz="4" w:space="0" w:color="5B9BD5" w:themeColor="accent1"/>
              <w:right w:val="single" w:sz="4" w:space="0" w:color="5B9BD5" w:themeColor="accent1"/>
            </w:tcBorders>
            <w:shd w:val="clear" w:color="auto" w:fill="auto"/>
            <w:vAlign w:val="center"/>
          </w:tcPr>
          <w:p w:rsidR="00597449" w:rsidRPr="00E87D3C" w:rsidRDefault="00D20C53" w:rsidP="00D20C53">
            <w:pPr>
              <w:jc w:val="center"/>
              <w:rPr>
                <w:rFonts w:asciiTheme="minorHAnsi" w:hAnsiTheme="minorHAnsi" w:cstheme="minorHAnsi"/>
                <w:b/>
                <w:color w:val="000000"/>
                <w:lang w:val="en-US"/>
              </w:rPr>
            </w:pPr>
            <w:r>
              <w:rPr>
                <w:rFonts w:asciiTheme="minorHAnsi" w:hAnsiTheme="minorHAnsi" w:cstheme="minorHAnsi"/>
                <w:b/>
                <w:color w:val="000000"/>
                <w:lang w:val="en-US"/>
              </w:rPr>
              <w:t>F</w:t>
            </w:r>
            <w:r w:rsidR="00F90591" w:rsidRPr="00E87D3C">
              <w:rPr>
                <w:rFonts w:asciiTheme="minorHAnsi" w:hAnsiTheme="minorHAnsi" w:cstheme="minorHAnsi"/>
                <w:b/>
                <w:color w:val="000000"/>
                <w:lang w:val="en-US"/>
              </w:rPr>
              <w:t>or 2019</w:t>
            </w:r>
          </w:p>
        </w:tc>
        <w:tc>
          <w:tcPr>
            <w:tcW w:w="340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597449" w:rsidRPr="00E87D3C" w:rsidRDefault="00597449" w:rsidP="00597449">
            <w:pPr>
              <w:jc w:val="center"/>
              <w:rPr>
                <w:rFonts w:asciiTheme="minorHAnsi" w:hAnsiTheme="minorHAnsi" w:cstheme="minorHAnsi"/>
                <w:i/>
                <w:color w:val="000000"/>
              </w:rPr>
            </w:pPr>
            <w:r w:rsidRPr="00E87D3C">
              <w:rPr>
                <w:rFonts w:cs="Calibri"/>
                <w:i/>
                <w:color w:val="000000"/>
              </w:rPr>
              <w:t>of which</w:t>
            </w:r>
          </w:p>
        </w:tc>
        <w:tc>
          <w:tcPr>
            <w:tcW w:w="1843" w:type="dxa"/>
            <w:vMerge w:val="restart"/>
            <w:tcBorders>
              <w:top w:val="single" w:sz="4" w:space="0" w:color="5B9BD5" w:themeColor="accent1"/>
              <w:left w:val="single" w:sz="4" w:space="0" w:color="5B9BD5" w:themeColor="accent1"/>
              <w:right w:val="single" w:sz="4" w:space="0" w:color="5B9BD5" w:themeColor="accent1"/>
            </w:tcBorders>
            <w:vAlign w:val="center"/>
          </w:tcPr>
          <w:p w:rsidR="00597449" w:rsidRPr="00E87D3C" w:rsidRDefault="00D20C53" w:rsidP="00D20C53">
            <w:pPr>
              <w:jc w:val="center"/>
              <w:rPr>
                <w:rFonts w:asciiTheme="minorHAnsi" w:hAnsiTheme="minorHAnsi" w:cstheme="minorHAnsi"/>
                <w:b/>
                <w:color w:val="000000"/>
                <w:lang w:val="en-US"/>
              </w:rPr>
            </w:pPr>
            <w:r>
              <w:rPr>
                <w:rFonts w:asciiTheme="minorHAnsi" w:hAnsiTheme="minorHAnsi" w:cstheme="minorHAnsi"/>
                <w:b/>
                <w:color w:val="000000"/>
                <w:lang w:val="en-US"/>
              </w:rPr>
              <w:t>F</w:t>
            </w:r>
            <w:r w:rsidR="005A353C" w:rsidRPr="00E87D3C">
              <w:rPr>
                <w:rFonts w:asciiTheme="minorHAnsi" w:hAnsiTheme="minorHAnsi" w:cstheme="minorHAnsi"/>
                <w:b/>
                <w:color w:val="000000"/>
                <w:lang w:val="en-US"/>
              </w:rPr>
              <w:t>or 20</w:t>
            </w:r>
            <w:r w:rsidR="005A353C">
              <w:rPr>
                <w:rFonts w:asciiTheme="minorHAnsi" w:hAnsiTheme="minorHAnsi" w:cstheme="minorHAnsi"/>
                <w:b/>
                <w:color w:val="000000"/>
                <w:lang w:val="en-US"/>
              </w:rPr>
              <w:t>20</w:t>
            </w:r>
          </w:p>
        </w:tc>
        <w:tc>
          <w:tcPr>
            <w:tcW w:w="336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597449" w:rsidRPr="00E87D3C" w:rsidRDefault="00597449" w:rsidP="00597449">
            <w:pPr>
              <w:jc w:val="center"/>
              <w:rPr>
                <w:rFonts w:asciiTheme="minorHAnsi" w:hAnsiTheme="minorHAnsi" w:cstheme="minorHAnsi"/>
                <w:i/>
                <w:color w:val="000000"/>
              </w:rPr>
            </w:pPr>
            <w:r w:rsidRPr="00E87D3C">
              <w:rPr>
                <w:rFonts w:cs="Calibri"/>
                <w:i/>
                <w:color w:val="000000"/>
              </w:rPr>
              <w:t>of which</w:t>
            </w:r>
          </w:p>
        </w:tc>
      </w:tr>
      <w:tr w:rsidR="00597449" w:rsidRPr="00E87D3C" w:rsidTr="00CA1229">
        <w:trPr>
          <w:trHeight w:val="742"/>
        </w:trPr>
        <w:tc>
          <w:tcPr>
            <w:tcW w:w="4567" w:type="dxa"/>
            <w:vMerge/>
            <w:tcBorders>
              <w:left w:val="single" w:sz="4" w:space="0" w:color="5B9BD5" w:themeColor="accent1"/>
              <w:bottom w:val="single" w:sz="4" w:space="0" w:color="5B9BD5" w:themeColor="accent1"/>
              <w:right w:val="single" w:sz="4" w:space="0" w:color="5B9BD5" w:themeColor="accent1"/>
            </w:tcBorders>
            <w:vAlign w:val="center"/>
          </w:tcPr>
          <w:p w:rsidR="00597449" w:rsidRPr="00E87D3C" w:rsidRDefault="00597449" w:rsidP="00597449">
            <w:pPr>
              <w:jc w:val="center"/>
              <w:rPr>
                <w:rFonts w:asciiTheme="minorHAnsi" w:hAnsiTheme="minorHAnsi" w:cstheme="minorHAnsi"/>
                <w:b/>
                <w:color w:val="000000"/>
              </w:rPr>
            </w:pPr>
          </w:p>
        </w:tc>
        <w:tc>
          <w:tcPr>
            <w:tcW w:w="1812" w:type="dxa"/>
            <w:vMerge/>
            <w:tcBorders>
              <w:left w:val="single" w:sz="4" w:space="0" w:color="5B9BD5" w:themeColor="accent1"/>
              <w:bottom w:val="single" w:sz="4" w:space="0" w:color="5B9BD5" w:themeColor="accent1"/>
              <w:right w:val="single" w:sz="4" w:space="0" w:color="5B9BD5" w:themeColor="accent1"/>
            </w:tcBorders>
            <w:shd w:val="clear" w:color="auto" w:fill="auto"/>
            <w:vAlign w:val="center"/>
          </w:tcPr>
          <w:p w:rsidR="00597449" w:rsidRPr="00E87D3C" w:rsidRDefault="00597449" w:rsidP="00597449">
            <w:pPr>
              <w:jc w:val="center"/>
              <w:rPr>
                <w:rFonts w:asciiTheme="minorHAnsi" w:hAnsiTheme="minorHAnsi" w:cstheme="minorHAnsi"/>
                <w:b/>
                <w:color w:val="000000"/>
              </w:rPr>
            </w:pPr>
          </w:p>
        </w:tc>
        <w:tc>
          <w:tcPr>
            <w:tcW w:w="19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597449" w:rsidRPr="00E87D3C" w:rsidRDefault="00597449" w:rsidP="00597449">
            <w:pPr>
              <w:jc w:val="center"/>
              <w:rPr>
                <w:rFonts w:cs="Calibri"/>
                <w:i/>
              </w:rPr>
            </w:pPr>
            <w:r w:rsidRPr="00E87D3C">
              <w:rPr>
                <w:rFonts w:cs="Calibri"/>
                <w:i/>
              </w:rPr>
              <w:t>non-financial companies</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597449" w:rsidRPr="00E87D3C" w:rsidRDefault="00597449" w:rsidP="00597449">
            <w:pPr>
              <w:jc w:val="center"/>
              <w:rPr>
                <w:rFonts w:cs="Calibri"/>
                <w:i/>
              </w:rPr>
            </w:pPr>
            <w:r w:rsidRPr="00E87D3C">
              <w:rPr>
                <w:rFonts w:cs="Calibri"/>
                <w:i/>
              </w:rPr>
              <w:t>banks</w:t>
            </w:r>
          </w:p>
        </w:tc>
        <w:tc>
          <w:tcPr>
            <w:tcW w:w="1843" w:type="dxa"/>
            <w:vMerge/>
            <w:tcBorders>
              <w:left w:val="single" w:sz="4" w:space="0" w:color="5B9BD5" w:themeColor="accent1"/>
              <w:bottom w:val="single" w:sz="4" w:space="0" w:color="5B9BD5" w:themeColor="accent1"/>
              <w:right w:val="single" w:sz="4" w:space="0" w:color="5B9BD5" w:themeColor="accent1"/>
            </w:tcBorders>
            <w:vAlign w:val="center"/>
          </w:tcPr>
          <w:p w:rsidR="00597449" w:rsidRPr="00E87D3C" w:rsidRDefault="00597449" w:rsidP="00597449">
            <w:pPr>
              <w:rPr>
                <w:rFonts w:asciiTheme="minorHAnsi" w:hAnsiTheme="minorHAnsi" w:cstheme="minorHAnsi"/>
                <w:b/>
                <w:color w:val="000000"/>
              </w:rPr>
            </w:pPr>
          </w:p>
        </w:tc>
        <w:tc>
          <w:tcPr>
            <w:tcW w:w="1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597449" w:rsidRPr="00E87D3C" w:rsidRDefault="00597449" w:rsidP="00597449">
            <w:pPr>
              <w:jc w:val="center"/>
              <w:rPr>
                <w:rFonts w:cs="Calibri"/>
                <w:i/>
              </w:rPr>
            </w:pPr>
            <w:r w:rsidRPr="00E87D3C">
              <w:rPr>
                <w:rFonts w:cs="Calibri"/>
                <w:i/>
              </w:rPr>
              <w:t>non-financial companies</w:t>
            </w:r>
          </w:p>
        </w:tc>
        <w:tc>
          <w:tcPr>
            <w:tcW w:w="142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597449" w:rsidRPr="00E87D3C" w:rsidRDefault="00597449" w:rsidP="00597449">
            <w:pPr>
              <w:jc w:val="center"/>
              <w:rPr>
                <w:rFonts w:cs="Calibri"/>
                <w:i/>
              </w:rPr>
            </w:pPr>
            <w:r w:rsidRPr="00E87D3C">
              <w:rPr>
                <w:rFonts w:cs="Calibri"/>
                <w:i/>
              </w:rPr>
              <w:t>banks</w:t>
            </w:r>
          </w:p>
        </w:tc>
      </w:tr>
      <w:tr w:rsidR="00D20C53" w:rsidRPr="00E87D3C" w:rsidTr="00CA1229">
        <w:trPr>
          <w:trHeight w:val="555"/>
        </w:trPr>
        <w:tc>
          <w:tcPr>
            <w:tcW w:w="4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noWrap/>
            <w:vAlign w:val="center"/>
            <w:hideMark/>
          </w:tcPr>
          <w:p w:rsidR="00D20C53" w:rsidRPr="00E87D3C" w:rsidRDefault="00D20C53" w:rsidP="00D20C53">
            <w:pPr>
              <w:rPr>
                <w:rFonts w:asciiTheme="minorHAnsi" w:hAnsiTheme="minorHAnsi" w:cstheme="minorHAnsi"/>
                <w:b/>
                <w:color w:val="000000"/>
              </w:rPr>
            </w:pPr>
            <w:r w:rsidRPr="00E87D3C">
              <w:rPr>
                <w:rFonts w:cs="Calibri"/>
                <w:b/>
              </w:rPr>
              <w:t>Net inflows of investment</w:t>
            </w:r>
          </w:p>
        </w:tc>
        <w:tc>
          <w:tcPr>
            <w:tcW w:w="18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vAlign w:val="center"/>
          </w:tcPr>
          <w:p w:rsidR="00D20C53" w:rsidRPr="00C92486" w:rsidRDefault="00D20C53" w:rsidP="00D20C53">
            <w:pPr>
              <w:jc w:val="center"/>
              <w:rPr>
                <w:rFonts w:asciiTheme="minorHAnsi" w:hAnsiTheme="minorHAnsi" w:cstheme="minorHAnsi"/>
                <w:b/>
                <w:color w:val="000000"/>
              </w:rPr>
            </w:pPr>
            <w:r w:rsidRPr="00C92486">
              <w:rPr>
                <w:rFonts w:asciiTheme="minorHAnsi" w:hAnsiTheme="minorHAnsi" w:cstheme="minorHAnsi"/>
                <w:b/>
                <w:color w:val="000000"/>
              </w:rPr>
              <w:t>2 316,5</w:t>
            </w:r>
          </w:p>
        </w:tc>
        <w:tc>
          <w:tcPr>
            <w:tcW w:w="19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vAlign w:val="center"/>
          </w:tcPr>
          <w:p w:rsidR="00D20C53" w:rsidRPr="00C92486" w:rsidRDefault="00D20C53" w:rsidP="00D20C53">
            <w:pPr>
              <w:jc w:val="center"/>
              <w:rPr>
                <w:rFonts w:asciiTheme="minorHAnsi" w:hAnsiTheme="minorHAnsi" w:cstheme="minorHAnsi"/>
                <w:b/>
                <w:color w:val="000000"/>
              </w:rPr>
            </w:pPr>
            <w:r w:rsidRPr="00C92486">
              <w:rPr>
                <w:rFonts w:asciiTheme="minorHAnsi" w:hAnsiTheme="minorHAnsi" w:cstheme="minorHAnsi"/>
                <w:b/>
                <w:color w:val="000000"/>
              </w:rPr>
              <w:t>2 258,6</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vAlign w:val="center"/>
          </w:tcPr>
          <w:p w:rsidR="00D20C53" w:rsidRPr="00C92486" w:rsidRDefault="00D20C53" w:rsidP="00D20C53">
            <w:pPr>
              <w:jc w:val="center"/>
              <w:rPr>
                <w:rFonts w:asciiTheme="minorHAnsi" w:hAnsiTheme="minorHAnsi" w:cstheme="minorHAnsi"/>
                <w:b/>
                <w:color w:val="000000"/>
              </w:rPr>
            </w:pPr>
            <w:r w:rsidRPr="00C92486">
              <w:rPr>
                <w:rFonts w:asciiTheme="minorHAnsi" w:hAnsiTheme="minorHAnsi" w:cstheme="minorHAnsi"/>
                <w:b/>
                <w:color w:val="000000"/>
              </w:rPr>
              <w:t>57,9</w:t>
            </w:r>
          </w:p>
        </w:tc>
        <w:tc>
          <w:tcPr>
            <w:tcW w:w="18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vAlign w:val="center"/>
          </w:tcPr>
          <w:p w:rsidR="00D20C53" w:rsidRPr="00C92486" w:rsidRDefault="00D20C53" w:rsidP="00D20C53">
            <w:pPr>
              <w:jc w:val="center"/>
              <w:rPr>
                <w:rFonts w:asciiTheme="minorHAnsi" w:hAnsiTheme="minorHAnsi" w:cstheme="minorHAnsi"/>
                <w:b/>
                <w:color w:val="000000"/>
              </w:rPr>
            </w:pPr>
            <w:r w:rsidRPr="00C92486">
              <w:rPr>
                <w:rFonts w:asciiTheme="minorHAnsi" w:hAnsiTheme="minorHAnsi" w:cstheme="minorHAnsi"/>
                <w:b/>
                <w:color w:val="000000"/>
              </w:rPr>
              <w:t>1 725,7</w:t>
            </w:r>
          </w:p>
        </w:tc>
        <w:tc>
          <w:tcPr>
            <w:tcW w:w="1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vAlign w:val="center"/>
          </w:tcPr>
          <w:p w:rsidR="00D20C53" w:rsidRPr="00C92486" w:rsidRDefault="00D20C53" w:rsidP="00D20C53">
            <w:pPr>
              <w:jc w:val="center"/>
              <w:rPr>
                <w:rFonts w:asciiTheme="minorHAnsi" w:hAnsiTheme="minorHAnsi" w:cstheme="minorHAnsi"/>
                <w:b/>
                <w:color w:val="000000"/>
              </w:rPr>
            </w:pPr>
            <w:r w:rsidRPr="00C92486">
              <w:rPr>
                <w:rFonts w:asciiTheme="minorHAnsi" w:hAnsiTheme="minorHAnsi" w:cstheme="minorHAnsi"/>
                <w:b/>
                <w:color w:val="000000"/>
              </w:rPr>
              <w:t>1 622,4</w:t>
            </w:r>
          </w:p>
        </w:tc>
        <w:tc>
          <w:tcPr>
            <w:tcW w:w="142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vAlign w:val="center"/>
          </w:tcPr>
          <w:p w:rsidR="00D20C53" w:rsidRPr="00C92486" w:rsidRDefault="00D20C53" w:rsidP="00D20C53">
            <w:pPr>
              <w:jc w:val="center"/>
              <w:rPr>
                <w:rFonts w:asciiTheme="minorHAnsi" w:hAnsiTheme="minorHAnsi" w:cstheme="minorHAnsi"/>
                <w:b/>
                <w:color w:val="000000"/>
              </w:rPr>
            </w:pPr>
            <w:r w:rsidRPr="00C92486">
              <w:rPr>
                <w:rFonts w:asciiTheme="minorHAnsi" w:hAnsiTheme="minorHAnsi" w:cstheme="minorHAnsi"/>
                <w:b/>
                <w:color w:val="000000"/>
              </w:rPr>
              <w:t>103,2</w:t>
            </w:r>
          </w:p>
        </w:tc>
      </w:tr>
      <w:tr w:rsidR="00D20C53" w:rsidRPr="00E87D3C" w:rsidTr="007F6743">
        <w:trPr>
          <w:trHeight w:val="325"/>
        </w:trPr>
        <w:tc>
          <w:tcPr>
            <w:tcW w:w="4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D20C53" w:rsidRPr="00E87D3C" w:rsidRDefault="00D20C53" w:rsidP="00D20C53">
            <w:pPr>
              <w:rPr>
                <w:rFonts w:cs="Calibri"/>
              </w:rPr>
            </w:pPr>
            <w:r w:rsidRPr="00E87D3C">
              <w:rPr>
                <w:rFonts w:cs="Calibri"/>
              </w:rPr>
              <w:t>of which</w:t>
            </w:r>
          </w:p>
        </w:tc>
        <w:tc>
          <w:tcPr>
            <w:tcW w:w="18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D20C53" w:rsidRPr="00C92486" w:rsidRDefault="00D20C53" w:rsidP="00D20C53">
            <w:pPr>
              <w:jc w:val="center"/>
              <w:rPr>
                <w:rFonts w:asciiTheme="minorHAnsi" w:hAnsiTheme="minorHAnsi" w:cstheme="minorHAnsi"/>
                <w:color w:val="000000"/>
              </w:rPr>
            </w:pPr>
          </w:p>
        </w:tc>
        <w:tc>
          <w:tcPr>
            <w:tcW w:w="19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p>
        </w:tc>
        <w:tc>
          <w:tcPr>
            <w:tcW w:w="18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p>
        </w:tc>
        <w:tc>
          <w:tcPr>
            <w:tcW w:w="1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p>
        </w:tc>
        <w:tc>
          <w:tcPr>
            <w:tcW w:w="142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p>
        </w:tc>
      </w:tr>
      <w:tr w:rsidR="00D20C53" w:rsidRPr="00E87D3C" w:rsidTr="00CA1229">
        <w:trPr>
          <w:trHeight w:val="653"/>
        </w:trPr>
        <w:tc>
          <w:tcPr>
            <w:tcW w:w="4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D20C53" w:rsidRPr="00E87D3C" w:rsidRDefault="00D20C53" w:rsidP="00D20C53">
            <w:pPr>
              <w:ind w:left="175"/>
              <w:rPr>
                <w:rFonts w:cs="Calibri"/>
              </w:rPr>
            </w:pPr>
            <w:r w:rsidRPr="00E87D3C">
              <w:rPr>
                <w:rFonts w:cs="Calibri"/>
              </w:rPr>
              <w:t>net investment in capital**</w:t>
            </w:r>
          </w:p>
        </w:tc>
        <w:tc>
          <w:tcPr>
            <w:tcW w:w="18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D20C53" w:rsidRPr="00C92486" w:rsidRDefault="00D20C53" w:rsidP="00D20C53">
            <w:pPr>
              <w:jc w:val="center"/>
              <w:rPr>
                <w:rFonts w:asciiTheme="minorHAnsi" w:hAnsiTheme="minorHAnsi" w:cstheme="minorHAnsi"/>
                <w:color w:val="000000"/>
              </w:rPr>
            </w:pPr>
            <w:r w:rsidRPr="00C92486">
              <w:rPr>
                <w:rFonts w:asciiTheme="minorHAnsi" w:hAnsiTheme="minorHAnsi" w:cstheme="minorHAnsi"/>
                <w:color w:val="000000"/>
              </w:rPr>
              <w:t>2 077,2</w:t>
            </w:r>
          </w:p>
        </w:tc>
        <w:tc>
          <w:tcPr>
            <w:tcW w:w="19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r w:rsidRPr="00C92486">
              <w:rPr>
                <w:rFonts w:asciiTheme="minorHAnsi" w:hAnsiTheme="minorHAnsi" w:cstheme="minorHAnsi"/>
                <w:color w:val="000000"/>
              </w:rPr>
              <w:t>2 038,0</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r w:rsidRPr="00C92486">
              <w:rPr>
                <w:rFonts w:asciiTheme="minorHAnsi" w:hAnsiTheme="minorHAnsi" w:cstheme="minorHAnsi"/>
                <w:color w:val="000000"/>
              </w:rPr>
              <w:t>39,2</w:t>
            </w:r>
          </w:p>
        </w:tc>
        <w:tc>
          <w:tcPr>
            <w:tcW w:w="18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r w:rsidRPr="00C92486">
              <w:rPr>
                <w:rFonts w:asciiTheme="minorHAnsi" w:hAnsiTheme="minorHAnsi" w:cstheme="minorHAnsi"/>
                <w:color w:val="000000"/>
              </w:rPr>
              <w:t>1 317,9</w:t>
            </w:r>
          </w:p>
        </w:tc>
        <w:tc>
          <w:tcPr>
            <w:tcW w:w="1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r w:rsidRPr="00C92486">
              <w:rPr>
                <w:rFonts w:asciiTheme="minorHAnsi" w:hAnsiTheme="minorHAnsi" w:cstheme="minorHAnsi"/>
                <w:color w:val="000000"/>
              </w:rPr>
              <w:t>1 241,2</w:t>
            </w:r>
          </w:p>
        </w:tc>
        <w:tc>
          <w:tcPr>
            <w:tcW w:w="142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r w:rsidRPr="00C92486">
              <w:rPr>
                <w:rFonts w:asciiTheme="minorHAnsi" w:hAnsiTheme="minorHAnsi" w:cstheme="minorHAnsi"/>
                <w:color w:val="000000"/>
              </w:rPr>
              <w:t>76,7</w:t>
            </w:r>
          </w:p>
        </w:tc>
      </w:tr>
      <w:tr w:rsidR="00D20C53" w:rsidRPr="00E87D3C" w:rsidTr="00CA1229">
        <w:trPr>
          <w:trHeight w:val="653"/>
        </w:trPr>
        <w:tc>
          <w:tcPr>
            <w:tcW w:w="4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D20C53" w:rsidRPr="00E87D3C" w:rsidRDefault="00D20C53" w:rsidP="00D20C53">
            <w:pPr>
              <w:ind w:left="175"/>
              <w:rPr>
                <w:rFonts w:cs="Calibri"/>
                <w:lang w:val="en-US"/>
              </w:rPr>
            </w:pPr>
            <w:r w:rsidRPr="00E87D3C">
              <w:rPr>
                <w:rFonts w:cs="Calibri"/>
              </w:rPr>
              <w:t>reinvestment of earnings</w:t>
            </w:r>
            <w:r w:rsidRPr="00E87D3C">
              <w:rPr>
                <w:rFonts w:cs="Calibri"/>
                <w:lang w:val="en-US"/>
              </w:rPr>
              <w:t>**</w:t>
            </w:r>
          </w:p>
        </w:tc>
        <w:tc>
          <w:tcPr>
            <w:tcW w:w="18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D20C53" w:rsidRPr="00C92486" w:rsidRDefault="00D20C53" w:rsidP="00D20C53">
            <w:pPr>
              <w:jc w:val="center"/>
              <w:rPr>
                <w:rFonts w:asciiTheme="minorHAnsi" w:hAnsiTheme="minorHAnsi" w:cstheme="minorHAnsi"/>
                <w:color w:val="000000"/>
              </w:rPr>
            </w:pPr>
            <w:r w:rsidRPr="00C92486">
              <w:rPr>
                <w:rFonts w:asciiTheme="minorHAnsi" w:hAnsiTheme="minorHAnsi" w:cstheme="minorHAnsi"/>
                <w:color w:val="000000"/>
              </w:rPr>
              <w:t>712,1</w:t>
            </w:r>
          </w:p>
        </w:tc>
        <w:tc>
          <w:tcPr>
            <w:tcW w:w="19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r w:rsidRPr="00C92486">
              <w:rPr>
                <w:rFonts w:asciiTheme="minorHAnsi" w:hAnsiTheme="minorHAnsi" w:cstheme="minorHAnsi"/>
                <w:color w:val="000000"/>
              </w:rPr>
              <w:t>693,5</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r w:rsidRPr="00C92486">
              <w:rPr>
                <w:rFonts w:asciiTheme="minorHAnsi" w:hAnsiTheme="minorHAnsi" w:cstheme="minorHAnsi"/>
                <w:color w:val="000000"/>
              </w:rPr>
              <w:t>18,7</w:t>
            </w:r>
          </w:p>
        </w:tc>
        <w:tc>
          <w:tcPr>
            <w:tcW w:w="18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r w:rsidRPr="00C92486">
              <w:rPr>
                <w:rFonts w:asciiTheme="minorHAnsi" w:hAnsiTheme="minorHAnsi" w:cstheme="minorHAnsi"/>
                <w:color w:val="000000"/>
              </w:rPr>
              <w:t>530,7</w:t>
            </w:r>
          </w:p>
        </w:tc>
        <w:tc>
          <w:tcPr>
            <w:tcW w:w="1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r w:rsidRPr="00C92486">
              <w:rPr>
                <w:rFonts w:asciiTheme="minorHAnsi" w:hAnsiTheme="minorHAnsi" w:cstheme="minorHAnsi"/>
                <w:color w:val="000000"/>
              </w:rPr>
              <w:t>504,1</w:t>
            </w:r>
          </w:p>
        </w:tc>
        <w:tc>
          <w:tcPr>
            <w:tcW w:w="142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r w:rsidRPr="00C92486">
              <w:rPr>
                <w:rFonts w:asciiTheme="minorHAnsi" w:hAnsiTheme="minorHAnsi" w:cstheme="minorHAnsi"/>
                <w:color w:val="000000"/>
              </w:rPr>
              <w:t>26,6</w:t>
            </w:r>
          </w:p>
        </w:tc>
      </w:tr>
      <w:tr w:rsidR="00D20C53" w:rsidRPr="00E87D3C" w:rsidTr="00CA1229">
        <w:trPr>
          <w:trHeight w:val="1154"/>
        </w:trPr>
        <w:tc>
          <w:tcPr>
            <w:tcW w:w="4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D20C53" w:rsidRPr="00E87D3C" w:rsidRDefault="00D20C53" w:rsidP="00D20C53">
            <w:pPr>
              <w:ind w:left="175"/>
              <w:rPr>
                <w:rFonts w:cs="Calibri"/>
                <w:lang w:val="en-US"/>
              </w:rPr>
            </w:pPr>
            <w:r w:rsidRPr="00E87D3C">
              <w:rPr>
                <w:rFonts w:cs="Calibri"/>
                <w:lang w:val="en-US"/>
              </w:rPr>
              <w:t>net provision of loans from parent companies (including accrued but unpaid interest)</w:t>
            </w:r>
          </w:p>
        </w:tc>
        <w:tc>
          <w:tcPr>
            <w:tcW w:w="18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D20C53" w:rsidRPr="00C92486" w:rsidRDefault="00D20C53" w:rsidP="00D20C53">
            <w:pPr>
              <w:jc w:val="center"/>
              <w:rPr>
                <w:rFonts w:asciiTheme="minorHAnsi" w:hAnsiTheme="minorHAnsi" w:cstheme="minorHAnsi"/>
                <w:color w:val="000000"/>
              </w:rPr>
            </w:pPr>
            <w:r w:rsidRPr="00C92486">
              <w:rPr>
                <w:rFonts w:asciiTheme="minorHAnsi" w:hAnsiTheme="minorHAnsi" w:cstheme="minorHAnsi"/>
                <w:color w:val="000000"/>
              </w:rPr>
              <w:t>168,7</w:t>
            </w:r>
          </w:p>
        </w:tc>
        <w:tc>
          <w:tcPr>
            <w:tcW w:w="19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r w:rsidRPr="00C92486">
              <w:rPr>
                <w:rFonts w:asciiTheme="minorHAnsi" w:hAnsiTheme="minorHAnsi" w:cstheme="minorHAnsi"/>
                <w:color w:val="000000"/>
              </w:rPr>
              <w:t>168,7</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r w:rsidRPr="00C92486">
              <w:rPr>
                <w:rFonts w:asciiTheme="minorHAnsi" w:hAnsiTheme="minorHAnsi" w:cstheme="minorHAnsi"/>
                <w:color w:val="000000"/>
              </w:rPr>
              <w:t>0,0</w:t>
            </w:r>
          </w:p>
        </w:tc>
        <w:tc>
          <w:tcPr>
            <w:tcW w:w="18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rPr>
            </w:pPr>
            <w:r w:rsidRPr="00C92486">
              <w:rPr>
                <w:rFonts w:asciiTheme="minorHAnsi" w:hAnsiTheme="minorHAnsi" w:cstheme="minorHAnsi"/>
                <w:color w:val="000000"/>
              </w:rPr>
              <w:t>153,2</w:t>
            </w:r>
          </w:p>
        </w:tc>
        <w:tc>
          <w:tcPr>
            <w:tcW w:w="1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r w:rsidRPr="00C92486">
              <w:rPr>
                <w:rFonts w:asciiTheme="minorHAnsi" w:hAnsiTheme="minorHAnsi" w:cstheme="minorHAnsi"/>
                <w:color w:val="000000"/>
              </w:rPr>
              <w:t>153,2</w:t>
            </w:r>
          </w:p>
        </w:tc>
        <w:tc>
          <w:tcPr>
            <w:tcW w:w="142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r w:rsidRPr="00C92486">
              <w:rPr>
                <w:rFonts w:asciiTheme="minorHAnsi" w:hAnsiTheme="minorHAnsi" w:cstheme="minorHAnsi"/>
                <w:color w:val="000000"/>
              </w:rPr>
              <w:t>0,0</w:t>
            </w:r>
          </w:p>
        </w:tc>
      </w:tr>
      <w:tr w:rsidR="00D20C53" w:rsidRPr="00E87D3C" w:rsidTr="00CA1229">
        <w:trPr>
          <w:trHeight w:val="653"/>
        </w:trPr>
        <w:tc>
          <w:tcPr>
            <w:tcW w:w="4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D20C53" w:rsidRPr="00E87D3C" w:rsidRDefault="00D20C53" w:rsidP="00D20C53">
            <w:pPr>
              <w:ind w:left="175"/>
              <w:rPr>
                <w:rFonts w:cs="Calibri"/>
                <w:lang w:val="en-US"/>
              </w:rPr>
            </w:pPr>
            <w:r w:rsidRPr="00E87D3C">
              <w:rPr>
                <w:rFonts w:cs="Calibri"/>
                <w:lang w:val="en-US"/>
              </w:rPr>
              <w:t>net inflows to companies operating under PSA</w:t>
            </w:r>
          </w:p>
        </w:tc>
        <w:tc>
          <w:tcPr>
            <w:tcW w:w="18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D20C53" w:rsidRPr="00C92486" w:rsidRDefault="00D20C53" w:rsidP="00D20C53">
            <w:pPr>
              <w:jc w:val="center"/>
              <w:rPr>
                <w:rFonts w:asciiTheme="minorHAnsi" w:hAnsiTheme="minorHAnsi" w:cstheme="minorHAnsi"/>
                <w:color w:val="000000"/>
              </w:rPr>
            </w:pPr>
            <w:r w:rsidRPr="00C92486">
              <w:rPr>
                <w:rFonts w:asciiTheme="minorHAnsi" w:hAnsiTheme="minorHAnsi" w:cstheme="minorHAnsi"/>
                <w:color w:val="000000"/>
              </w:rPr>
              <w:t>-641,6</w:t>
            </w:r>
          </w:p>
        </w:tc>
        <w:tc>
          <w:tcPr>
            <w:tcW w:w="19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r w:rsidRPr="00C92486">
              <w:rPr>
                <w:rFonts w:asciiTheme="minorHAnsi" w:hAnsiTheme="minorHAnsi" w:cstheme="minorHAnsi"/>
                <w:color w:val="000000"/>
              </w:rPr>
              <w:t>-641,6</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r w:rsidRPr="00C92486">
              <w:rPr>
                <w:rFonts w:asciiTheme="minorHAnsi" w:hAnsiTheme="minorHAnsi" w:cstheme="minorHAnsi"/>
                <w:color w:val="000000"/>
              </w:rPr>
              <w:t>0,0</w:t>
            </w:r>
          </w:p>
        </w:tc>
        <w:tc>
          <w:tcPr>
            <w:tcW w:w="18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rPr>
            </w:pPr>
            <w:r w:rsidRPr="00C92486">
              <w:rPr>
                <w:rFonts w:asciiTheme="minorHAnsi" w:hAnsiTheme="minorHAnsi" w:cstheme="minorHAnsi"/>
                <w:color w:val="000000"/>
              </w:rPr>
              <w:t>-276,1</w:t>
            </w:r>
          </w:p>
        </w:tc>
        <w:tc>
          <w:tcPr>
            <w:tcW w:w="1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r w:rsidRPr="00C92486">
              <w:rPr>
                <w:rFonts w:asciiTheme="minorHAnsi" w:hAnsiTheme="minorHAnsi" w:cstheme="minorHAnsi"/>
                <w:color w:val="000000"/>
              </w:rPr>
              <w:t>-276,1</w:t>
            </w:r>
          </w:p>
        </w:tc>
        <w:tc>
          <w:tcPr>
            <w:tcW w:w="142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20C53" w:rsidRPr="00C92486" w:rsidRDefault="00D20C53" w:rsidP="00D20C53">
            <w:pPr>
              <w:jc w:val="center"/>
              <w:rPr>
                <w:rFonts w:asciiTheme="minorHAnsi" w:hAnsiTheme="minorHAnsi" w:cstheme="minorHAnsi"/>
                <w:color w:val="000000"/>
              </w:rPr>
            </w:pPr>
            <w:r w:rsidRPr="00C92486">
              <w:rPr>
                <w:rFonts w:asciiTheme="minorHAnsi" w:hAnsiTheme="minorHAnsi" w:cstheme="minorHAnsi"/>
                <w:color w:val="000000"/>
              </w:rPr>
              <w:t>0,0</w:t>
            </w:r>
          </w:p>
        </w:tc>
      </w:tr>
    </w:tbl>
    <w:p w:rsidR="00A87D15" w:rsidRPr="00F45A80" w:rsidRDefault="00A87D15" w:rsidP="0015081D">
      <w:pPr>
        <w:spacing w:before="120"/>
        <w:ind w:left="142"/>
        <w:jc w:val="both"/>
        <w:rPr>
          <w:rFonts w:cs="Calibri"/>
          <w:i/>
          <w:color w:val="000000"/>
          <w:sz w:val="20"/>
          <w:szCs w:val="20"/>
          <w:lang w:val="en-US"/>
        </w:rPr>
      </w:pPr>
      <w:r w:rsidRPr="00F45A80">
        <w:rPr>
          <w:rFonts w:cs="Calibri"/>
          <w:i/>
          <w:color w:val="000000"/>
          <w:sz w:val="20"/>
          <w:szCs w:val="20"/>
          <w:lang w:val="en-US"/>
        </w:rPr>
        <w:t>*</w:t>
      </w:r>
      <w:r w:rsidR="0015081D">
        <w:rPr>
          <w:rFonts w:cs="Calibri"/>
          <w:i/>
          <w:color w:val="000000"/>
          <w:sz w:val="20"/>
          <w:szCs w:val="20"/>
          <w:lang w:val="en-US"/>
        </w:rPr>
        <w:t xml:space="preserve"> </w:t>
      </w:r>
      <w:r w:rsidRPr="00F45A80">
        <w:rPr>
          <w:rFonts w:cs="Calibri"/>
          <w:i/>
          <w:color w:val="000000"/>
          <w:sz w:val="20"/>
          <w:szCs w:val="20"/>
          <w:lang w:val="en-US"/>
        </w:rPr>
        <w:t>data reflects</w:t>
      </w:r>
      <w:r w:rsidR="00847409">
        <w:rPr>
          <w:rFonts w:cs="Calibri"/>
          <w:i/>
          <w:color w:val="000000"/>
          <w:sz w:val="20"/>
          <w:szCs w:val="20"/>
          <w:lang w:val="en-US"/>
        </w:rPr>
        <w:t xml:space="preserve"> difference in</w:t>
      </w:r>
      <w:r w:rsidRPr="00F45A80">
        <w:rPr>
          <w:rFonts w:cs="Calibri"/>
          <w:i/>
          <w:color w:val="000000"/>
          <w:sz w:val="20"/>
          <w:szCs w:val="20"/>
          <w:lang w:val="en-US"/>
        </w:rPr>
        <w:t xml:space="preserve"> </w:t>
      </w:r>
      <w:r w:rsidR="00847409" w:rsidRPr="00F45A80">
        <w:rPr>
          <w:rFonts w:cs="Calibri"/>
          <w:i/>
          <w:color w:val="000000"/>
          <w:sz w:val="20"/>
          <w:szCs w:val="20"/>
          <w:lang w:val="en-US"/>
        </w:rPr>
        <w:t xml:space="preserve">receipt </w:t>
      </w:r>
      <w:r w:rsidRPr="00F45A80">
        <w:rPr>
          <w:rFonts w:cs="Calibri"/>
          <w:i/>
          <w:color w:val="000000"/>
          <w:sz w:val="20"/>
          <w:szCs w:val="20"/>
          <w:lang w:val="en-US"/>
        </w:rPr>
        <w:t>flows and repatriation of investment and differ</w:t>
      </w:r>
      <w:r w:rsidR="00847409">
        <w:rPr>
          <w:rFonts w:cs="Calibri"/>
          <w:i/>
          <w:color w:val="000000"/>
          <w:sz w:val="20"/>
          <w:szCs w:val="20"/>
          <w:lang w:val="en-US"/>
        </w:rPr>
        <w:t>s</w:t>
      </w:r>
      <w:r w:rsidRPr="00F45A80">
        <w:rPr>
          <w:rFonts w:cs="Calibri"/>
          <w:i/>
          <w:color w:val="000000"/>
          <w:sz w:val="20"/>
          <w:szCs w:val="20"/>
          <w:lang w:val="en-US"/>
        </w:rPr>
        <w:t xml:space="preserve"> from results of other surveys, conducted by State statistics committee for calculation of mastered investments.</w:t>
      </w:r>
      <w:r w:rsidR="00847409">
        <w:rPr>
          <w:rFonts w:cs="Calibri"/>
          <w:i/>
          <w:color w:val="000000"/>
          <w:sz w:val="20"/>
          <w:szCs w:val="20"/>
          <w:lang w:val="en-US"/>
        </w:rPr>
        <w:t xml:space="preserve"> The survey conducted based on the methodology of balance of payments collects information only on net changes in </w:t>
      </w:r>
      <w:r w:rsidR="005A2681">
        <w:rPr>
          <w:rFonts w:cs="Calibri"/>
          <w:i/>
          <w:color w:val="000000"/>
          <w:sz w:val="20"/>
          <w:szCs w:val="20"/>
          <w:lang w:val="en-US"/>
        </w:rPr>
        <w:t xml:space="preserve">non-residents’ </w:t>
      </w:r>
      <w:r w:rsidR="00847409">
        <w:rPr>
          <w:rFonts w:cs="Calibri"/>
          <w:i/>
          <w:color w:val="000000"/>
          <w:sz w:val="20"/>
          <w:szCs w:val="20"/>
          <w:lang w:val="en-US"/>
        </w:rPr>
        <w:t>investment amount in capital</w:t>
      </w:r>
      <w:r w:rsidR="00667176">
        <w:rPr>
          <w:rFonts w:cs="Calibri"/>
          <w:i/>
          <w:color w:val="000000"/>
          <w:sz w:val="20"/>
          <w:szCs w:val="20"/>
          <w:lang w:val="uz-Cyrl-UZ"/>
        </w:rPr>
        <w:t xml:space="preserve"> </w:t>
      </w:r>
      <w:r w:rsidR="00667176">
        <w:rPr>
          <w:rFonts w:cs="Calibri"/>
          <w:i/>
          <w:color w:val="000000"/>
          <w:sz w:val="20"/>
          <w:szCs w:val="20"/>
          <w:lang w:val="en-US"/>
        </w:rPr>
        <w:t>and can differ from data produced by other agencies</w:t>
      </w:r>
      <w:r w:rsidR="00847409">
        <w:rPr>
          <w:rFonts w:cs="Calibri"/>
          <w:i/>
          <w:color w:val="000000"/>
          <w:sz w:val="20"/>
          <w:szCs w:val="20"/>
          <w:lang w:val="en-US"/>
        </w:rPr>
        <w:t>.</w:t>
      </w:r>
    </w:p>
    <w:p w:rsidR="00A87D15" w:rsidRPr="00F45A80" w:rsidRDefault="00A87D15" w:rsidP="00A87D15">
      <w:pPr>
        <w:ind w:left="142"/>
        <w:jc w:val="both"/>
        <w:rPr>
          <w:rFonts w:cs="Calibri"/>
          <w:i/>
          <w:sz w:val="20"/>
          <w:szCs w:val="20"/>
          <w:lang w:val="en-US"/>
        </w:rPr>
      </w:pPr>
      <w:r w:rsidRPr="00F45A80">
        <w:rPr>
          <w:rFonts w:cs="Calibri"/>
          <w:i/>
          <w:color w:val="000000"/>
          <w:sz w:val="20"/>
          <w:szCs w:val="20"/>
          <w:lang w:val="en-US"/>
        </w:rPr>
        <w:t>**</w:t>
      </w:r>
      <w:r w:rsidR="0015081D">
        <w:rPr>
          <w:rFonts w:cs="Calibri"/>
          <w:i/>
          <w:color w:val="000000"/>
          <w:sz w:val="20"/>
          <w:szCs w:val="20"/>
          <w:lang w:val="en-US"/>
        </w:rPr>
        <w:t xml:space="preserve"> </w:t>
      </w:r>
      <w:r w:rsidRPr="00F45A80">
        <w:rPr>
          <w:rFonts w:cs="Calibri"/>
          <w:i/>
          <w:color w:val="000000"/>
          <w:sz w:val="20"/>
          <w:szCs w:val="20"/>
          <w:lang w:val="en-US"/>
        </w:rPr>
        <w:t>net change in investment of foreign investors in capital of non-financial companies</w:t>
      </w:r>
      <w:r w:rsidR="0015081D">
        <w:rPr>
          <w:rFonts w:cs="Calibri"/>
          <w:i/>
          <w:color w:val="000000"/>
          <w:sz w:val="20"/>
          <w:szCs w:val="20"/>
          <w:lang w:val="en-US"/>
        </w:rPr>
        <w:t xml:space="preserve"> as well as retained earnings are</w:t>
      </w:r>
      <w:r w:rsidRPr="00F45A80">
        <w:rPr>
          <w:rFonts w:cs="Calibri"/>
          <w:i/>
          <w:color w:val="000000"/>
          <w:sz w:val="20"/>
          <w:szCs w:val="20"/>
          <w:lang w:val="en-US"/>
        </w:rPr>
        <w:t xml:space="preserve"> determined on the basis of a survey conducted by State statistics committee.</w:t>
      </w:r>
    </w:p>
    <w:p w:rsidR="009304D9" w:rsidRPr="00F45A80" w:rsidRDefault="009304D9" w:rsidP="009304D9">
      <w:pPr>
        <w:jc w:val="both"/>
        <w:rPr>
          <w:rFonts w:cs="Arial"/>
          <w:lang w:val="en-US"/>
        </w:rPr>
        <w:sectPr w:rsidR="009304D9" w:rsidRPr="00F45A80" w:rsidSect="00F40724">
          <w:footerReference w:type="first" r:id="rId51"/>
          <w:pgSz w:w="16838" w:h="11906" w:orient="landscape" w:code="9"/>
          <w:pgMar w:top="567" w:right="1021" w:bottom="1133" w:left="737" w:header="709" w:footer="709" w:gutter="0"/>
          <w:cols w:space="708"/>
          <w:titlePg/>
          <w:docGrid w:linePitch="360"/>
        </w:sectPr>
      </w:pPr>
    </w:p>
    <w:p w:rsidR="009304D9" w:rsidRPr="00ED5572" w:rsidRDefault="009304D9" w:rsidP="009304D9">
      <w:pPr>
        <w:jc w:val="right"/>
        <w:rPr>
          <w:i/>
          <w:sz w:val="22"/>
          <w:szCs w:val="22"/>
          <w:lang w:val="en-US"/>
        </w:rPr>
      </w:pPr>
      <w:r w:rsidRPr="00ED5572">
        <w:rPr>
          <w:i/>
          <w:sz w:val="22"/>
          <w:szCs w:val="22"/>
          <w:lang w:val="en-US"/>
        </w:rPr>
        <w:lastRenderedPageBreak/>
        <w:t>Addenda 1</w:t>
      </w:r>
      <w:r w:rsidR="00FA4977">
        <w:rPr>
          <w:i/>
          <w:sz w:val="22"/>
          <w:szCs w:val="22"/>
          <w:lang w:val="en-US"/>
        </w:rPr>
        <w:t>3</w:t>
      </w:r>
      <w:r w:rsidRPr="00ED5572">
        <w:rPr>
          <w:i/>
          <w:sz w:val="22"/>
          <w:szCs w:val="22"/>
          <w:lang w:val="en-US"/>
        </w:rPr>
        <w:t>.1</w:t>
      </w:r>
    </w:p>
    <w:p w:rsidR="009304D9" w:rsidRPr="00B30F70" w:rsidRDefault="009304D9" w:rsidP="009304D9">
      <w:pPr>
        <w:pStyle w:val="1"/>
        <w:ind w:left="0"/>
        <w:jc w:val="center"/>
        <w:rPr>
          <w:rFonts w:ascii="Calibri" w:hAnsi="Calibri" w:cs="Calibri"/>
          <w:sz w:val="26"/>
          <w:szCs w:val="26"/>
          <w:lang w:val="en-US"/>
        </w:rPr>
      </w:pPr>
      <w:bookmarkStart w:id="37" w:name="_Toc67050813"/>
      <w:r w:rsidRPr="00B30F70">
        <w:rPr>
          <w:rFonts w:ascii="Calibri" w:hAnsi="Calibri" w:cs="Calibri"/>
          <w:sz w:val="26"/>
          <w:szCs w:val="26"/>
          <w:lang w:val="en-US"/>
        </w:rPr>
        <w:t xml:space="preserve">INTERNATIONAL INVESTMENT POSITION </w:t>
      </w:r>
      <w:r w:rsidR="005A353C">
        <w:rPr>
          <w:rFonts w:ascii="Calibri" w:hAnsi="Calibri" w:cs="Calibri"/>
          <w:sz w:val="26"/>
          <w:szCs w:val="26"/>
          <w:lang w:val="en-US"/>
        </w:rPr>
        <w:t>FOR</w:t>
      </w:r>
      <w:r w:rsidR="004A3D61">
        <w:rPr>
          <w:rFonts w:ascii="Calibri" w:hAnsi="Calibri" w:cs="Calibri"/>
          <w:sz w:val="26"/>
          <w:szCs w:val="26"/>
          <w:lang w:val="en-US"/>
        </w:rPr>
        <w:t xml:space="preserve"> </w:t>
      </w:r>
      <w:r w:rsidR="00FA4977">
        <w:rPr>
          <w:rFonts w:ascii="Calibri" w:hAnsi="Calibri" w:cs="Calibri"/>
          <w:sz w:val="26"/>
          <w:szCs w:val="26"/>
          <w:lang w:val="en-US"/>
        </w:rPr>
        <w:t>2020</w:t>
      </w:r>
      <w:bookmarkEnd w:id="37"/>
    </w:p>
    <w:p w:rsidR="009304D9" w:rsidRDefault="009304D9" w:rsidP="009304D9">
      <w:pPr>
        <w:jc w:val="center"/>
        <w:rPr>
          <w:rFonts w:cs="Calibri"/>
          <w:i/>
          <w:iCs/>
          <w:color w:val="000000"/>
          <w:szCs w:val="28"/>
          <w:lang w:val="en-US"/>
        </w:rPr>
      </w:pPr>
      <w:r w:rsidRPr="00F45A80">
        <w:rPr>
          <w:rFonts w:cs="Calibri"/>
          <w:i/>
          <w:iCs/>
          <w:color w:val="000000"/>
          <w:szCs w:val="28"/>
          <w:lang w:val="en-US"/>
        </w:rPr>
        <w:t>(detailed by main components)</w:t>
      </w:r>
    </w:p>
    <w:p w:rsidR="00C37955" w:rsidRDefault="00C37955" w:rsidP="00C37955">
      <w:pPr>
        <w:jc w:val="right"/>
        <w:rPr>
          <w:i/>
          <w:sz w:val="20"/>
          <w:szCs w:val="20"/>
          <w:lang w:val="en-US"/>
        </w:rPr>
      </w:pPr>
    </w:p>
    <w:p w:rsidR="00C37955" w:rsidRPr="00F45A80" w:rsidRDefault="00C37955" w:rsidP="00C37955">
      <w:pPr>
        <w:jc w:val="right"/>
        <w:rPr>
          <w:i/>
          <w:iCs/>
          <w:color w:val="000000"/>
          <w:sz w:val="20"/>
          <w:szCs w:val="20"/>
          <w:lang w:val="en-US"/>
        </w:rPr>
      </w:pPr>
      <w:r w:rsidRPr="00F45A80">
        <w:rPr>
          <w:i/>
          <w:sz w:val="20"/>
          <w:szCs w:val="20"/>
          <w:lang w:val="en-US"/>
        </w:rPr>
        <w:t>(mln. USD)</w:t>
      </w:r>
    </w:p>
    <w:tbl>
      <w:tblPr>
        <w:tblW w:w="14917" w:type="dxa"/>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20" w:firstRow="1" w:lastRow="0" w:firstColumn="0" w:lastColumn="0" w:noHBand="0" w:noVBand="0"/>
      </w:tblPr>
      <w:tblGrid>
        <w:gridCol w:w="3882"/>
        <w:gridCol w:w="2207"/>
        <w:gridCol w:w="2207"/>
        <w:gridCol w:w="2207"/>
        <w:gridCol w:w="2207"/>
        <w:gridCol w:w="2207"/>
      </w:tblGrid>
      <w:tr w:rsidR="004A3D61" w:rsidRPr="009F42C8" w:rsidTr="004A3D61">
        <w:trPr>
          <w:trHeight w:val="991"/>
        </w:trPr>
        <w:tc>
          <w:tcPr>
            <w:tcW w:w="3882" w:type="dxa"/>
            <w:vAlign w:val="center"/>
          </w:tcPr>
          <w:p w:rsidR="004A3D61" w:rsidRPr="004A3D61" w:rsidRDefault="004A3D61" w:rsidP="0036776D">
            <w:pPr>
              <w:jc w:val="center"/>
              <w:rPr>
                <w:rFonts w:asciiTheme="minorHAnsi" w:hAnsiTheme="minorHAnsi" w:cstheme="minorHAnsi"/>
                <w:b/>
                <w:bCs/>
                <w:color w:val="000000"/>
              </w:rPr>
            </w:pPr>
            <w:r w:rsidRPr="004A3D61">
              <w:rPr>
                <w:rFonts w:asciiTheme="minorHAnsi" w:hAnsiTheme="minorHAnsi" w:cstheme="minorHAnsi"/>
                <w:b/>
                <w:bCs/>
                <w:color w:val="000000"/>
              </w:rPr>
              <w:t>Indicator</w:t>
            </w:r>
          </w:p>
        </w:tc>
        <w:tc>
          <w:tcPr>
            <w:tcW w:w="2207" w:type="dxa"/>
            <w:vAlign w:val="center"/>
          </w:tcPr>
          <w:p w:rsidR="004A3D61" w:rsidRPr="004A3D61" w:rsidRDefault="00FA4977" w:rsidP="0036776D">
            <w:pPr>
              <w:autoSpaceDE w:val="0"/>
              <w:autoSpaceDN w:val="0"/>
              <w:adjustRightInd w:val="0"/>
              <w:ind w:right="83"/>
              <w:jc w:val="center"/>
              <w:rPr>
                <w:rFonts w:asciiTheme="minorHAnsi" w:hAnsiTheme="minorHAnsi" w:cstheme="minorHAnsi"/>
                <w:b/>
                <w:color w:val="000000"/>
                <w:lang w:val="en-US"/>
              </w:rPr>
            </w:pPr>
            <w:r w:rsidRPr="00C92486">
              <w:rPr>
                <w:rFonts w:asciiTheme="minorHAnsi" w:hAnsiTheme="minorHAnsi" w:cstheme="minorHAnsi"/>
                <w:b/>
                <w:color w:val="000000"/>
              </w:rPr>
              <w:t>01.01.2020</w:t>
            </w:r>
          </w:p>
        </w:tc>
        <w:tc>
          <w:tcPr>
            <w:tcW w:w="2207" w:type="dxa"/>
            <w:vAlign w:val="center"/>
          </w:tcPr>
          <w:p w:rsidR="004A3D61" w:rsidRPr="004A3D61" w:rsidRDefault="004A3D61" w:rsidP="0036776D">
            <w:pPr>
              <w:autoSpaceDE w:val="0"/>
              <w:autoSpaceDN w:val="0"/>
              <w:adjustRightInd w:val="0"/>
              <w:jc w:val="center"/>
              <w:rPr>
                <w:rFonts w:asciiTheme="minorHAnsi" w:hAnsiTheme="minorHAnsi" w:cstheme="minorHAnsi"/>
                <w:b/>
                <w:color w:val="000000"/>
                <w:lang w:val="en-US"/>
              </w:rPr>
            </w:pPr>
            <w:r w:rsidRPr="004A3D61">
              <w:rPr>
                <w:rFonts w:asciiTheme="minorHAnsi" w:hAnsiTheme="minorHAnsi" w:cstheme="minorHAnsi"/>
                <w:b/>
                <w:color w:val="000000"/>
                <w:lang w:val="en-US"/>
              </w:rPr>
              <w:t>BOP operations</w:t>
            </w:r>
          </w:p>
        </w:tc>
        <w:tc>
          <w:tcPr>
            <w:tcW w:w="2207" w:type="dxa"/>
            <w:vAlign w:val="center"/>
          </w:tcPr>
          <w:p w:rsidR="004A3D61" w:rsidRPr="004A3D61" w:rsidRDefault="004A3D61" w:rsidP="0036776D">
            <w:pPr>
              <w:autoSpaceDE w:val="0"/>
              <w:autoSpaceDN w:val="0"/>
              <w:adjustRightInd w:val="0"/>
              <w:jc w:val="center"/>
              <w:rPr>
                <w:rFonts w:asciiTheme="minorHAnsi" w:hAnsiTheme="minorHAnsi" w:cstheme="minorHAnsi"/>
                <w:b/>
                <w:color w:val="000000"/>
                <w:lang w:val="en-US"/>
              </w:rPr>
            </w:pPr>
            <w:r w:rsidRPr="004A3D61">
              <w:rPr>
                <w:rFonts w:asciiTheme="minorHAnsi" w:hAnsiTheme="minorHAnsi" w:cstheme="minorHAnsi"/>
                <w:b/>
                <w:color w:val="000000"/>
                <w:lang w:val="en-US"/>
              </w:rPr>
              <w:t>Non-operational changes</w:t>
            </w:r>
          </w:p>
        </w:tc>
        <w:tc>
          <w:tcPr>
            <w:tcW w:w="2207" w:type="dxa"/>
            <w:vAlign w:val="center"/>
          </w:tcPr>
          <w:p w:rsidR="004A3D61" w:rsidRPr="004A3D61" w:rsidRDefault="00FA4977" w:rsidP="0036776D">
            <w:pPr>
              <w:autoSpaceDE w:val="0"/>
              <w:autoSpaceDN w:val="0"/>
              <w:adjustRightInd w:val="0"/>
              <w:ind w:right="119"/>
              <w:jc w:val="center"/>
              <w:rPr>
                <w:rFonts w:asciiTheme="minorHAnsi" w:hAnsiTheme="minorHAnsi" w:cstheme="minorHAnsi"/>
                <w:b/>
                <w:color w:val="000000"/>
                <w:lang w:val="en-US"/>
              </w:rPr>
            </w:pPr>
            <w:r w:rsidRPr="00C92486">
              <w:rPr>
                <w:rFonts w:asciiTheme="minorHAnsi" w:hAnsiTheme="minorHAnsi" w:cstheme="minorHAnsi"/>
                <w:b/>
                <w:color w:val="000000"/>
              </w:rPr>
              <w:t>01.01.2021</w:t>
            </w:r>
          </w:p>
        </w:tc>
        <w:tc>
          <w:tcPr>
            <w:tcW w:w="2207" w:type="dxa"/>
            <w:vAlign w:val="center"/>
          </w:tcPr>
          <w:p w:rsidR="004A3D61" w:rsidRPr="004A3D61" w:rsidRDefault="004A3D61" w:rsidP="00FA4977">
            <w:pPr>
              <w:autoSpaceDE w:val="0"/>
              <w:autoSpaceDN w:val="0"/>
              <w:adjustRightInd w:val="0"/>
              <w:jc w:val="center"/>
              <w:rPr>
                <w:rFonts w:asciiTheme="minorHAnsi" w:hAnsiTheme="minorHAnsi" w:cstheme="minorHAnsi"/>
                <w:b/>
                <w:color w:val="000000"/>
                <w:lang w:val="en-US"/>
              </w:rPr>
            </w:pPr>
            <w:r>
              <w:rPr>
                <w:rFonts w:asciiTheme="minorHAnsi" w:hAnsiTheme="minorHAnsi" w:cstheme="minorHAnsi"/>
                <w:b/>
                <w:color w:val="000000"/>
                <w:lang w:val="en-US"/>
              </w:rPr>
              <w:t xml:space="preserve">Change for </w:t>
            </w:r>
            <w:r w:rsidR="00FA4977">
              <w:rPr>
                <w:rFonts w:asciiTheme="minorHAnsi" w:hAnsiTheme="minorHAnsi" w:cstheme="minorHAnsi"/>
                <w:b/>
                <w:color w:val="000000"/>
                <w:lang w:val="en-US"/>
              </w:rPr>
              <w:t>2020</w:t>
            </w:r>
          </w:p>
        </w:tc>
      </w:tr>
      <w:tr w:rsidR="00FA4977" w:rsidRPr="004A3D61" w:rsidTr="008A5960">
        <w:trPr>
          <w:trHeight w:val="511"/>
        </w:trPr>
        <w:tc>
          <w:tcPr>
            <w:tcW w:w="3882" w:type="dxa"/>
            <w:shd w:val="clear" w:color="auto" w:fill="BDD6EE" w:themeFill="accent1" w:themeFillTint="66"/>
            <w:vAlign w:val="center"/>
          </w:tcPr>
          <w:p w:rsidR="00FA4977" w:rsidRPr="004A3D61" w:rsidRDefault="00FA4977" w:rsidP="00FA4977">
            <w:pPr>
              <w:rPr>
                <w:rFonts w:asciiTheme="minorHAnsi" w:hAnsiTheme="minorHAnsi" w:cstheme="minorHAnsi"/>
                <w:b/>
                <w:bCs/>
                <w:color w:val="000000"/>
                <w:lang w:val="en-US"/>
              </w:rPr>
            </w:pPr>
            <w:r w:rsidRPr="004A3D61">
              <w:rPr>
                <w:rFonts w:asciiTheme="minorHAnsi" w:hAnsiTheme="minorHAnsi" w:cstheme="minorHAnsi"/>
                <w:b/>
                <w:bCs/>
                <w:color w:val="000000"/>
                <w:lang w:val="en-US"/>
              </w:rPr>
              <w:t>Net investment position</w:t>
            </w:r>
          </w:p>
        </w:tc>
        <w:tc>
          <w:tcPr>
            <w:tcW w:w="2207" w:type="dxa"/>
            <w:shd w:val="clear" w:color="auto" w:fill="BDD6EE" w:themeFill="accent1" w:themeFillTint="66"/>
            <w:vAlign w:val="center"/>
          </w:tcPr>
          <w:p w:rsidR="00FA4977" w:rsidRPr="00C92486" w:rsidRDefault="00FA4977" w:rsidP="00FA4977">
            <w:pPr>
              <w:jc w:val="center"/>
              <w:rPr>
                <w:rFonts w:asciiTheme="minorHAnsi" w:hAnsiTheme="minorHAnsi" w:cstheme="minorHAnsi"/>
                <w:b/>
                <w:bCs/>
                <w:color w:val="000000"/>
              </w:rPr>
            </w:pPr>
            <w:r w:rsidRPr="00C92486">
              <w:rPr>
                <w:rFonts w:asciiTheme="minorHAnsi" w:hAnsiTheme="minorHAnsi" w:cstheme="minorHAnsi"/>
                <w:b/>
                <w:bCs/>
                <w:color w:val="000000"/>
              </w:rPr>
              <w:t>19 799,5</w:t>
            </w:r>
          </w:p>
        </w:tc>
        <w:tc>
          <w:tcPr>
            <w:tcW w:w="2207" w:type="dxa"/>
            <w:shd w:val="clear" w:color="auto" w:fill="BDD6EE" w:themeFill="accent1" w:themeFillTint="66"/>
            <w:vAlign w:val="center"/>
          </w:tcPr>
          <w:p w:rsidR="00FA4977" w:rsidRPr="00C92486" w:rsidRDefault="00FA4977" w:rsidP="00FA4977">
            <w:pPr>
              <w:jc w:val="center"/>
              <w:rPr>
                <w:rFonts w:asciiTheme="minorHAnsi" w:hAnsiTheme="minorHAnsi" w:cstheme="minorHAnsi"/>
                <w:b/>
                <w:bCs/>
                <w:color w:val="000000"/>
              </w:rPr>
            </w:pPr>
            <w:r w:rsidRPr="00C92486">
              <w:rPr>
                <w:rFonts w:asciiTheme="minorHAnsi" w:hAnsiTheme="minorHAnsi" w:cstheme="minorHAnsi"/>
                <w:b/>
                <w:bCs/>
                <w:color w:val="000000"/>
              </w:rPr>
              <w:t>-4 014,6</w:t>
            </w:r>
          </w:p>
        </w:tc>
        <w:tc>
          <w:tcPr>
            <w:tcW w:w="2207" w:type="dxa"/>
            <w:shd w:val="clear" w:color="auto" w:fill="BDD6EE" w:themeFill="accent1" w:themeFillTint="66"/>
            <w:vAlign w:val="center"/>
          </w:tcPr>
          <w:p w:rsidR="00FA4977" w:rsidRPr="00C92486" w:rsidRDefault="00FA4977" w:rsidP="00FA4977">
            <w:pPr>
              <w:jc w:val="center"/>
              <w:rPr>
                <w:rFonts w:asciiTheme="minorHAnsi" w:hAnsiTheme="minorHAnsi" w:cstheme="minorHAnsi"/>
                <w:b/>
                <w:bCs/>
                <w:color w:val="000000"/>
              </w:rPr>
            </w:pPr>
            <w:r w:rsidRPr="00C92486">
              <w:rPr>
                <w:rFonts w:asciiTheme="minorHAnsi" w:hAnsiTheme="minorHAnsi" w:cstheme="minorHAnsi"/>
                <w:b/>
                <w:bCs/>
                <w:color w:val="000000"/>
              </w:rPr>
              <w:t>4 582,3</w:t>
            </w:r>
          </w:p>
        </w:tc>
        <w:tc>
          <w:tcPr>
            <w:tcW w:w="2207" w:type="dxa"/>
            <w:shd w:val="clear" w:color="auto" w:fill="BDD6EE" w:themeFill="accent1" w:themeFillTint="66"/>
            <w:vAlign w:val="center"/>
          </w:tcPr>
          <w:p w:rsidR="00FA4977" w:rsidRPr="00C92486" w:rsidRDefault="00FA4977" w:rsidP="00FA4977">
            <w:pPr>
              <w:jc w:val="center"/>
              <w:rPr>
                <w:rFonts w:asciiTheme="minorHAnsi" w:hAnsiTheme="minorHAnsi" w:cstheme="minorHAnsi"/>
                <w:b/>
                <w:bCs/>
                <w:color w:val="000000"/>
              </w:rPr>
            </w:pPr>
            <w:r w:rsidRPr="00C92486">
              <w:rPr>
                <w:rFonts w:asciiTheme="minorHAnsi" w:hAnsiTheme="minorHAnsi" w:cstheme="minorHAnsi"/>
                <w:b/>
                <w:bCs/>
                <w:color w:val="000000"/>
              </w:rPr>
              <w:t>20 367,1</w:t>
            </w:r>
          </w:p>
        </w:tc>
        <w:tc>
          <w:tcPr>
            <w:tcW w:w="2207" w:type="dxa"/>
            <w:shd w:val="clear" w:color="auto" w:fill="BDD6EE" w:themeFill="accent1" w:themeFillTint="66"/>
            <w:vAlign w:val="center"/>
          </w:tcPr>
          <w:p w:rsidR="00FA4977" w:rsidRPr="00C92486" w:rsidRDefault="00FA4977" w:rsidP="00FA4977">
            <w:pPr>
              <w:jc w:val="center"/>
              <w:rPr>
                <w:rFonts w:asciiTheme="minorHAnsi" w:hAnsiTheme="minorHAnsi" w:cstheme="minorHAnsi"/>
                <w:b/>
                <w:color w:val="000000"/>
              </w:rPr>
            </w:pPr>
            <w:r w:rsidRPr="00C92486">
              <w:rPr>
                <w:rFonts w:asciiTheme="minorHAnsi" w:hAnsiTheme="minorHAnsi" w:cstheme="minorHAnsi"/>
                <w:b/>
                <w:color w:val="000000"/>
              </w:rPr>
              <w:t>567,6</w:t>
            </w:r>
          </w:p>
        </w:tc>
      </w:tr>
      <w:tr w:rsidR="00FA4977" w:rsidRPr="004A3D61" w:rsidTr="008A5960">
        <w:trPr>
          <w:trHeight w:val="511"/>
        </w:trPr>
        <w:tc>
          <w:tcPr>
            <w:tcW w:w="3882" w:type="dxa"/>
            <w:shd w:val="clear" w:color="auto" w:fill="BDD6EE" w:themeFill="accent1" w:themeFillTint="66"/>
            <w:vAlign w:val="center"/>
          </w:tcPr>
          <w:p w:rsidR="00FA4977" w:rsidRPr="004A3D61" w:rsidRDefault="00FA4977" w:rsidP="00FA4977">
            <w:pPr>
              <w:rPr>
                <w:rFonts w:asciiTheme="minorHAnsi" w:hAnsiTheme="minorHAnsi" w:cstheme="minorHAnsi"/>
                <w:b/>
                <w:bCs/>
                <w:color w:val="000000"/>
                <w:lang w:val="en-US"/>
              </w:rPr>
            </w:pPr>
            <w:r w:rsidRPr="004A3D61">
              <w:rPr>
                <w:rFonts w:asciiTheme="minorHAnsi" w:hAnsiTheme="minorHAnsi" w:cstheme="minorHAnsi"/>
                <w:b/>
                <w:bCs/>
                <w:color w:val="000000"/>
                <w:lang w:val="en-US"/>
              </w:rPr>
              <w:t>Assets</w:t>
            </w:r>
          </w:p>
        </w:tc>
        <w:tc>
          <w:tcPr>
            <w:tcW w:w="2207" w:type="dxa"/>
            <w:shd w:val="clear" w:color="auto" w:fill="BDD6EE" w:themeFill="accent1" w:themeFillTint="66"/>
            <w:vAlign w:val="center"/>
          </w:tcPr>
          <w:p w:rsidR="00FA4977" w:rsidRPr="00C92486" w:rsidRDefault="00FA4977" w:rsidP="00FA4977">
            <w:pPr>
              <w:jc w:val="center"/>
              <w:rPr>
                <w:rFonts w:asciiTheme="minorHAnsi" w:hAnsiTheme="minorHAnsi" w:cstheme="minorHAnsi"/>
                <w:b/>
                <w:bCs/>
                <w:color w:val="000000"/>
              </w:rPr>
            </w:pPr>
            <w:r w:rsidRPr="00C92486">
              <w:rPr>
                <w:rFonts w:asciiTheme="minorHAnsi" w:hAnsiTheme="minorHAnsi" w:cstheme="minorHAnsi"/>
                <w:b/>
                <w:bCs/>
                <w:color w:val="000000"/>
              </w:rPr>
              <w:t>54 883,8</w:t>
            </w:r>
          </w:p>
        </w:tc>
        <w:tc>
          <w:tcPr>
            <w:tcW w:w="2207" w:type="dxa"/>
            <w:shd w:val="clear" w:color="auto" w:fill="BDD6EE" w:themeFill="accent1" w:themeFillTint="66"/>
            <w:vAlign w:val="center"/>
          </w:tcPr>
          <w:p w:rsidR="00FA4977" w:rsidRPr="00C92486" w:rsidRDefault="00FA4977" w:rsidP="00FA4977">
            <w:pPr>
              <w:jc w:val="center"/>
              <w:rPr>
                <w:rFonts w:asciiTheme="minorHAnsi" w:hAnsiTheme="minorHAnsi" w:cstheme="minorHAnsi"/>
                <w:b/>
                <w:bCs/>
                <w:color w:val="000000"/>
              </w:rPr>
            </w:pPr>
            <w:r w:rsidRPr="00C92486">
              <w:rPr>
                <w:rFonts w:asciiTheme="minorHAnsi" w:hAnsiTheme="minorHAnsi" w:cstheme="minorHAnsi"/>
                <w:b/>
                <w:bCs/>
                <w:color w:val="000000"/>
              </w:rPr>
              <w:t>7 038,2</w:t>
            </w:r>
          </w:p>
        </w:tc>
        <w:tc>
          <w:tcPr>
            <w:tcW w:w="2207" w:type="dxa"/>
            <w:shd w:val="clear" w:color="auto" w:fill="BDD6EE" w:themeFill="accent1" w:themeFillTint="66"/>
            <w:vAlign w:val="center"/>
          </w:tcPr>
          <w:p w:rsidR="00FA4977" w:rsidRPr="00C92486" w:rsidRDefault="00FA4977" w:rsidP="00FA4977">
            <w:pPr>
              <w:jc w:val="center"/>
              <w:rPr>
                <w:rFonts w:asciiTheme="minorHAnsi" w:hAnsiTheme="minorHAnsi" w:cstheme="minorHAnsi"/>
                <w:b/>
                <w:bCs/>
                <w:color w:val="000000"/>
              </w:rPr>
            </w:pPr>
            <w:r w:rsidRPr="00C92486">
              <w:rPr>
                <w:rFonts w:asciiTheme="minorHAnsi" w:hAnsiTheme="minorHAnsi" w:cstheme="minorHAnsi"/>
                <w:b/>
                <w:bCs/>
                <w:color w:val="000000"/>
              </w:rPr>
              <w:t>3 995,7</w:t>
            </w:r>
          </w:p>
        </w:tc>
        <w:tc>
          <w:tcPr>
            <w:tcW w:w="2207" w:type="dxa"/>
            <w:shd w:val="clear" w:color="auto" w:fill="BDD6EE" w:themeFill="accent1" w:themeFillTint="66"/>
            <w:vAlign w:val="center"/>
          </w:tcPr>
          <w:p w:rsidR="00FA4977" w:rsidRPr="00C92486" w:rsidRDefault="00FA4977" w:rsidP="00FA4977">
            <w:pPr>
              <w:jc w:val="center"/>
              <w:rPr>
                <w:rFonts w:asciiTheme="minorHAnsi" w:hAnsiTheme="minorHAnsi" w:cstheme="minorHAnsi"/>
                <w:b/>
                <w:bCs/>
                <w:color w:val="000000"/>
              </w:rPr>
            </w:pPr>
            <w:r w:rsidRPr="00C92486">
              <w:rPr>
                <w:rFonts w:asciiTheme="minorHAnsi" w:hAnsiTheme="minorHAnsi" w:cstheme="minorHAnsi"/>
                <w:b/>
                <w:bCs/>
                <w:color w:val="000000"/>
              </w:rPr>
              <w:t>65 917,6</w:t>
            </w:r>
          </w:p>
        </w:tc>
        <w:tc>
          <w:tcPr>
            <w:tcW w:w="2207" w:type="dxa"/>
            <w:shd w:val="clear" w:color="auto" w:fill="BDD6EE" w:themeFill="accent1" w:themeFillTint="66"/>
            <w:vAlign w:val="center"/>
          </w:tcPr>
          <w:p w:rsidR="00FA4977" w:rsidRPr="00C92486" w:rsidRDefault="00FA4977" w:rsidP="00FA4977">
            <w:pPr>
              <w:jc w:val="center"/>
              <w:rPr>
                <w:rFonts w:asciiTheme="minorHAnsi" w:hAnsiTheme="minorHAnsi" w:cstheme="minorHAnsi"/>
                <w:b/>
                <w:color w:val="000000"/>
              </w:rPr>
            </w:pPr>
            <w:r w:rsidRPr="00C92486">
              <w:rPr>
                <w:rFonts w:asciiTheme="minorHAnsi" w:hAnsiTheme="minorHAnsi" w:cstheme="minorHAnsi"/>
                <w:b/>
                <w:color w:val="000000"/>
              </w:rPr>
              <w:t>11 033,8</w:t>
            </w:r>
          </w:p>
        </w:tc>
      </w:tr>
      <w:tr w:rsidR="00FA4977" w:rsidRPr="004A3D61" w:rsidTr="004A3D61">
        <w:trPr>
          <w:trHeight w:val="511"/>
        </w:trPr>
        <w:tc>
          <w:tcPr>
            <w:tcW w:w="3882" w:type="dxa"/>
            <w:vAlign w:val="center"/>
          </w:tcPr>
          <w:p w:rsidR="00FA4977" w:rsidRPr="004A3D61" w:rsidRDefault="00FA4977" w:rsidP="00FA4977">
            <w:pPr>
              <w:rPr>
                <w:rFonts w:asciiTheme="minorHAnsi" w:hAnsiTheme="minorHAnsi" w:cstheme="minorHAnsi"/>
                <w:color w:val="000000"/>
                <w:lang w:val="en-US"/>
              </w:rPr>
            </w:pPr>
            <w:r w:rsidRPr="004A3D61">
              <w:rPr>
                <w:rFonts w:asciiTheme="minorHAnsi" w:hAnsiTheme="minorHAnsi" w:cstheme="minorHAnsi"/>
                <w:color w:val="000000"/>
                <w:lang w:val="en-US"/>
              </w:rPr>
              <w:t>Direct investments</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194,5</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1,7</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-0,6</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195,6</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1,1</w:t>
            </w:r>
          </w:p>
        </w:tc>
      </w:tr>
      <w:tr w:rsidR="00FA4977" w:rsidRPr="004A3D61" w:rsidTr="004A3D61">
        <w:trPr>
          <w:trHeight w:val="511"/>
        </w:trPr>
        <w:tc>
          <w:tcPr>
            <w:tcW w:w="3882" w:type="dxa"/>
            <w:vAlign w:val="center"/>
          </w:tcPr>
          <w:p w:rsidR="00FA4977" w:rsidRPr="004A3D61" w:rsidRDefault="00FA4977" w:rsidP="00FA4977">
            <w:pPr>
              <w:rPr>
                <w:rFonts w:asciiTheme="minorHAnsi" w:hAnsiTheme="minorHAnsi" w:cstheme="minorHAnsi"/>
                <w:color w:val="000000"/>
                <w:lang w:val="en-US"/>
              </w:rPr>
            </w:pPr>
            <w:r w:rsidRPr="004A3D61">
              <w:rPr>
                <w:rFonts w:asciiTheme="minorHAnsi" w:hAnsiTheme="minorHAnsi" w:cstheme="minorHAnsi"/>
                <w:color w:val="000000"/>
                <w:lang w:val="en-US"/>
              </w:rPr>
              <w:t>Portfolio investments</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2,6</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-0,1</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-0,1</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2,4</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-0,2</w:t>
            </w:r>
          </w:p>
        </w:tc>
      </w:tr>
      <w:tr w:rsidR="00FA4977" w:rsidRPr="004A3D61" w:rsidTr="004A3D61">
        <w:trPr>
          <w:trHeight w:val="511"/>
        </w:trPr>
        <w:tc>
          <w:tcPr>
            <w:tcW w:w="3882" w:type="dxa"/>
            <w:vAlign w:val="center"/>
          </w:tcPr>
          <w:p w:rsidR="00FA4977" w:rsidRPr="004A3D61" w:rsidRDefault="00FA4977" w:rsidP="00FA4977">
            <w:pPr>
              <w:rPr>
                <w:rFonts w:asciiTheme="minorHAnsi" w:hAnsiTheme="minorHAnsi" w:cstheme="minorHAnsi"/>
                <w:color w:val="000000"/>
                <w:lang w:val="en-US"/>
              </w:rPr>
            </w:pPr>
            <w:r w:rsidRPr="004A3D61">
              <w:rPr>
                <w:rFonts w:asciiTheme="minorHAnsi" w:hAnsiTheme="minorHAnsi" w:cstheme="minorHAnsi"/>
                <w:color w:val="000000"/>
                <w:lang w:val="en-US"/>
              </w:rPr>
              <w:t>Other investments</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25 514,6</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5 265,2</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35,9</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30 815,6</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5 301,0</w:t>
            </w:r>
          </w:p>
        </w:tc>
      </w:tr>
      <w:tr w:rsidR="00FA4977" w:rsidRPr="004A3D61" w:rsidTr="004A3D61">
        <w:trPr>
          <w:trHeight w:val="511"/>
        </w:trPr>
        <w:tc>
          <w:tcPr>
            <w:tcW w:w="3882" w:type="dxa"/>
            <w:vAlign w:val="center"/>
          </w:tcPr>
          <w:p w:rsidR="00FA4977" w:rsidRPr="004A3D61" w:rsidRDefault="00FA4977" w:rsidP="00FA4977">
            <w:pPr>
              <w:ind w:left="309"/>
              <w:rPr>
                <w:rFonts w:asciiTheme="minorHAnsi" w:hAnsiTheme="minorHAnsi" w:cstheme="minorHAnsi"/>
                <w:i/>
                <w:iCs/>
                <w:color w:val="000000"/>
                <w:lang w:val="en-US"/>
              </w:rPr>
            </w:pPr>
            <w:r w:rsidRPr="004A3D61">
              <w:rPr>
                <w:rFonts w:asciiTheme="minorHAnsi" w:hAnsiTheme="minorHAnsi" w:cstheme="minorHAnsi"/>
                <w:i/>
                <w:iCs/>
                <w:color w:val="000000"/>
                <w:lang w:val="en-US"/>
              </w:rPr>
              <w:t>of which currency and deposits</w:t>
            </w:r>
          </w:p>
        </w:tc>
        <w:tc>
          <w:tcPr>
            <w:tcW w:w="2207" w:type="dxa"/>
            <w:vAlign w:val="center"/>
          </w:tcPr>
          <w:p w:rsidR="00FA4977" w:rsidRPr="00C92486" w:rsidRDefault="00FA4977" w:rsidP="00FA4977">
            <w:pPr>
              <w:jc w:val="center"/>
              <w:rPr>
                <w:rFonts w:asciiTheme="minorHAnsi" w:hAnsiTheme="minorHAnsi" w:cstheme="minorHAnsi"/>
                <w:i/>
                <w:iCs/>
                <w:color w:val="000000"/>
              </w:rPr>
            </w:pPr>
            <w:r w:rsidRPr="00C92486">
              <w:rPr>
                <w:rFonts w:asciiTheme="minorHAnsi" w:hAnsiTheme="minorHAnsi" w:cstheme="minorHAnsi"/>
                <w:i/>
                <w:iCs/>
                <w:color w:val="000000"/>
              </w:rPr>
              <w:t>19 793,9</w:t>
            </w:r>
          </w:p>
        </w:tc>
        <w:tc>
          <w:tcPr>
            <w:tcW w:w="2207" w:type="dxa"/>
            <w:vAlign w:val="center"/>
          </w:tcPr>
          <w:p w:rsidR="00FA4977" w:rsidRPr="00C92486" w:rsidRDefault="00FA4977" w:rsidP="00FA4977">
            <w:pPr>
              <w:jc w:val="center"/>
              <w:rPr>
                <w:rFonts w:asciiTheme="minorHAnsi" w:hAnsiTheme="minorHAnsi" w:cstheme="minorHAnsi"/>
                <w:i/>
                <w:iCs/>
                <w:color w:val="000000"/>
              </w:rPr>
            </w:pPr>
            <w:r w:rsidRPr="00C92486">
              <w:rPr>
                <w:rFonts w:asciiTheme="minorHAnsi" w:hAnsiTheme="minorHAnsi" w:cstheme="minorHAnsi"/>
                <w:i/>
                <w:iCs/>
                <w:color w:val="000000"/>
              </w:rPr>
              <w:t>3 149,4</w:t>
            </w:r>
          </w:p>
        </w:tc>
        <w:tc>
          <w:tcPr>
            <w:tcW w:w="2207" w:type="dxa"/>
            <w:vAlign w:val="center"/>
          </w:tcPr>
          <w:p w:rsidR="00FA4977" w:rsidRPr="00C92486" w:rsidRDefault="00FA4977" w:rsidP="00FA4977">
            <w:pPr>
              <w:jc w:val="center"/>
              <w:rPr>
                <w:rFonts w:asciiTheme="minorHAnsi" w:hAnsiTheme="minorHAnsi" w:cstheme="minorHAnsi"/>
                <w:i/>
                <w:iCs/>
                <w:color w:val="000000"/>
              </w:rPr>
            </w:pPr>
            <w:r w:rsidRPr="00C92486">
              <w:rPr>
                <w:rFonts w:asciiTheme="minorHAnsi" w:hAnsiTheme="minorHAnsi" w:cstheme="minorHAnsi"/>
                <w:i/>
                <w:iCs/>
                <w:color w:val="000000"/>
              </w:rPr>
              <w:t>35,6</w:t>
            </w:r>
          </w:p>
        </w:tc>
        <w:tc>
          <w:tcPr>
            <w:tcW w:w="2207" w:type="dxa"/>
            <w:vAlign w:val="center"/>
          </w:tcPr>
          <w:p w:rsidR="00FA4977" w:rsidRPr="00C92486" w:rsidRDefault="00FA4977" w:rsidP="00FA4977">
            <w:pPr>
              <w:jc w:val="center"/>
              <w:rPr>
                <w:rFonts w:asciiTheme="minorHAnsi" w:hAnsiTheme="minorHAnsi" w:cstheme="minorHAnsi"/>
                <w:i/>
                <w:iCs/>
                <w:color w:val="000000"/>
              </w:rPr>
            </w:pPr>
            <w:r w:rsidRPr="00C92486">
              <w:rPr>
                <w:rFonts w:asciiTheme="minorHAnsi" w:hAnsiTheme="minorHAnsi" w:cstheme="minorHAnsi"/>
                <w:i/>
                <w:iCs/>
                <w:color w:val="000000"/>
              </w:rPr>
              <w:t>22 978,8</w:t>
            </w:r>
          </w:p>
        </w:tc>
        <w:tc>
          <w:tcPr>
            <w:tcW w:w="2207" w:type="dxa"/>
            <w:vAlign w:val="center"/>
          </w:tcPr>
          <w:p w:rsidR="00FA4977" w:rsidRPr="00C92486" w:rsidRDefault="00FA4977" w:rsidP="00FA4977">
            <w:pPr>
              <w:jc w:val="center"/>
              <w:rPr>
                <w:rFonts w:asciiTheme="minorHAnsi" w:hAnsiTheme="minorHAnsi" w:cstheme="minorHAnsi"/>
                <w:i/>
                <w:iCs/>
                <w:color w:val="000000"/>
              </w:rPr>
            </w:pPr>
            <w:r w:rsidRPr="00C92486">
              <w:rPr>
                <w:rFonts w:asciiTheme="minorHAnsi" w:hAnsiTheme="minorHAnsi" w:cstheme="minorHAnsi"/>
                <w:i/>
                <w:iCs/>
                <w:color w:val="000000"/>
              </w:rPr>
              <w:t>3 185,0</w:t>
            </w:r>
          </w:p>
        </w:tc>
      </w:tr>
      <w:tr w:rsidR="00FA4977" w:rsidRPr="004A3D61" w:rsidTr="004A3D61">
        <w:trPr>
          <w:trHeight w:val="511"/>
        </w:trPr>
        <w:tc>
          <w:tcPr>
            <w:tcW w:w="3882" w:type="dxa"/>
            <w:vAlign w:val="center"/>
          </w:tcPr>
          <w:p w:rsidR="00FA4977" w:rsidRPr="004A3D61" w:rsidRDefault="00FA4977" w:rsidP="00FA4977">
            <w:pPr>
              <w:rPr>
                <w:rFonts w:asciiTheme="minorHAnsi" w:hAnsiTheme="minorHAnsi" w:cstheme="minorHAnsi"/>
                <w:color w:val="000000"/>
                <w:lang w:val="en-US"/>
              </w:rPr>
            </w:pPr>
            <w:r w:rsidRPr="004A3D61">
              <w:rPr>
                <w:rFonts w:asciiTheme="minorHAnsi" w:hAnsiTheme="minorHAnsi" w:cstheme="minorHAnsi"/>
                <w:color w:val="000000"/>
                <w:lang w:val="en-US"/>
              </w:rPr>
              <w:t>Reserve assets</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29 172,1</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1 771,4</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3 960,4</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34 904,0</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5 731,8</w:t>
            </w:r>
          </w:p>
        </w:tc>
      </w:tr>
      <w:tr w:rsidR="00FA4977" w:rsidRPr="004A3D61" w:rsidTr="008A5960">
        <w:trPr>
          <w:trHeight w:val="511"/>
        </w:trPr>
        <w:tc>
          <w:tcPr>
            <w:tcW w:w="3882" w:type="dxa"/>
            <w:shd w:val="clear" w:color="auto" w:fill="BDD6EE" w:themeFill="accent1" w:themeFillTint="66"/>
            <w:vAlign w:val="center"/>
          </w:tcPr>
          <w:p w:rsidR="00FA4977" w:rsidRPr="004A3D61" w:rsidRDefault="00FA4977" w:rsidP="00FA4977">
            <w:pPr>
              <w:rPr>
                <w:rFonts w:asciiTheme="minorHAnsi" w:hAnsiTheme="minorHAnsi" w:cstheme="minorHAnsi"/>
                <w:b/>
                <w:bCs/>
                <w:color w:val="000000"/>
                <w:lang w:val="en-US"/>
              </w:rPr>
            </w:pPr>
            <w:r w:rsidRPr="004A3D61">
              <w:rPr>
                <w:rFonts w:asciiTheme="minorHAnsi" w:hAnsiTheme="minorHAnsi" w:cstheme="minorHAnsi"/>
                <w:b/>
                <w:bCs/>
                <w:color w:val="000000"/>
                <w:lang w:val="en-US"/>
              </w:rPr>
              <w:t>Liabilities</w:t>
            </w:r>
          </w:p>
        </w:tc>
        <w:tc>
          <w:tcPr>
            <w:tcW w:w="2207" w:type="dxa"/>
            <w:shd w:val="clear" w:color="auto" w:fill="BDD6EE" w:themeFill="accent1" w:themeFillTint="66"/>
            <w:vAlign w:val="center"/>
          </w:tcPr>
          <w:p w:rsidR="00FA4977" w:rsidRPr="00C92486" w:rsidRDefault="00FA4977" w:rsidP="00FA4977">
            <w:pPr>
              <w:jc w:val="center"/>
              <w:rPr>
                <w:rFonts w:asciiTheme="minorHAnsi" w:hAnsiTheme="minorHAnsi" w:cstheme="minorHAnsi"/>
                <w:b/>
                <w:bCs/>
                <w:color w:val="000000"/>
              </w:rPr>
            </w:pPr>
            <w:r w:rsidRPr="00C92486">
              <w:rPr>
                <w:rFonts w:asciiTheme="minorHAnsi" w:hAnsiTheme="minorHAnsi" w:cstheme="minorHAnsi"/>
                <w:b/>
                <w:bCs/>
                <w:color w:val="000000"/>
              </w:rPr>
              <w:t>35 084,3</w:t>
            </w:r>
          </w:p>
        </w:tc>
        <w:tc>
          <w:tcPr>
            <w:tcW w:w="2207" w:type="dxa"/>
            <w:shd w:val="clear" w:color="auto" w:fill="BDD6EE" w:themeFill="accent1" w:themeFillTint="66"/>
            <w:vAlign w:val="center"/>
          </w:tcPr>
          <w:p w:rsidR="00FA4977" w:rsidRPr="00C92486" w:rsidRDefault="00FA4977" w:rsidP="00FA4977">
            <w:pPr>
              <w:jc w:val="center"/>
              <w:rPr>
                <w:rFonts w:asciiTheme="minorHAnsi" w:hAnsiTheme="minorHAnsi" w:cstheme="minorHAnsi"/>
                <w:b/>
                <w:bCs/>
                <w:color w:val="000000"/>
              </w:rPr>
            </w:pPr>
            <w:r w:rsidRPr="00C92486">
              <w:rPr>
                <w:rFonts w:asciiTheme="minorHAnsi" w:hAnsiTheme="minorHAnsi" w:cstheme="minorHAnsi"/>
                <w:b/>
                <w:bCs/>
                <w:color w:val="000000"/>
              </w:rPr>
              <w:t>11 052,8</w:t>
            </w:r>
          </w:p>
        </w:tc>
        <w:tc>
          <w:tcPr>
            <w:tcW w:w="2207" w:type="dxa"/>
            <w:shd w:val="clear" w:color="auto" w:fill="BDD6EE" w:themeFill="accent1" w:themeFillTint="66"/>
            <w:vAlign w:val="center"/>
          </w:tcPr>
          <w:p w:rsidR="00FA4977" w:rsidRPr="00C92486" w:rsidRDefault="00FA4977" w:rsidP="00FA4977">
            <w:pPr>
              <w:jc w:val="center"/>
              <w:rPr>
                <w:rFonts w:asciiTheme="minorHAnsi" w:hAnsiTheme="minorHAnsi" w:cstheme="minorHAnsi"/>
                <w:b/>
                <w:bCs/>
                <w:color w:val="000000"/>
              </w:rPr>
            </w:pPr>
            <w:r w:rsidRPr="00C92486">
              <w:rPr>
                <w:rFonts w:asciiTheme="minorHAnsi" w:hAnsiTheme="minorHAnsi" w:cstheme="minorHAnsi"/>
                <w:b/>
                <w:bCs/>
                <w:color w:val="000000"/>
              </w:rPr>
              <w:t>-586,6</w:t>
            </w:r>
          </w:p>
        </w:tc>
        <w:tc>
          <w:tcPr>
            <w:tcW w:w="2207" w:type="dxa"/>
            <w:shd w:val="clear" w:color="auto" w:fill="BDD6EE" w:themeFill="accent1" w:themeFillTint="66"/>
            <w:vAlign w:val="center"/>
          </w:tcPr>
          <w:p w:rsidR="00FA4977" w:rsidRPr="00C92486" w:rsidRDefault="00FA4977" w:rsidP="00FA4977">
            <w:pPr>
              <w:jc w:val="center"/>
              <w:rPr>
                <w:rFonts w:asciiTheme="minorHAnsi" w:hAnsiTheme="minorHAnsi" w:cstheme="minorHAnsi"/>
                <w:b/>
                <w:bCs/>
                <w:color w:val="000000"/>
              </w:rPr>
            </w:pPr>
            <w:r w:rsidRPr="00C92486">
              <w:rPr>
                <w:rFonts w:asciiTheme="minorHAnsi" w:hAnsiTheme="minorHAnsi" w:cstheme="minorHAnsi"/>
                <w:b/>
                <w:bCs/>
                <w:color w:val="000000"/>
              </w:rPr>
              <w:t>45 550,5</w:t>
            </w:r>
          </w:p>
        </w:tc>
        <w:tc>
          <w:tcPr>
            <w:tcW w:w="2207" w:type="dxa"/>
            <w:shd w:val="clear" w:color="auto" w:fill="BDD6EE" w:themeFill="accent1" w:themeFillTint="66"/>
            <w:vAlign w:val="center"/>
          </w:tcPr>
          <w:p w:rsidR="00FA4977" w:rsidRPr="00C92486" w:rsidRDefault="00FA4977" w:rsidP="00FA4977">
            <w:pPr>
              <w:jc w:val="center"/>
              <w:rPr>
                <w:rFonts w:asciiTheme="minorHAnsi" w:hAnsiTheme="minorHAnsi" w:cstheme="minorHAnsi"/>
                <w:b/>
                <w:color w:val="000000"/>
              </w:rPr>
            </w:pPr>
            <w:r w:rsidRPr="00C92486">
              <w:rPr>
                <w:rFonts w:asciiTheme="minorHAnsi" w:hAnsiTheme="minorHAnsi" w:cstheme="minorHAnsi"/>
                <w:b/>
                <w:color w:val="000000"/>
              </w:rPr>
              <w:t>10 466,2</w:t>
            </w:r>
          </w:p>
        </w:tc>
      </w:tr>
      <w:tr w:rsidR="00FA4977" w:rsidRPr="004A3D61" w:rsidTr="004A3D61">
        <w:trPr>
          <w:trHeight w:val="511"/>
        </w:trPr>
        <w:tc>
          <w:tcPr>
            <w:tcW w:w="3882" w:type="dxa"/>
            <w:vAlign w:val="center"/>
          </w:tcPr>
          <w:p w:rsidR="00FA4977" w:rsidRPr="004A3D61" w:rsidRDefault="00FA4977" w:rsidP="00FA4977">
            <w:pPr>
              <w:rPr>
                <w:rFonts w:asciiTheme="minorHAnsi" w:hAnsiTheme="minorHAnsi" w:cstheme="minorHAnsi"/>
                <w:color w:val="000000"/>
                <w:lang w:val="en-US"/>
              </w:rPr>
            </w:pPr>
            <w:r w:rsidRPr="004A3D61">
              <w:rPr>
                <w:rFonts w:asciiTheme="minorHAnsi" w:hAnsiTheme="minorHAnsi" w:cstheme="minorHAnsi"/>
                <w:color w:val="000000"/>
                <w:lang w:val="en-US"/>
              </w:rPr>
              <w:t>Direct investments</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9 581,8</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1 725,7</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-1 043,2</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10 264,3</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682,5</w:t>
            </w:r>
          </w:p>
        </w:tc>
      </w:tr>
      <w:tr w:rsidR="00FA4977" w:rsidRPr="004A3D61" w:rsidTr="004A3D61">
        <w:trPr>
          <w:trHeight w:val="511"/>
        </w:trPr>
        <w:tc>
          <w:tcPr>
            <w:tcW w:w="3882" w:type="dxa"/>
            <w:vAlign w:val="center"/>
          </w:tcPr>
          <w:p w:rsidR="00FA4977" w:rsidRPr="004A3D61" w:rsidRDefault="00FA4977" w:rsidP="00FA4977">
            <w:pPr>
              <w:rPr>
                <w:rFonts w:asciiTheme="minorHAnsi" w:hAnsiTheme="minorHAnsi" w:cstheme="minorHAnsi"/>
                <w:color w:val="000000"/>
                <w:lang w:val="en-US"/>
              </w:rPr>
            </w:pPr>
            <w:r w:rsidRPr="004A3D61">
              <w:rPr>
                <w:rFonts w:asciiTheme="minorHAnsi" w:hAnsiTheme="minorHAnsi" w:cstheme="minorHAnsi"/>
                <w:color w:val="000000"/>
                <w:lang w:val="en-US"/>
              </w:rPr>
              <w:t>Portfolio investments</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1 466,4</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1 389,4</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78,3</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2 934,1</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1 467,6</w:t>
            </w:r>
          </w:p>
        </w:tc>
      </w:tr>
      <w:tr w:rsidR="00FA4977" w:rsidRPr="004A3D61" w:rsidTr="004A3D61">
        <w:trPr>
          <w:trHeight w:val="511"/>
        </w:trPr>
        <w:tc>
          <w:tcPr>
            <w:tcW w:w="3882" w:type="dxa"/>
            <w:vAlign w:val="center"/>
          </w:tcPr>
          <w:p w:rsidR="00FA4977" w:rsidRPr="004A3D61" w:rsidRDefault="00FA4977" w:rsidP="00FA4977">
            <w:pPr>
              <w:autoSpaceDE w:val="0"/>
              <w:autoSpaceDN w:val="0"/>
              <w:adjustRightInd w:val="0"/>
              <w:rPr>
                <w:rFonts w:asciiTheme="minorHAnsi" w:hAnsiTheme="minorHAnsi" w:cstheme="minorHAnsi"/>
                <w:color w:val="000000"/>
                <w:lang w:val="en-US"/>
              </w:rPr>
            </w:pPr>
            <w:r w:rsidRPr="004A3D61">
              <w:rPr>
                <w:rFonts w:asciiTheme="minorHAnsi" w:hAnsiTheme="minorHAnsi" w:cstheme="minorHAnsi"/>
                <w:color w:val="000000"/>
                <w:lang w:val="en-US"/>
              </w:rPr>
              <w:t>Financial derivatives</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3,7</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-6,4</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19,4</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16,7</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13,0</w:t>
            </w:r>
          </w:p>
        </w:tc>
      </w:tr>
      <w:tr w:rsidR="00FA4977" w:rsidRPr="004A3D61" w:rsidTr="004A3D61">
        <w:trPr>
          <w:trHeight w:val="511"/>
        </w:trPr>
        <w:tc>
          <w:tcPr>
            <w:tcW w:w="3882" w:type="dxa"/>
            <w:vAlign w:val="center"/>
          </w:tcPr>
          <w:p w:rsidR="00FA4977" w:rsidRPr="004A3D61" w:rsidRDefault="00FA4977" w:rsidP="00FA4977">
            <w:pPr>
              <w:rPr>
                <w:rFonts w:asciiTheme="minorHAnsi" w:hAnsiTheme="minorHAnsi" w:cstheme="minorHAnsi"/>
                <w:color w:val="000000"/>
                <w:lang w:val="en-US"/>
              </w:rPr>
            </w:pPr>
            <w:r w:rsidRPr="004A3D61">
              <w:rPr>
                <w:rFonts w:asciiTheme="minorHAnsi" w:hAnsiTheme="minorHAnsi" w:cstheme="minorHAnsi"/>
                <w:color w:val="000000"/>
                <w:lang w:val="en-US"/>
              </w:rPr>
              <w:t>Other investments</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24 032,4</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7 944,1</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359,0</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32 335,4</w:t>
            </w:r>
          </w:p>
        </w:tc>
        <w:tc>
          <w:tcPr>
            <w:tcW w:w="2207" w:type="dxa"/>
            <w:vAlign w:val="center"/>
          </w:tcPr>
          <w:p w:rsidR="00FA4977" w:rsidRPr="00C92486" w:rsidRDefault="00FA4977" w:rsidP="00FA4977">
            <w:pPr>
              <w:jc w:val="center"/>
              <w:rPr>
                <w:rFonts w:asciiTheme="minorHAnsi" w:hAnsiTheme="minorHAnsi" w:cstheme="minorHAnsi"/>
                <w:color w:val="000000"/>
              </w:rPr>
            </w:pPr>
            <w:r w:rsidRPr="00C92486">
              <w:rPr>
                <w:rFonts w:asciiTheme="minorHAnsi" w:hAnsiTheme="minorHAnsi" w:cstheme="minorHAnsi"/>
                <w:color w:val="000000"/>
              </w:rPr>
              <w:t>8 303,0</w:t>
            </w:r>
          </w:p>
        </w:tc>
      </w:tr>
      <w:tr w:rsidR="00FA4977" w:rsidRPr="004A3D61" w:rsidTr="004A3D61">
        <w:trPr>
          <w:trHeight w:val="511"/>
        </w:trPr>
        <w:tc>
          <w:tcPr>
            <w:tcW w:w="3882" w:type="dxa"/>
            <w:vAlign w:val="center"/>
          </w:tcPr>
          <w:p w:rsidR="00FA4977" w:rsidRPr="004A3D61" w:rsidRDefault="00FA4977" w:rsidP="00FA4977">
            <w:pPr>
              <w:ind w:left="309"/>
              <w:rPr>
                <w:rFonts w:asciiTheme="minorHAnsi" w:hAnsiTheme="minorHAnsi" w:cstheme="minorHAnsi"/>
                <w:i/>
                <w:iCs/>
                <w:color w:val="000000"/>
                <w:lang w:val="en-US"/>
              </w:rPr>
            </w:pPr>
            <w:r w:rsidRPr="004A3D61">
              <w:rPr>
                <w:rFonts w:asciiTheme="minorHAnsi" w:hAnsiTheme="minorHAnsi" w:cstheme="minorHAnsi"/>
                <w:i/>
                <w:iCs/>
                <w:color w:val="000000"/>
                <w:lang w:val="en-US"/>
              </w:rPr>
              <w:t>of which loans and credits</w:t>
            </w:r>
          </w:p>
        </w:tc>
        <w:tc>
          <w:tcPr>
            <w:tcW w:w="2207" w:type="dxa"/>
            <w:vAlign w:val="center"/>
          </w:tcPr>
          <w:p w:rsidR="00FA4977" w:rsidRPr="00C92486" w:rsidRDefault="00FA4977" w:rsidP="00FA4977">
            <w:pPr>
              <w:jc w:val="center"/>
              <w:rPr>
                <w:rFonts w:asciiTheme="minorHAnsi" w:hAnsiTheme="minorHAnsi" w:cstheme="minorHAnsi"/>
                <w:i/>
                <w:iCs/>
                <w:color w:val="000000"/>
              </w:rPr>
            </w:pPr>
            <w:r w:rsidRPr="00C92486">
              <w:rPr>
                <w:rFonts w:asciiTheme="minorHAnsi" w:hAnsiTheme="minorHAnsi" w:cstheme="minorHAnsi"/>
                <w:i/>
                <w:iCs/>
                <w:color w:val="000000"/>
              </w:rPr>
              <w:t>22 333,4</w:t>
            </w:r>
          </w:p>
        </w:tc>
        <w:tc>
          <w:tcPr>
            <w:tcW w:w="2207" w:type="dxa"/>
            <w:vAlign w:val="center"/>
          </w:tcPr>
          <w:p w:rsidR="00FA4977" w:rsidRPr="00C92486" w:rsidRDefault="00FA4977" w:rsidP="00FA4977">
            <w:pPr>
              <w:jc w:val="center"/>
              <w:rPr>
                <w:rFonts w:asciiTheme="minorHAnsi" w:hAnsiTheme="minorHAnsi" w:cstheme="minorHAnsi"/>
                <w:i/>
                <w:iCs/>
                <w:color w:val="000000"/>
              </w:rPr>
            </w:pPr>
            <w:r w:rsidRPr="00C92486">
              <w:rPr>
                <w:rFonts w:asciiTheme="minorHAnsi" w:hAnsiTheme="minorHAnsi" w:cstheme="minorHAnsi"/>
                <w:i/>
                <w:iCs/>
                <w:color w:val="000000"/>
              </w:rPr>
              <w:t>7 081,2</w:t>
            </w:r>
          </w:p>
        </w:tc>
        <w:tc>
          <w:tcPr>
            <w:tcW w:w="2207" w:type="dxa"/>
            <w:vAlign w:val="center"/>
          </w:tcPr>
          <w:p w:rsidR="00FA4977" w:rsidRPr="00C92486" w:rsidRDefault="00FA4977" w:rsidP="00FA4977">
            <w:pPr>
              <w:jc w:val="center"/>
              <w:rPr>
                <w:rFonts w:asciiTheme="minorHAnsi" w:hAnsiTheme="minorHAnsi" w:cstheme="minorHAnsi"/>
                <w:i/>
                <w:iCs/>
                <w:color w:val="000000"/>
              </w:rPr>
            </w:pPr>
            <w:r w:rsidRPr="00C92486">
              <w:rPr>
                <w:rFonts w:asciiTheme="minorHAnsi" w:hAnsiTheme="minorHAnsi" w:cstheme="minorHAnsi"/>
                <w:i/>
                <w:iCs/>
                <w:color w:val="000000"/>
              </w:rPr>
              <w:t>545,2</w:t>
            </w:r>
          </w:p>
        </w:tc>
        <w:tc>
          <w:tcPr>
            <w:tcW w:w="2207" w:type="dxa"/>
            <w:vAlign w:val="center"/>
          </w:tcPr>
          <w:p w:rsidR="00FA4977" w:rsidRPr="00C92486" w:rsidRDefault="00FA4977" w:rsidP="00FA4977">
            <w:pPr>
              <w:jc w:val="center"/>
              <w:rPr>
                <w:rFonts w:asciiTheme="minorHAnsi" w:hAnsiTheme="minorHAnsi" w:cstheme="minorHAnsi"/>
                <w:i/>
                <w:iCs/>
                <w:color w:val="000000"/>
              </w:rPr>
            </w:pPr>
            <w:r w:rsidRPr="00C92486">
              <w:rPr>
                <w:rFonts w:asciiTheme="minorHAnsi" w:hAnsiTheme="minorHAnsi" w:cstheme="minorHAnsi"/>
                <w:i/>
                <w:iCs/>
                <w:color w:val="000000"/>
              </w:rPr>
              <w:t>29 959,8</w:t>
            </w:r>
          </w:p>
        </w:tc>
        <w:tc>
          <w:tcPr>
            <w:tcW w:w="2207" w:type="dxa"/>
            <w:vAlign w:val="center"/>
          </w:tcPr>
          <w:p w:rsidR="00FA4977" w:rsidRPr="00C92486" w:rsidRDefault="00FA4977" w:rsidP="00FA4977">
            <w:pPr>
              <w:jc w:val="center"/>
              <w:rPr>
                <w:rFonts w:asciiTheme="minorHAnsi" w:hAnsiTheme="minorHAnsi" w:cstheme="minorHAnsi"/>
                <w:i/>
                <w:iCs/>
                <w:color w:val="000000"/>
              </w:rPr>
            </w:pPr>
            <w:r w:rsidRPr="00C92486">
              <w:rPr>
                <w:rFonts w:asciiTheme="minorHAnsi" w:hAnsiTheme="minorHAnsi" w:cstheme="minorHAnsi"/>
                <w:i/>
                <w:iCs/>
                <w:color w:val="000000"/>
              </w:rPr>
              <w:t>7 626,4</w:t>
            </w:r>
          </w:p>
        </w:tc>
      </w:tr>
    </w:tbl>
    <w:p w:rsidR="00C37955" w:rsidRDefault="00C37955" w:rsidP="00C37955">
      <w:pPr>
        <w:rPr>
          <w:sz w:val="22"/>
          <w:szCs w:val="22"/>
        </w:rPr>
      </w:pPr>
      <w:r>
        <w:rPr>
          <w:sz w:val="22"/>
          <w:szCs w:val="22"/>
        </w:rPr>
        <w:br w:type="page"/>
      </w:r>
    </w:p>
    <w:p w:rsidR="00264E3C" w:rsidRPr="00ED5572" w:rsidRDefault="00264E3C" w:rsidP="00264E3C">
      <w:pPr>
        <w:ind w:right="-102"/>
        <w:jc w:val="right"/>
        <w:rPr>
          <w:i/>
          <w:iCs/>
          <w:color w:val="000000"/>
          <w:sz w:val="22"/>
          <w:szCs w:val="22"/>
          <w:lang w:val="en-US"/>
        </w:rPr>
      </w:pPr>
      <w:r w:rsidRPr="00ED5572">
        <w:rPr>
          <w:i/>
          <w:sz w:val="22"/>
          <w:szCs w:val="22"/>
          <w:lang w:val="en-US"/>
        </w:rPr>
        <w:lastRenderedPageBreak/>
        <w:t>Addenda</w:t>
      </w:r>
      <w:r w:rsidR="00C47899">
        <w:rPr>
          <w:i/>
          <w:iCs/>
          <w:color w:val="000000"/>
          <w:sz w:val="22"/>
          <w:szCs w:val="22"/>
          <w:lang w:val="en-US"/>
        </w:rPr>
        <w:t xml:space="preserve"> 1</w:t>
      </w:r>
      <w:r w:rsidR="00662B53">
        <w:rPr>
          <w:i/>
          <w:iCs/>
          <w:color w:val="000000"/>
          <w:sz w:val="22"/>
          <w:szCs w:val="22"/>
          <w:lang w:val="en-US"/>
        </w:rPr>
        <w:t>3</w:t>
      </w:r>
      <w:r w:rsidR="00C47899">
        <w:rPr>
          <w:i/>
          <w:iCs/>
          <w:color w:val="000000"/>
          <w:sz w:val="22"/>
          <w:szCs w:val="22"/>
          <w:lang w:val="en-US"/>
        </w:rPr>
        <w:t>.2</w:t>
      </w:r>
    </w:p>
    <w:p w:rsidR="009304D9" w:rsidRPr="00B30F70" w:rsidRDefault="009304D9" w:rsidP="009304D9">
      <w:pPr>
        <w:pStyle w:val="1"/>
        <w:ind w:left="0"/>
        <w:jc w:val="center"/>
        <w:rPr>
          <w:rFonts w:ascii="Calibri" w:hAnsi="Calibri"/>
          <w:sz w:val="26"/>
          <w:szCs w:val="26"/>
          <w:lang w:val="en-US"/>
        </w:rPr>
      </w:pPr>
      <w:bookmarkStart w:id="38" w:name="_Toc67050814"/>
      <w:r w:rsidRPr="00B30F70">
        <w:rPr>
          <w:rFonts w:ascii="Calibri" w:hAnsi="Calibri" w:cs="Calibri"/>
          <w:sz w:val="26"/>
          <w:szCs w:val="26"/>
          <w:lang w:val="en-US"/>
        </w:rPr>
        <w:t>INTERNATIONAL INVESTMENT POSITION OF GENERAL GOVERNMENT</w:t>
      </w:r>
      <w:r w:rsidR="00E824BA" w:rsidRPr="00B30F70">
        <w:rPr>
          <w:rFonts w:ascii="Calibri" w:hAnsi="Calibri" w:cs="Calibri"/>
          <w:sz w:val="26"/>
          <w:szCs w:val="26"/>
          <w:lang w:val="en-US"/>
        </w:rPr>
        <w:t xml:space="preserve"> SECTOR</w:t>
      </w:r>
      <w:r w:rsidRPr="00B30F70">
        <w:rPr>
          <w:rFonts w:ascii="Calibri" w:hAnsi="Calibri" w:cs="Calibri"/>
          <w:sz w:val="26"/>
          <w:szCs w:val="26"/>
          <w:lang w:val="en-US"/>
        </w:rPr>
        <w:t xml:space="preserve"> </w:t>
      </w:r>
      <w:r w:rsidR="006237CD">
        <w:rPr>
          <w:rFonts w:ascii="Calibri" w:hAnsi="Calibri" w:cs="Calibri"/>
          <w:sz w:val="26"/>
          <w:szCs w:val="26"/>
          <w:lang w:val="en-US"/>
        </w:rPr>
        <w:t>FOR</w:t>
      </w:r>
      <w:r w:rsidRPr="00B30F70">
        <w:rPr>
          <w:rFonts w:ascii="Calibri" w:hAnsi="Calibri" w:cs="Calibri"/>
          <w:sz w:val="26"/>
          <w:szCs w:val="26"/>
          <w:lang w:val="en-US"/>
        </w:rPr>
        <w:t xml:space="preserve"> </w:t>
      </w:r>
      <w:r w:rsidR="00C47899">
        <w:rPr>
          <w:rFonts w:ascii="Calibri" w:hAnsi="Calibri" w:cs="Calibri"/>
          <w:sz w:val="26"/>
          <w:szCs w:val="26"/>
          <w:lang w:val="en-US"/>
        </w:rPr>
        <w:t>2020</w:t>
      </w:r>
      <w:bookmarkEnd w:id="38"/>
    </w:p>
    <w:p w:rsidR="009304D9" w:rsidRDefault="009304D9" w:rsidP="009304D9">
      <w:pPr>
        <w:jc w:val="center"/>
        <w:rPr>
          <w:i/>
          <w:iCs/>
          <w:color w:val="000000"/>
          <w:lang w:val="en-US"/>
        </w:rPr>
      </w:pPr>
      <w:r w:rsidRPr="00F45A80">
        <w:rPr>
          <w:rFonts w:cs="Calibri"/>
          <w:i/>
          <w:iCs/>
          <w:color w:val="000000"/>
          <w:lang w:val="en-US"/>
        </w:rPr>
        <w:t>(detailed by main components)</w:t>
      </w:r>
      <w:r w:rsidRPr="00F45A80">
        <w:rPr>
          <w:i/>
          <w:iCs/>
          <w:color w:val="000000"/>
          <w:lang w:val="en-US"/>
        </w:rPr>
        <w:t xml:space="preserve"> </w:t>
      </w:r>
    </w:p>
    <w:p w:rsidR="00264E3C" w:rsidRDefault="00264E3C" w:rsidP="00264E3C">
      <w:pPr>
        <w:jc w:val="right"/>
        <w:rPr>
          <w:i/>
          <w:sz w:val="20"/>
          <w:szCs w:val="20"/>
          <w:lang w:val="en-US"/>
        </w:rPr>
      </w:pPr>
    </w:p>
    <w:p w:rsidR="00264E3C" w:rsidRDefault="00264E3C" w:rsidP="00264E3C">
      <w:pPr>
        <w:jc w:val="right"/>
        <w:rPr>
          <w:i/>
          <w:iCs/>
          <w:color w:val="000000"/>
          <w:lang w:val="en-US"/>
        </w:rPr>
      </w:pPr>
      <w:r w:rsidRPr="00F45A80">
        <w:rPr>
          <w:i/>
          <w:sz w:val="20"/>
          <w:szCs w:val="20"/>
          <w:lang w:val="en-US"/>
        </w:rPr>
        <w:t>(mln. USD)</w:t>
      </w:r>
    </w:p>
    <w:tbl>
      <w:tblPr>
        <w:tblW w:w="14959" w:type="dxa"/>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20" w:firstRow="1" w:lastRow="0" w:firstColumn="0" w:lastColumn="0" w:noHBand="0" w:noVBand="0"/>
      </w:tblPr>
      <w:tblGrid>
        <w:gridCol w:w="3894"/>
        <w:gridCol w:w="2213"/>
        <w:gridCol w:w="2213"/>
        <w:gridCol w:w="2213"/>
        <w:gridCol w:w="2213"/>
        <w:gridCol w:w="2213"/>
      </w:tblGrid>
      <w:tr w:rsidR="00F0184E" w:rsidRPr="009F42C8" w:rsidTr="00F0184E">
        <w:trPr>
          <w:trHeight w:val="990"/>
        </w:trPr>
        <w:tc>
          <w:tcPr>
            <w:tcW w:w="3894" w:type="dxa"/>
            <w:vAlign w:val="center"/>
          </w:tcPr>
          <w:p w:rsidR="00F0184E" w:rsidRPr="00F0184E" w:rsidRDefault="00F0184E" w:rsidP="00F0184E">
            <w:pPr>
              <w:jc w:val="center"/>
              <w:rPr>
                <w:rFonts w:asciiTheme="minorHAnsi" w:hAnsiTheme="minorHAnsi" w:cstheme="minorHAnsi"/>
                <w:b/>
                <w:bCs/>
                <w:color w:val="000000"/>
              </w:rPr>
            </w:pPr>
            <w:r w:rsidRPr="00F0184E">
              <w:rPr>
                <w:rFonts w:asciiTheme="minorHAnsi" w:hAnsiTheme="minorHAnsi" w:cstheme="minorHAnsi"/>
                <w:b/>
                <w:bCs/>
                <w:color w:val="000000"/>
              </w:rPr>
              <w:t>Indicator</w:t>
            </w:r>
          </w:p>
        </w:tc>
        <w:tc>
          <w:tcPr>
            <w:tcW w:w="2213" w:type="dxa"/>
            <w:vAlign w:val="center"/>
          </w:tcPr>
          <w:p w:rsidR="00F0184E" w:rsidRPr="004A3D61" w:rsidRDefault="00662B53" w:rsidP="00F0184E">
            <w:pPr>
              <w:autoSpaceDE w:val="0"/>
              <w:autoSpaceDN w:val="0"/>
              <w:adjustRightInd w:val="0"/>
              <w:ind w:right="83"/>
              <w:jc w:val="center"/>
              <w:rPr>
                <w:rFonts w:asciiTheme="minorHAnsi" w:hAnsiTheme="minorHAnsi" w:cstheme="minorHAnsi"/>
                <w:b/>
                <w:color w:val="000000"/>
                <w:lang w:val="en-US"/>
              </w:rPr>
            </w:pPr>
            <w:r w:rsidRPr="00C92486">
              <w:rPr>
                <w:rFonts w:asciiTheme="minorHAnsi" w:hAnsiTheme="minorHAnsi" w:cstheme="minorHAnsi"/>
                <w:b/>
                <w:color w:val="000000"/>
              </w:rPr>
              <w:t>01.01.2020</w:t>
            </w:r>
          </w:p>
        </w:tc>
        <w:tc>
          <w:tcPr>
            <w:tcW w:w="2213" w:type="dxa"/>
            <w:vAlign w:val="center"/>
          </w:tcPr>
          <w:p w:rsidR="00F0184E" w:rsidRPr="004A3D61" w:rsidRDefault="00F0184E" w:rsidP="00F0184E">
            <w:pPr>
              <w:autoSpaceDE w:val="0"/>
              <w:autoSpaceDN w:val="0"/>
              <w:adjustRightInd w:val="0"/>
              <w:jc w:val="center"/>
              <w:rPr>
                <w:rFonts w:asciiTheme="minorHAnsi" w:hAnsiTheme="minorHAnsi" w:cstheme="minorHAnsi"/>
                <w:b/>
                <w:color w:val="000000"/>
                <w:lang w:val="en-US"/>
              </w:rPr>
            </w:pPr>
            <w:r w:rsidRPr="004A3D61">
              <w:rPr>
                <w:rFonts w:asciiTheme="minorHAnsi" w:hAnsiTheme="minorHAnsi" w:cstheme="minorHAnsi"/>
                <w:b/>
                <w:color w:val="000000"/>
                <w:lang w:val="en-US"/>
              </w:rPr>
              <w:t>BOP operations</w:t>
            </w:r>
          </w:p>
        </w:tc>
        <w:tc>
          <w:tcPr>
            <w:tcW w:w="2213" w:type="dxa"/>
            <w:vAlign w:val="center"/>
          </w:tcPr>
          <w:p w:rsidR="00F0184E" w:rsidRPr="004A3D61" w:rsidRDefault="00F0184E" w:rsidP="00F0184E">
            <w:pPr>
              <w:autoSpaceDE w:val="0"/>
              <w:autoSpaceDN w:val="0"/>
              <w:adjustRightInd w:val="0"/>
              <w:jc w:val="center"/>
              <w:rPr>
                <w:rFonts w:asciiTheme="minorHAnsi" w:hAnsiTheme="minorHAnsi" w:cstheme="minorHAnsi"/>
                <w:b/>
                <w:color w:val="000000"/>
                <w:lang w:val="en-US"/>
              </w:rPr>
            </w:pPr>
            <w:r w:rsidRPr="004A3D61">
              <w:rPr>
                <w:rFonts w:asciiTheme="minorHAnsi" w:hAnsiTheme="minorHAnsi" w:cstheme="minorHAnsi"/>
                <w:b/>
                <w:color w:val="000000"/>
                <w:lang w:val="en-US"/>
              </w:rPr>
              <w:t>Non-operational changes</w:t>
            </w:r>
          </w:p>
        </w:tc>
        <w:tc>
          <w:tcPr>
            <w:tcW w:w="2213" w:type="dxa"/>
            <w:vAlign w:val="center"/>
          </w:tcPr>
          <w:p w:rsidR="00F0184E" w:rsidRPr="004A3D61" w:rsidRDefault="00662B53" w:rsidP="00F0184E">
            <w:pPr>
              <w:autoSpaceDE w:val="0"/>
              <w:autoSpaceDN w:val="0"/>
              <w:adjustRightInd w:val="0"/>
              <w:ind w:right="119"/>
              <w:jc w:val="center"/>
              <w:rPr>
                <w:rFonts w:asciiTheme="minorHAnsi" w:hAnsiTheme="minorHAnsi" w:cstheme="minorHAnsi"/>
                <w:b/>
                <w:color w:val="000000"/>
                <w:lang w:val="en-US"/>
              </w:rPr>
            </w:pPr>
            <w:r w:rsidRPr="00C92486">
              <w:rPr>
                <w:rFonts w:asciiTheme="minorHAnsi" w:hAnsiTheme="minorHAnsi" w:cstheme="minorHAnsi"/>
                <w:b/>
                <w:color w:val="000000"/>
              </w:rPr>
              <w:t>01.01.2021</w:t>
            </w:r>
          </w:p>
        </w:tc>
        <w:tc>
          <w:tcPr>
            <w:tcW w:w="2213" w:type="dxa"/>
            <w:vAlign w:val="center"/>
          </w:tcPr>
          <w:p w:rsidR="00F0184E" w:rsidRPr="004A3D61" w:rsidRDefault="00F0184E" w:rsidP="00662B53">
            <w:pPr>
              <w:autoSpaceDE w:val="0"/>
              <w:autoSpaceDN w:val="0"/>
              <w:adjustRightInd w:val="0"/>
              <w:jc w:val="center"/>
              <w:rPr>
                <w:rFonts w:asciiTheme="minorHAnsi" w:hAnsiTheme="minorHAnsi" w:cstheme="minorHAnsi"/>
                <w:b/>
                <w:color w:val="000000"/>
                <w:lang w:val="en-US"/>
              </w:rPr>
            </w:pPr>
            <w:r>
              <w:rPr>
                <w:rFonts w:asciiTheme="minorHAnsi" w:hAnsiTheme="minorHAnsi" w:cstheme="minorHAnsi"/>
                <w:b/>
                <w:color w:val="000000"/>
                <w:lang w:val="en-US"/>
              </w:rPr>
              <w:t xml:space="preserve">Change for </w:t>
            </w:r>
            <w:r w:rsidR="00662B53">
              <w:rPr>
                <w:rFonts w:asciiTheme="minorHAnsi" w:hAnsiTheme="minorHAnsi" w:cstheme="minorHAnsi"/>
                <w:b/>
                <w:color w:val="000000"/>
                <w:lang w:val="en-US"/>
              </w:rPr>
              <w:t>2020</w:t>
            </w:r>
          </w:p>
        </w:tc>
      </w:tr>
      <w:tr w:rsidR="00662B53" w:rsidRPr="00F0184E" w:rsidTr="008A5960">
        <w:trPr>
          <w:trHeight w:val="511"/>
        </w:trPr>
        <w:tc>
          <w:tcPr>
            <w:tcW w:w="3894" w:type="dxa"/>
            <w:shd w:val="clear" w:color="auto" w:fill="BDD6EE" w:themeFill="accent1" w:themeFillTint="66"/>
            <w:vAlign w:val="center"/>
          </w:tcPr>
          <w:p w:rsidR="00662B53" w:rsidRPr="00F0184E" w:rsidRDefault="00662B53" w:rsidP="00662B53">
            <w:pPr>
              <w:rPr>
                <w:rFonts w:asciiTheme="minorHAnsi" w:hAnsiTheme="minorHAnsi" w:cstheme="minorHAnsi"/>
                <w:b/>
                <w:bCs/>
                <w:color w:val="000000"/>
                <w:lang w:val="en-US"/>
              </w:rPr>
            </w:pPr>
            <w:r w:rsidRPr="00F0184E">
              <w:rPr>
                <w:rFonts w:asciiTheme="minorHAnsi" w:hAnsiTheme="minorHAnsi" w:cstheme="minorHAnsi"/>
                <w:b/>
                <w:bCs/>
                <w:color w:val="000000"/>
                <w:lang w:val="en-US"/>
              </w:rPr>
              <w:t>Net investment position</w:t>
            </w:r>
          </w:p>
        </w:tc>
        <w:tc>
          <w:tcPr>
            <w:tcW w:w="2213" w:type="dxa"/>
            <w:shd w:val="clear" w:color="auto" w:fill="BDD6EE" w:themeFill="accent1" w:themeFillTint="66"/>
            <w:vAlign w:val="center"/>
          </w:tcPr>
          <w:p w:rsidR="00662B53" w:rsidRPr="00C92486" w:rsidRDefault="00662B53" w:rsidP="00662B53">
            <w:pPr>
              <w:jc w:val="right"/>
              <w:rPr>
                <w:rFonts w:asciiTheme="minorHAnsi" w:hAnsiTheme="minorHAnsi" w:cstheme="minorHAnsi"/>
                <w:b/>
                <w:bCs/>
                <w:color w:val="000000"/>
              </w:rPr>
            </w:pPr>
            <w:r w:rsidRPr="00C92486">
              <w:rPr>
                <w:rFonts w:asciiTheme="minorHAnsi" w:hAnsiTheme="minorHAnsi" w:cstheme="minorHAnsi"/>
                <w:b/>
                <w:bCs/>
                <w:color w:val="000000"/>
              </w:rPr>
              <w:t>17 068,9</w:t>
            </w:r>
          </w:p>
        </w:tc>
        <w:tc>
          <w:tcPr>
            <w:tcW w:w="2213" w:type="dxa"/>
            <w:shd w:val="clear" w:color="auto" w:fill="BDD6EE" w:themeFill="accent1" w:themeFillTint="66"/>
            <w:vAlign w:val="center"/>
          </w:tcPr>
          <w:p w:rsidR="00662B53" w:rsidRPr="00C92486" w:rsidRDefault="00662B53" w:rsidP="00662B53">
            <w:pPr>
              <w:jc w:val="right"/>
              <w:rPr>
                <w:rFonts w:asciiTheme="minorHAnsi" w:hAnsiTheme="minorHAnsi" w:cstheme="minorHAnsi"/>
                <w:b/>
                <w:bCs/>
                <w:color w:val="000000"/>
              </w:rPr>
            </w:pPr>
            <w:r w:rsidRPr="00C92486">
              <w:rPr>
                <w:rFonts w:asciiTheme="minorHAnsi" w:hAnsiTheme="minorHAnsi" w:cstheme="minorHAnsi"/>
                <w:b/>
                <w:bCs/>
                <w:color w:val="000000"/>
              </w:rPr>
              <w:t>-2 295,5</w:t>
            </w:r>
          </w:p>
        </w:tc>
        <w:tc>
          <w:tcPr>
            <w:tcW w:w="2213" w:type="dxa"/>
            <w:shd w:val="clear" w:color="auto" w:fill="BDD6EE" w:themeFill="accent1" w:themeFillTint="66"/>
            <w:vAlign w:val="center"/>
          </w:tcPr>
          <w:p w:rsidR="00662B53" w:rsidRPr="00C92486" w:rsidRDefault="00662B53" w:rsidP="00662B53">
            <w:pPr>
              <w:jc w:val="right"/>
              <w:rPr>
                <w:rFonts w:asciiTheme="minorHAnsi" w:hAnsiTheme="minorHAnsi" w:cstheme="minorHAnsi"/>
                <w:b/>
                <w:bCs/>
                <w:color w:val="000000"/>
              </w:rPr>
            </w:pPr>
            <w:r w:rsidRPr="00C92486">
              <w:rPr>
                <w:rFonts w:asciiTheme="minorHAnsi" w:hAnsiTheme="minorHAnsi" w:cstheme="minorHAnsi"/>
                <w:b/>
                <w:bCs/>
                <w:color w:val="000000"/>
              </w:rPr>
              <w:t>3 626,3</w:t>
            </w:r>
          </w:p>
        </w:tc>
        <w:tc>
          <w:tcPr>
            <w:tcW w:w="2213" w:type="dxa"/>
            <w:shd w:val="clear" w:color="auto" w:fill="BDD6EE" w:themeFill="accent1" w:themeFillTint="66"/>
            <w:vAlign w:val="center"/>
          </w:tcPr>
          <w:p w:rsidR="00662B53" w:rsidRPr="00C92486" w:rsidRDefault="00662B53" w:rsidP="00662B53">
            <w:pPr>
              <w:jc w:val="right"/>
              <w:rPr>
                <w:rFonts w:asciiTheme="minorHAnsi" w:hAnsiTheme="minorHAnsi" w:cstheme="minorHAnsi"/>
                <w:b/>
                <w:bCs/>
                <w:color w:val="000000"/>
              </w:rPr>
            </w:pPr>
            <w:r w:rsidRPr="00C92486">
              <w:rPr>
                <w:rFonts w:asciiTheme="minorHAnsi" w:hAnsiTheme="minorHAnsi" w:cstheme="minorHAnsi"/>
                <w:b/>
                <w:bCs/>
                <w:color w:val="000000"/>
              </w:rPr>
              <w:t>18 399,7</w:t>
            </w:r>
          </w:p>
        </w:tc>
        <w:tc>
          <w:tcPr>
            <w:tcW w:w="2213" w:type="dxa"/>
            <w:shd w:val="clear" w:color="auto" w:fill="BDD6EE" w:themeFill="accent1" w:themeFillTint="66"/>
            <w:vAlign w:val="center"/>
          </w:tcPr>
          <w:p w:rsidR="00662B53" w:rsidRPr="00C92486" w:rsidRDefault="00662B53" w:rsidP="00662B53">
            <w:pPr>
              <w:jc w:val="right"/>
              <w:rPr>
                <w:rFonts w:asciiTheme="minorHAnsi" w:hAnsiTheme="minorHAnsi" w:cstheme="minorHAnsi"/>
                <w:b/>
                <w:color w:val="000000"/>
              </w:rPr>
            </w:pPr>
            <w:r w:rsidRPr="00C92486">
              <w:rPr>
                <w:rFonts w:asciiTheme="minorHAnsi" w:hAnsiTheme="minorHAnsi" w:cstheme="minorHAnsi"/>
                <w:b/>
                <w:color w:val="000000"/>
              </w:rPr>
              <w:t>1 330,7</w:t>
            </w:r>
          </w:p>
        </w:tc>
      </w:tr>
      <w:tr w:rsidR="00662B53" w:rsidRPr="00F0184E" w:rsidTr="008A5960">
        <w:trPr>
          <w:trHeight w:val="511"/>
        </w:trPr>
        <w:tc>
          <w:tcPr>
            <w:tcW w:w="3894" w:type="dxa"/>
            <w:shd w:val="clear" w:color="auto" w:fill="BDD6EE" w:themeFill="accent1" w:themeFillTint="66"/>
            <w:vAlign w:val="center"/>
          </w:tcPr>
          <w:p w:rsidR="00662B53" w:rsidRPr="00F0184E" w:rsidRDefault="00662B53" w:rsidP="00662B53">
            <w:pPr>
              <w:rPr>
                <w:rFonts w:asciiTheme="minorHAnsi" w:hAnsiTheme="minorHAnsi" w:cstheme="minorHAnsi"/>
                <w:b/>
                <w:bCs/>
                <w:color w:val="000000"/>
                <w:lang w:val="en-US"/>
              </w:rPr>
            </w:pPr>
            <w:r w:rsidRPr="00F0184E">
              <w:rPr>
                <w:rFonts w:asciiTheme="minorHAnsi" w:hAnsiTheme="minorHAnsi" w:cstheme="minorHAnsi"/>
                <w:b/>
                <w:bCs/>
                <w:color w:val="000000"/>
                <w:lang w:val="en-US"/>
              </w:rPr>
              <w:t>Assets</w:t>
            </w:r>
          </w:p>
        </w:tc>
        <w:tc>
          <w:tcPr>
            <w:tcW w:w="2213" w:type="dxa"/>
            <w:shd w:val="clear" w:color="auto" w:fill="BDD6EE" w:themeFill="accent1" w:themeFillTint="66"/>
            <w:vAlign w:val="center"/>
          </w:tcPr>
          <w:p w:rsidR="00662B53" w:rsidRPr="00C92486" w:rsidRDefault="00662B53" w:rsidP="00662B53">
            <w:pPr>
              <w:jc w:val="right"/>
              <w:rPr>
                <w:rFonts w:asciiTheme="minorHAnsi" w:hAnsiTheme="minorHAnsi" w:cstheme="minorHAnsi"/>
                <w:b/>
                <w:bCs/>
                <w:color w:val="000000"/>
              </w:rPr>
            </w:pPr>
            <w:r w:rsidRPr="00C92486">
              <w:rPr>
                <w:rFonts w:asciiTheme="minorHAnsi" w:hAnsiTheme="minorHAnsi" w:cstheme="minorHAnsi"/>
                <w:b/>
                <w:bCs/>
                <w:color w:val="000000"/>
              </w:rPr>
              <w:t>29 175,3</w:t>
            </w:r>
          </w:p>
        </w:tc>
        <w:tc>
          <w:tcPr>
            <w:tcW w:w="2213" w:type="dxa"/>
            <w:shd w:val="clear" w:color="auto" w:fill="BDD6EE" w:themeFill="accent1" w:themeFillTint="66"/>
            <w:vAlign w:val="center"/>
          </w:tcPr>
          <w:p w:rsidR="00662B53" w:rsidRPr="00C92486" w:rsidRDefault="00662B53" w:rsidP="00662B53">
            <w:pPr>
              <w:jc w:val="right"/>
              <w:rPr>
                <w:rFonts w:asciiTheme="minorHAnsi" w:hAnsiTheme="minorHAnsi" w:cstheme="minorHAnsi"/>
                <w:b/>
                <w:bCs/>
                <w:color w:val="000000"/>
              </w:rPr>
            </w:pPr>
            <w:r w:rsidRPr="00C92486">
              <w:rPr>
                <w:rFonts w:asciiTheme="minorHAnsi" w:hAnsiTheme="minorHAnsi" w:cstheme="minorHAnsi"/>
                <w:b/>
                <w:bCs/>
                <w:color w:val="000000"/>
              </w:rPr>
              <w:t>1 749,6</w:t>
            </w:r>
          </w:p>
        </w:tc>
        <w:tc>
          <w:tcPr>
            <w:tcW w:w="2213" w:type="dxa"/>
            <w:shd w:val="clear" w:color="auto" w:fill="BDD6EE" w:themeFill="accent1" w:themeFillTint="66"/>
            <w:vAlign w:val="center"/>
          </w:tcPr>
          <w:p w:rsidR="00662B53" w:rsidRPr="00C92486" w:rsidRDefault="00662B53" w:rsidP="00662B53">
            <w:pPr>
              <w:jc w:val="right"/>
              <w:rPr>
                <w:rFonts w:asciiTheme="minorHAnsi" w:hAnsiTheme="minorHAnsi" w:cstheme="minorHAnsi"/>
                <w:b/>
                <w:bCs/>
                <w:color w:val="000000"/>
              </w:rPr>
            </w:pPr>
            <w:r w:rsidRPr="00C92486">
              <w:rPr>
                <w:rFonts w:asciiTheme="minorHAnsi" w:hAnsiTheme="minorHAnsi" w:cstheme="minorHAnsi"/>
                <w:b/>
                <w:bCs/>
                <w:color w:val="000000"/>
              </w:rPr>
              <w:t>3 982,4</w:t>
            </w:r>
          </w:p>
        </w:tc>
        <w:tc>
          <w:tcPr>
            <w:tcW w:w="2213" w:type="dxa"/>
            <w:shd w:val="clear" w:color="auto" w:fill="BDD6EE" w:themeFill="accent1" w:themeFillTint="66"/>
            <w:vAlign w:val="center"/>
          </w:tcPr>
          <w:p w:rsidR="00662B53" w:rsidRPr="00C92486" w:rsidRDefault="00662B53" w:rsidP="00662B53">
            <w:pPr>
              <w:jc w:val="right"/>
              <w:rPr>
                <w:rFonts w:asciiTheme="minorHAnsi" w:hAnsiTheme="minorHAnsi" w:cstheme="minorHAnsi"/>
                <w:b/>
                <w:bCs/>
                <w:color w:val="000000"/>
              </w:rPr>
            </w:pPr>
            <w:r w:rsidRPr="00C92486">
              <w:rPr>
                <w:rFonts w:asciiTheme="minorHAnsi" w:hAnsiTheme="minorHAnsi" w:cstheme="minorHAnsi"/>
                <w:b/>
                <w:bCs/>
                <w:color w:val="000000"/>
              </w:rPr>
              <w:t>34 907,4</w:t>
            </w:r>
          </w:p>
        </w:tc>
        <w:tc>
          <w:tcPr>
            <w:tcW w:w="2213" w:type="dxa"/>
            <w:shd w:val="clear" w:color="auto" w:fill="BDD6EE" w:themeFill="accent1" w:themeFillTint="66"/>
            <w:vAlign w:val="center"/>
          </w:tcPr>
          <w:p w:rsidR="00662B53" w:rsidRPr="00C92486" w:rsidRDefault="00662B53" w:rsidP="00662B53">
            <w:pPr>
              <w:jc w:val="right"/>
              <w:rPr>
                <w:rFonts w:asciiTheme="minorHAnsi" w:hAnsiTheme="minorHAnsi" w:cstheme="minorHAnsi"/>
                <w:b/>
                <w:color w:val="000000"/>
              </w:rPr>
            </w:pPr>
            <w:r w:rsidRPr="00C92486">
              <w:rPr>
                <w:rFonts w:asciiTheme="minorHAnsi" w:hAnsiTheme="minorHAnsi" w:cstheme="minorHAnsi"/>
                <w:b/>
                <w:color w:val="000000"/>
              </w:rPr>
              <w:t>5 732,1</w:t>
            </w:r>
          </w:p>
        </w:tc>
      </w:tr>
      <w:tr w:rsidR="00662B53" w:rsidRPr="00F0184E" w:rsidTr="00F0184E">
        <w:trPr>
          <w:trHeight w:val="511"/>
        </w:trPr>
        <w:tc>
          <w:tcPr>
            <w:tcW w:w="3894" w:type="dxa"/>
            <w:vAlign w:val="center"/>
          </w:tcPr>
          <w:p w:rsidR="00662B53" w:rsidRPr="00F0184E" w:rsidRDefault="00662B53" w:rsidP="00662B53">
            <w:pPr>
              <w:rPr>
                <w:rFonts w:cs="Calibri"/>
                <w:color w:val="000000"/>
                <w:lang w:val="en-US"/>
              </w:rPr>
            </w:pPr>
            <w:r w:rsidRPr="00F0184E">
              <w:rPr>
                <w:rFonts w:cs="Calibri"/>
                <w:color w:val="000000"/>
                <w:lang w:val="en-US"/>
              </w:rPr>
              <w:t>Monetary gold</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16 329,2</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0,0</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3 887,5</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20 216,7</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3 887,5</w:t>
            </w:r>
          </w:p>
        </w:tc>
      </w:tr>
      <w:tr w:rsidR="00662B53" w:rsidRPr="00F0184E" w:rsidTr="00F0184E">
        <w:trPr>
          <w:trHeight w:val="511"/>
        </w:trPr>
        <w:tc>
          <w:tcPr>
            <w:tcW w:w="3894" w:type="dxa"/>
            <w:vAlign w:val="center"/>
          </w:tcPr>
          <w:p w:rsidR="00662B53" w:rsidRPr="00F0184E" w:rsidRDefault="00662B53" w:rsidP="00662B53">
            <w:pPr>
              <w:rPr>
                <w:rFonts w:cs="Calibri"/>
                <w:color w:val="000000"/>
                <w:lang w:val="en-US"/>
              </w:rPr>
            </w:pPr>
            <w:r w:rsidRPr="00F0184E">
              <w:rPr>
                <w:rFonts w:cs="Calibri"/>
                <w:color w:val="000000"/>
                <w:lang w:val="en-US"/>
              </w:rPr>
              <w:t>Special drawing rights</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368,0</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0,1</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15,2</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383,3</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15,3</w:t>
            </w:r>
          </w:p>
        </w:tc>
      </w:tr>
      <w:tr w:rsidR="00662B53" w:rsidRPr="00F0184E" w:rsidTr="00F0184E">
        <w:trPr>
          <w:trHeight w:val="511"/>
        </w:trPr>
        <w:tc>
          <w:tcPr>
            <w:tcW w:w="3894" w:type="dxa"/>
            <w:vAlign w:val="center"/>
          </w:tcPr>
          <w:p w:rsidR="00662B53" w:rsidRPr="00F0184E" w:rsidRDefault="00662B53" w:rsidP="00662B53">
            <w:pPr>
              <w:rPr>
                <w:rFonts w:cs="Calibri"/>
                <w:color w:val="000000"/>
                <w:lang w:val="en-US"/>
              </w:rPr>
            </w:pPr>
            <w:r w:rsidRPr="00F0184E">
              <w:rPr>
                <w:rFonts w:cs="Calibri"/>
                <w:color w:val="000000"/>
                <w:lang w:val="en-US"/>
              </w:rPr>
              <w:t>Reserve position in IMF</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0,01</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0,0</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0,0</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0,01</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0,0</w:t>
            </w:r>
          </w:p>
        </w:tc>
      </w:tr>
      <w:tr w:rsidR="00662B53" w:rsidRPr="00F0184E" w:rsidTr="00F0184E">
        <w:trPr>
          <w:trHeight w:val="511"/>
        </w:trPr>
        <w:tc>
          <w:tcPr>
            <w:tcW w:w="3894" w:type="dxa"/>
            <w:vAlign w:val="center"/>
          </w:tcPr>
          <w:p w:rsidR="00662B53" w:rsidRPr="00F0184E" w:rsidRDefault="00662B53" w:rsidP="00662B53">
            <w:pPr>
              <w:rPr>
                <w:rFonts w:cs="Calibri"/>
                <w:color w:val="000000"/>
                <w:lang w:val="en-US"/>
              </w:rPr>
            </w:pPr>
            <w:r w:rsidRPr="00F0184E">
              <w:rPr>
                <w:rFonts w:cs="Calibri"/>
                <w:color w:val="000000"/>
                <w:lang w:val="en-US"/>
              </w:rPr>
              <w:t>Currency and deposits</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12 474,9</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1 771,3</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57,7</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14 303,9</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1 829,0</w:t>
            </w:r>
          </w:p>
        </w:tc>
      </w:tr>
      <w:tr w:rsidR="00662B53" w:rsidRPr="00F0184E" w:rsidTr="00F0184E">
        <w:trPr>
          <w:trHeight w:val="511"/>
        </w:trPr>
        <w:tc>
          <w:tcPr>
            <w:tcW w:w="3894" w:type="dxa"/>
            <w:vAlign w:val="center"/>
          </w:tcPr>
          <w:p w:rsidR="00662B53" w:rsidRPr="00F0184E" w:rsidRDefault="00662B53" w:rsidP="00662B53">
            <w:pPr>
              <w:rPr>
                <w:rFonts w:cs="Calibri"/>
                <w:color w:val="000000"/>
                <w:lang w:val="en-US"/>
              </w:rPr>
            </w:pPr>
            <w:r w:rsidRPr="00F0184E">
              <w:rPr>
                <w:rFonts w:cs="Calibri"/>
                <w:color w:val="000000"/>
                <w:lang w:val="en-US"/>
              </w:rPr>
              <w:t>Other assets</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3,2</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-21,8</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22,0</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3,4</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0,2</w:t>
            </w:r>
          </w:p>
        </w:tc>
      </w:tr>
      <w:tr w:rsidR="00662B53" w:rsidRPr="00F0184E" w:rsidTr="008A5960">
        <w:trPr>
          <w:trHeight w:val="511"/>
        </w:trPr>
        <w:tc>
          <w:tcPr>
            <w:tcW w:w="3894" w:type="dxa"/>
            <w:shd w:val="clear" w:color="auto" w:fill="BDD6EE" w:themeFill="accent1" w:themeFillTint="66"/>
            <w:vAlign w:val="center"/>
          </w:tcPr>
          <w:p w:rsidR="00662B53" w:rsidRPr="00F0184E" w:rsidRDefault="00662B53" w:rsidP="00662B53">
            <w:pPr>
              <w:rPr>
                <w:rFonts w:asciiTheme="minorHAnsi" w:hAnsiTheme="minorHAnsi" w:cstheme="minorHAnsi"/>
                <w:b/>
                <w:bCs/>
                <w:color w:val="000000"/>
                <w:lang w:val="en-US"/>
              </w:rPr>
            </w:pPr>
            <w:r w:rsidRPr="00F0184E">
              <w:rPr>
                <w:rFonts w:asciiTheme="minorHAnsi" w:hAnsiTheme="minorHAnsi" w:cstheme="minorHAnsi"/>
                <w:b/>
                <w:bCs/>
                <w:color w:val="000000"/>
                <w:lang w:val="en-US"/>
              </w:rPr>
              <w:t>Liabilities</w:t>
            </w:r>
          </w:p>
        </w:tc>
        <w:tc>
          <w:tcPr>
            <w:tcW w:w="2213" w:type="dxa"/>
            <w:shd w:val="clear" w:color="auto" w:fill="BDD6EE" w:themeFill="accent1" w:themeFillTint="66"/>
            <w:vAlign w:val="center"/>
          </w:tcPr>
          <w:p w:rsidR="00662B53" w:rsidRPr="00C92486" w:rsidRDefault="00662B53" w:rsidP="00662B53">
            <w:pPr>
              <w:jc w:val="right"/>
              <w:rPr>
                <w:rFonts w:asciiTheme="minorHAnsi" w:hAnsiTheme="minorHAnsi" w:cstheme="minorHAnsi"/>
                <w:b/>
                <w:bCs/>
                <w:color w:val="000000"/>
              </w:rPr>
            </w:pPr>
            <w:r w:rsidRPr="00C92486">
              <w:rPr>
                <w:rFonts w:asciiTheme="minorHAnsi" w:hAnsiTheme="minorHAnsi" w:cstheme="minorHAnsi"/>
                <w:b/>
                <w:bCs/>
                <w:color w:val="000000"/>
              </w:rPr>
              <w:t>12 106,4</w:t>
            </w:r>
          </w:p>
        </w:tc>
        <w:tc>
          <w:tcPr>
            <w:tcW w:w="2213" w:type="dxa"/>
            <w:shd w:val="clear" w:color="auto" w:fill="BDD6EE" w:themeFill="accent1" w:themeFillTint="66"/>
            <w:vAlign w:val="center"/>
          </w:tcPr>
          <w:p w:rsidR="00662B53" w:rsidRPr="00C92486" w:rsidRDefault="00662B53" w:rsidP="00662B53">
            <w:pPr>
              <w:jc w:val="right"/>
              <w:rPr>
                <w:rFonts w:asciiTheme="minorHAnsi" w:hAnsiTheme="minorHAnsi" w:cstheme="minorHAnsi"/>
                <w:b/>
                <w:bCs/>
                <w:color w:val="000000"/>
              </w:rPr>
            </w:pPr>
            <w:r w:rsidRPr="00C92486">
              <w:rPr>
                <w:rFonts w:asciiTheme="minorHAnsi" w:hAnsiTheme="minorHAnsi" w:cstheme="minorHAnsi"/>
                <w:b/>
                <w:bCs/>
                <w:color w:val="000000"/>
              </w:rPr>
              <w:t>4 045,1</w:t>
            </w:r>
          </w:p>
        </w:tc>
        <w:tc>
          <w:tcPr>
            <w:tcW w:w="2213" w:type="dxa"/>
            <w:shd w:val="clear" w:color="auto" w:fill="BDD6EE" w:themeFill="accent1" w:themeFillTint="66"/>
            <w:vAlign w:val="center"/>
          </w:tcPr>
          <w:p w:rsidR="00662B53" w:rsidRPr="00C92486" w:rsidRDefault="00662B53" w:rsidP="00662B53">
            <w:pPr>
              <w:jc w:val="right"/>
              <w:rPr>
                <w:rFonts w:asciiTheme="minorHAnsi" w:hAnsiTheme="minorHAnsi" w:cstheme="minorHAnsi"/>
                <w:b/>
                <w:bCs/>
                <w:color w:val="000000"/>
              </w:rPr>
            </w:pPr>
            <w:r w:rsidRPr="00C92486">
              <w:rPr>
                <w:rFonts w:asciiTheme="minorHAnsi" w:hAnsiTheme="minorHAnsi" w:cstheme="minorHAnsi"/>
                <w:b/>
                <w:bCs/>
                <w:color w:val="000000"/>
              </w:rPr>
              <w:t>356,2</w:t>
            </w:r>
          </w:p>
        </w:tc>
        <w:tc>
          <w:tcPr>
            <w:tcW w:w="2213" w:type="dxa"/>
            <w:shd w:val="clear" w:color="auto" w:fill="BDD6EE" w:themeFill="accent1" w:themeFillTint="66"/>
            <w:vAlign w:val="center"/>
          </w:tcPr>
          <w:p w:rsidR="00662B53" w:rsidRPr="00C92486" w:rsidRDefault="00662B53" w:rsidP="00662B53">
            <w:pPr>
              <w:jc w:val="right"/>
              <w:rPr>
                <w:rFonts w:asciiTheme="minorHAnsi" w:hAnsiTheme="minorHAnsi" w:cstheme="minorHAnsi"/>
                <w:b/>
                <w:bCs/>
                <w:color w:val="000000"/>
              </w:rPr>
            </w:pPr>
            <w:r w:rsidRPr="00C92486">
              <w:rPr>
                <w:rFonts w:asciiTheme="minorHAnsi" w:hAnsiTheme="minorHAnsi" w:cstheme="minorHAnsi"/>
                <w:b/>
                <w:bCs/>
                <w:color w:val="000000"/>
              </w:rPr>
              <w:t>16 507,7</w:t>
            </w:r>
          </w:p>
        </w:tc>
        <w:tc>
          <w:tcPr>
            <w:tcW w:w="2213" w:type="dxa"/>
            <w:shd w:val="clear" w:color="auto" w:fill="BDD6EE" w:themeFill="accent1" w:themeFillTint="66"/>
            <w:vAlign w:val="center"/>
          </w:tcPr>
          <w:p w:rsidR="00662B53" w:rsidRPr="00C92486" w:rsidRDefault="00662B53" w:rsidP="00662B53">
            <w:pPr>
              <w:jc w:val="right"/>
              <w:rPr>
                <w:rFonts w:asciiTheme="minorHAnsi" w:hAnsiTheme="minorHAnsi" w:cstheme="minorHAnsi"/>
                <w:b/>
                <w:color w:val="000000"/>
              </w:rPr>
            </w:pPr>
            <w:r w:rsidRPr="00C92486">
              <w:rPr>
                <w:rFonts w:asciiTheme="minorHAnsi" w:hAnsiTheme="minorHAnsi" w:cstheme="minorHAnsi"/>
                <w:b/>
                <w:color w:val="000000"/>
              </w:rPr>
              <w:t>4 401,3</w:t>
            </w:r>
          </w:p>
        </w:tc>
      </w:tr>
      <w:tr w:rsidR="00662B53" w:rsidRPr="00F0184E" w:rsidTr="00F0184E">
        <w:trPr>
          <w:trHeight w:val="511"/>
        </w:trPr>
        <w:tc>
          <w:tcPr>
            <w:tcW w:w="3894" w:type="dxa"/>
            <w:vAlign w:val="center"/>
          </w:tcPr>
          <w:p w:rsidR="00662B53" w:rsidRPr="00F0184E" w:rsidRDefault="00662B53" w:rsidP="00662B53">
            <w:pPr>
              <w:autoSpaceDE w:val="0"/>
              <w:autoSpaceDN w:val="0"/>
              <w:adjustRightInd w:val="0"/>
              <w:rPr>
                <w:rFonts w:cs="Calibri"/>
                <w:color w:val="000000"/>
                <w:lang w:val="en-US"/>
              </w:rPr>
            </w:pPr>
            <w:r w:rsidRPr="00F0184E">
              <w:rPr>
                <w:rFonts w:cs="Calibri"/>
                <w:color w:val="000000"/>
                <w:lang w:val="en-US"/>
              </w:rPr>
              <w:t>Portfolio investments</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1 107,0</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751,7</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70,7</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1 929,4</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822,4</w:t>
            </w:r>
          </w:p>
        </w:tc>
      </w:tr>
      <w:tr w:rsidR="00662B53" w:rsidRPr="00F0184E" w:rsidTr="00F0184E">
        <w:trPr>
          <w:trHeight w:val="511"/>
        </w:trPr>
        <w:tc>
          <w:tcPr>
            <w:tcW w:w="3894" w:type="dxa"/>
            <w:vAlign w:val="center"/>
          </w:tcPr>
          <w:p w:rsidR="00662B53" w:rsidRPr="00F0184E" w:rsidRDefault="00662B53" w:rsidP="00662B53">
            <w:pPr>
              <w:rPr>
                <w:rFonts w:cs="Calibri"/>
                <w:color w:val="000000"/>
                <w:lang w:val="en-US"/>
              </w:rPr>
            </w:pPr>
            <w:r w:rsidRPr="00F0184E">
              <w:rPr>
                <w:rFonts w:cs="Calibri"/>
                <w:color w:val="000000"/>
                <w:lang w:val="en-US"/>
              </w:rPr>
              <w:t>Loans and credits</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10 635,6</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3 293,8</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270,4</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14 199,8</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3 564,2</w:t>
            </w:r>
          </w:p>
        </w:tc>
      </w:tr>
      <w:tr w:rsidR="00662B53" w:rsidRPr="00F0184E" w:rsidTr="00F0184E">
        <w:trPr>
          <w:trHeight w:val="511"/>
        </w:trPr>
        <w:tc>
          <w:tcPr>
            <w:tcW w:w="3894" w:type="dxa"/>
            <w:vAlign w:val="center"/>
          </w:tcPr>
          <w:p w:rsidR="00662B53" w:rsidRPr="00F0184E" w:rsidRDefault="00662B53" w:rsidP="00662B53">
            <w:pPr>
              <w:rPr>
                <w:rFonts w:cs="Calibri"/>
                <w:color w:val="000000"/>
                <w:lang w:val="en-US"/>
              </w:rPr>
            </w:pPr>
            <w:r w:rsidRPr="00F0184E">
              <w:rPr>
                <w:rFonts w:cs="Calibri"/>
                <w:color w:val="000000"/>
                <w:lang w:val="en-US"/>
              </w:rPr>
              <w:t>Special drawing rights</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363,9</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-0,4</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15,1</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378,6</w:t>
            </w:r>
          </w:p>
        </w:tc>
        <w:tc>
          <w:tcPr>
            <w:tcW w:w="2213" w:type="dxa"/>
            <w:vAlign w:val="center"/>
          </w:tcPr>
          <w:p w:rsidR="00662B53" w:rsidRPr="00C92486" w:rsidRDefault="00662B53" w:rsidP="00662B53">
            <w:pPr>
              <w:jc w:val="right"/>
              <w:rPr>
                <w:rFonts w:asciiTheme="minorHAnsi" w:hAnsiTheme="minorHAnsi" w:cstheme="minorHAnsi"/>
                <w:color w:val="000000"/>
              </w:rPr>
            </w:pPr>
            <w:r w:rsidRPr="00C92486">
              <w:rPr>
                <w:rFonts w:asciiTheme="minorHAnsi" w:hAnsiTheme="minorHAnsi" w:cstheme="minorHAnsi"/>
                <w:color w:val="000000"/>
              </w:rPr>
              <w:t>14,7</w:t>
            </w:r>
          </w:p>
        </w:tc>
      </w:tr>
    </w:tbl>
    <w:p w:rsidR="00264E3C" w:rsidRDefault="00264E3C" w:rsidP="00264E3C">
      <w:pPr>
        <w:rPr>
          <w:sz w:val="22"/>
          <w:szCs w:val="22"/>
        </w:rPr>
      </w:pPr>
      <w:r>
        <w:rPr>
          <w:sz w:val="22"/>
          <w:szCs w:val="22"/>
        </w:rPr>
        <w:br w:type="page"/>
      </w:r>
    </w:p>
    <w:p w:rsidR="009304D9" w:rsidRPr="00ED5572" w:rsidRDefault="009304D9" w:rsidP="009304D9">
      <w:pPr>
        <w:jc w:val="right"/>
        <w:rPr>
          <w:i/>
          <w:iCs/>
          <w:color w:val="000000"/>
          <w:sz w:val="22"/>
          <w:szCs w:val="22"/>
          <w:lang w:val="en-US"/>
        </w:rPr>
      </w:pPr>
      <w:r w:rsidRPr="00ED5572">
        <w:rPr>
          <w:i/>
          <w:sz w:val="22"/>
          <w:szCs w:val="22"/>
          <w:lang w:val="en-US"/>
        </w:rPr>
        <w:lastRenderedPageBreak/>
        <w:t>Addenda</w:t>
      </w:r>
      <w:r w:rsidRPr="00ED5572">
        <w:rPr>
          <w:i/>
          <w:iCs/>
          <w:color w:val="000000"/>
          <w:sz w:val="22"/>
          <w:szCs w:val="22"/>
          <w:lang w:val="en-US"/>
        </w:rPr>
        <w:t xml:space="preserve"> 1</w:t>
      </w:r>
      <w:r w:rsidR="00662B53">
        <w:rPr>
          <w:i/>
          <w:iCs/>
          <w:color w:val="000000"/>
          <w:sz w:val="22"/>
          <w:szCs w:val="22"/>
          <w:lang w:val="en-US"/>
        </w:rPr>
        <w:t>3</w:t>
      </w:r>
      <w:r w:rsidRPr="00ED5572">
        <w:rPr>
          <w:i/>
          <w:iCs/>
          <w:color w:val="000000"/>
          <w:sz w:val="22"/>
          <w:szCs w:val="22"/>
          <w:lang w:val="en-US"/>
        </w:rPr>
        <w:t>.3</w:t>
      </w:r>
    </w:p>
    <w:p w:rsidR="009304D9" w:rsidRPr="00B30F70" w:rsidRDefault="009304D9" w:rsidP="009304D9">
      <w:pPr>
        <w:pStyle w:val="1"/>
        <w:ind w:left="0"/>
        <w:jc w:val="center"/>
        <w:rPr>
          <w:rFonts w:ascii="Calibri" w:hAnsi="Calibri"/>
          <w:sz w:val="26"/>
          <w:szCs w:val="26"/>
          <w:lang w:val="en-US"/>
        </w:rPr>
      </w:pPr>
      <w:bookmarkStart w:id="39" w:name="_Toc67050815"/>
      <w:r w:rsidRPr="00B30F70">
        <w:rPr>
          <w:rFonts w:ascii="Calibri" w:hAnsi="Calibri" w:cs="Calibri"/>
          <w:sz w:val="26"/>
          <w:szCs w:val="26"/>
          <w:lang w:val="en-US"/>
        </w:rPr>
        <w:t xml:space="preserve">INTERNATIONAL INVESTMENT POSITION OF BANKING SECTOR </w:t>
      </w:r>
      <w:r w:rsidR="00752542">
        <w:rPr>
          <w:rFonts w:ascii="Calibri" w:hAnsi="Calibri" w:cs="Calibri"/>
          <w:sz w:val="26"/>
          <w:szCs w:val="26"/>
          <w:lang w:val="en-US"/>
        </w:rPr>
        <w:t>FOR</w:t>
      </w:r>
      <w:r w:rsidRPr="00B30F70">
        <w:rPr>
          <w:rFonts w:ascii="Calibri" w:hAnsi="Calibri" w:cs="Calibri"/>
          <w:sz w:val="26"/>
          <w:szCs w:val="26"/>
          <w:lang w:val="en-US"/>
        </w:rPr>
        <w:t xml:space="preserve"> </w:t>
      </w:r>
      <w:r w:rsidR="00280FCA">
        <w:rPr>
          <w:rFonts w:ascii="Calibri" w:hAnsi="Calibri" w:cs="Calibri"/>
          <w:sz w:val="26"/>
          <w:szCs w:val="26"/>
          <w:lang w:val="en-US"/>
        </w:rPr>
        <w:t>2020</w:t>
      </w:r>
      <w:bookmarkEnd w:id="39"/>
    </w:p>
    <w:p w:rsidR="009304D9" w:rsidRDefault="009304D9" w:rsidP="009304D9">
      <w:pPr>
        <w:jc w:val="center"/>
        <w:rPr>
          <w:rFonts w:cs="Calibri"/>
          <w:i/>
          <w:iCs/>
          <w:color w:val="000000"/>
          <w:lang w:val="en-US"/>
        </w:rPr>
      </w:pPr>
      <w:r w:rsidRPr="00F45A80">
        <w:rPr>
          <w:rFonts w:cs="Calibri"/>
          <w:i/>
          <w:iCs/>
          <w:color w:val="000000"/>
          <w:lang w:val="en-US"/>
        </w:rPr>
        <w:t>(detailed by main components)</w:t>
      </w:r>
    </w:p>
    <w:p w:rsidR="00AB0C31" w:rsidRDefault="00AB0C31" w:rsidP="009304D9">
      <w:pPr>
        <w:jc w:val="center"/>
        <w:rPr>
          <w:i/>
          <w:color w:val="000000"/>
          <w:lang w:val="en-US"/>
        </w:rPr>
      </w:pPr>
    </w:p>
    <w:p w:rsidR="00AB0C31" w:rsidRDefault="00AB0C31" w:rsidP="00AB0C31">
      <w:pPr>
        <w:jc w:val="right"/>
        <w:rPr>
          <w:i/>
          <w:iCs/>
          <w:color w:val="000000"/>
          <w:lang w:val="en-US"/>
        </w:rPr>
      </w:pPr>
      <w:r w:rsidRPr="00F45A80">
        <w:rPr>
          <w:i/>
          <w:sz w:val="20"/>
          <w:szCs w:val="20"/>
          <w:lang w:val="en-US"/>
        </w:rPr>
        <w:t>(mln. USD)</w:t>
      </w:r>
    </w:p>
    <w:tbl>
      <w:tblPr>
        <w:tblW w:w="14931" w:type="dxa"/>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20" w:firstRow="1" w:lastRow="0" w:firstColumn="0" w:lastColumn="0" w:noHBand="0" w:noVBand="0"/>
      </w:tblPr>
      <w:tblGrid>
        <w:gridCol w:w="3886"/>
        <w:gridCol w:w="2209"/>
        <w:gridCol w:w="2209"/>
        <w:gridCol w:w="2209"/>
        <w:gridCol w:w="2209"/>
        <w:gridCol w:w="2209"/>
      </w:tblGrid>
      <w:tr w:rsidR="00662B53" w:rsidRPr="009F42C8" w:rsidTr="00F0184E">
        <w:trPr>
          <w:trHeight w:val="977"/>
        </w:trPr>
        <w:tc>
          <w:tcPr>
            <w:tcW w:w="3886" w:type="dxa"/>
            <w:vAlign w:val="center"/>
          </w:tcPr>
          <w:p w:rsidR="00662B53" w:rsidRPr="00F0184E" w:rsidRDefault="00662B53" w:rsidP="00662B53">
            <w:pPr>
              <w:jc w:val="center"/>
              <w:rPr>
                <w:rFonts w:asciiTheme="minorHAnsi" w:hAnsiTheme="minorHAnsi" w:cstheme="minorHAnsi"/>
                <w:b/>
                <w:bCs/>
                <w:color w:val="000000"/>
              </w:rPr>
            </w:pPr>
            <w:r w:rsidRPr="00F0184E">
              <w:rPr>
                <w:rFonts w:asciiTheme="minorHAnsi" w:hAnsiTheme="minorHAnsi" w:cstheme="minorHAnsi"/>
                <w:b/>
                <w:bCs/>
                <w:color w:val="000000"/>
              </w:rPr>
              <w:t>Indicator</w:t>
            </w:r>
          </w:p>
        </w:tc>
        <w:tc>
          <w:tcPr>
            <w:tcW w:w="2209" w:type="dxa"/>
            <w:vAlign w:val="center"/>
          </w:tcPr>
          <w:p w:rsidR="00662B53" w:rsidRPr="004A3D61" w:rsidRDefault="00662B53" w:rsidP="00662B53">
            <w:pPr>
              <w:autoSpaceDE w:val="0"/>
              <w:autoSpaceDN w:val="0"/>
              <w:adjustRightInd w:val="0"/>
              <w:ind w:right="83"/>
              <w:jc w:val="center"/>
              <w:rPr>
                <w:rFonts w:asciiTheme="minorHAnsi" w:hAnsiTheme="minorHAnsi" w:cstheme="minorHAnsi"/>
                <w:b/>
                <w:color w:val="000000"/>
                <w:lang w:val="en-US"/>
              </w:rPr>
            </w:pPr>
            <w:r w:rsidRPr="00C92486">
              <w:rPr>
                <w:rFonts w:asciiTheme="minorHAnsi" w:hAnsiTheme="minorHAnsi" w:cstheme="minorHAnsi"/>
                <w:b/>
                <w:color w:val="000000"/>
              </w:rPr>
              <w:t>01.01.2020</w:t>
            </w:r>
          </w:p>
        </w:tc>
        <w:tc>
          <w:tcPr>
            <w:tcW w:w="2209" w:type="dxa"/>
            <w:vAlign w:val="center"/>
          </w:tcPr>
          <w:p w:rsidR="00662B53" w:rsidRPr="004A3D61" w:rsidRDefault="00662B53" w:rsidP="00662B53">
            <w:pPr>
              <w:autoSpaceDE w:val="0"/>
              <w:autoSpaceDN w:val="0"/>
              <w:adjustRightInd w:val="0"/>
              <w:jc w:val="center"/>
              <w:rPr>
                <w:rFonts w:asciiTheme="minorHAnsi" w:hAnsiTheme="minorHAnsi" w:cstheme="minorHAnsi"/>
                <w:b/>
                <w:color w:val="000000"/>
                <w:lang w:val="en-US"/>
              </w:rPr>
            </w:pPr>
            <w:r w:rsidRPr="004A3D61">
              <w:rPr>
                <w:rFonts w:asciiTheme="minorHAnsi" w:hAnsiTheme="minorHAnsi" w:cstheme="minorHAnsi"/>
                <w:b/>
                <w:color w:val="000000"/>
                <w:lang w:val="en-US"/>
              </w:rPr>
              <w:t>BOP operations</w:t>
            </w:r>
          </w:p>
        </w:tc>
        <w:tc>
          <w:tcPr>
            <w:tcW w:w="2209" w:type="dxa"/>
            <w:vAlign w:val="center"/>
          </w:tcPr>
          <w:p w:rsidR="00662B53" w:rsidRPr="004A3D61" w:rsidRDefault="00662B53" w:rsidP="00662B53">
            <w:pPr>
              <w:autoSpaceDE w:val="0"/>
              <w:autoSpaceDN w:val="0"/>
              <w:adjustRightInd w:val="0"/>
              <w:jc w:val="center"/>
              <w:rPr>
                <w:rFonts w:asciiTheme="minorHAnsi" w:hAnsiTheme="minorHAnsi" w:cstheme="minorHAnsi"/>
                <w:b/>
                <w:color w:val="000000"/>
                <w:lang w:val="en-US"/>
              </w:rPr>
            </w:pPr>
            <w:r w:rsidRPr="004A3D61">
              <w:rPr>
                <w:rFonts w:asciiTheme="minorHAnsi" w:hAnsiTheme="minorHAnsi" w:cstheme="minorHAnsi"/>
                <w:b/>
                <w:color w:val="000000"/>
                <w:lang w:val="en-US"/>
              </w:rPr>
              <w:t>Non-operational changes</w:t>
            </w:r>
          </w:p>
        </w:tc>
        <w:tc>
          <w:tcPr>
            <w:tcW w:w="2209" w:type="dxa"/>
            <w:vAlign w:val="center"/>
          </w:tcPr>
          <w:p w:rsidR="00662B53" w:rsidRPr="00C92486" w:rsidRDefault="00662B53" w:rsidP="00662B53">
            <w:pPr>
              <w:autoSpaceDE w:val="0"/>
              <w:autoSpaceDN w:val="0"/>
              <w:adjustRightInd w:val="0"/>
              <w:ind w:right="119"/>
              <w:jc w:val="center"/>
              <w:rPr>
                <w:rFonts w:asciiTheme="minorHAnsi" w:hAnsiTheme="minorHAnsi" w:cstheme="minorHAnsi"/>
                <w:b/>
                <w:color w:val="000000"/>
              </w:rPr>
            </w:pPr>
            <w:r w:rsidRPr="00C92486">
              <w:rPr>
                <w:rFonts w:asciiTheme="minorHAnsi" w:hAnsiTheme="minorHAnsi" w:cstheme="minorHAnsi"/>
                <w:b/>
                <w:color w:val="000000"/>
              </w:rPr>
              <w:t>01.01.2021</w:t>
            </w:r>
          </w:p>
        </w:tc>
        <w:tc>
          <w:tcPr>
            <w:tcW w:w="2209" w:type="dxa"/>
            <w:vAlign w:val="center"/>
          </w:tcPr>
          <w:p w:rsidR="00662B53" w:rsidRPr="004A3D61" w:rsidRDefault="00662B53" w:rsidP="00662B53">
            <w:pPr>
              <w:autoSpaceDE w:val="0"/>
              <w:autoSpaceDN w:val="0"/>
              <w:adjustRightInd w:val="0"/>
              <w:jc w:val="center"/>
              <w:rPr>
                <w:rFonts w:asciiTheme="minorHAnsi" w:hAnsiTheme="minorHAnsi" w:cstheme="minorHAnsi"/>
                <w:b/>
                <w:color w:val="000000"/>
                <w:lang w:val="en-US"/>
              </w:rPr>
            </w:pPr>
            <w:r>
              <w:rPr>
                <w:rFonts w:asciiTheme="minorHAnsi" w:hAnsiTheme="minorHAnsi" w:cstheme="minorHAnsi"/>
                <w:b/>
                <w:color w:val="000000"/>
                <w:lang w:val="en-US"/>
              </w:rPr>
              <w:t>Change for 2020</w:t>
            </w:r>
          </w:p>
        </w:tc>
      </w:tr>
      <w:tr w:rsidR="00662B53" w:rsidRPr="00F0184E" w:rsidTr="00832C1D">
        <w:trPr>
          <w:trHeight w:val="504"/>
        </w:trPr>
        <w:tc>
          <w:tcPr>
            <w:tcW w:w="3886" w:type="dxa"/>
            <w:shd w:val="clear" w:color="auto" w:fill="BDD6EE" w:themeFill="accent1" w:themeFillTint="66"/>
            <w:vAlign w:val="center"/>
          </w:tcPr>
          <w:p w:rsidR="00662B53" w:rsidRPr="00F0184E" w:rsidRDefault="00662B53" w:rsidP="00662B53">
            <w:pPr>
              <w:rPr>
                <w:rFonts w:asciiTheme="minorHAnsi" w:hAnsiTheme="minorHAnsi" w:cstheme="minorHAnsi"/>
                <w:b/>
                <w:bCs/>
                <w:color w:val="000000"/>
                <w:lang w:val="en-US"/>
              </w:rPr>
            </w:pPr>
            <w:r w:rsidRPr="00F0184E">
              <w:rPr>
                <w:rFonts w:asciiTheme="minorHAnsi" w:hAnsiTheme="minorHAnsi" w:cstheme="minorHAnsi"/>
                <w:b/>
                <w:bCs/>
                <w:color w:val="000000"/>
                <w:lang w:val="en-US"/>
              </w:rPr>
              <w:t>Net investment position</w:t>
            </w:r>
          </w:p>
        </w:tc>
        <w:tc>
          <w:tcPr>
            <w:tcW w:w="2209"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-1 206,0</w:t>
            </w:r>
          </w:p>
        </w:tc>
        <w:tc>
          <w:tcPr>
            <w:tcW w:w="2209"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-2 833,4</w:t>
            </w:r>
          </w:p>
        </w:tc>
        <w:tc>
          <w:tcPr>
            <w:tcW w:w="2209"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-196,8</w:t>
            </w:r>
          </w:p>
        </w:tc>
        <w:tc>
          <w:tcPr>
            <w:tcW w:w="2209"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-4 236,3</w:t>
            </w:r>
          </w:p>
        </w:tc>
        <w:tc>
          <w:tcPr>
            <w:tcW w:w="2209"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color w:val="000000"/>
              </w:rPr>
            </w:pPr>
            <w:r w:rsidRPr="00C92486">
              <w:rPr>
                <w:rFonts w:asciiTheme="minorHAnsi" w:hAnsiTheme="minorHAnsi" w:cstheme="minorHAnsi"/>
                <w:b/>
                <w:color w:val="000000"/>
              </w:rPr>
              <w:t>-3 030,3</w:t>
            </w:r>
          </w:p>
        </w:tc>
      </w:tr>
      <w:tr w:rsidR="00662B53" w:rsidRPr="00F0184E" w:rsidTr="00832C1D">
        <w:trPr>
          <w:trHeight w:val="504"/>
        </w:trPr>
        <w:tc>
          <w:tcPr>
            <w:tcW w:w="3886" w:type="dxa"/>
            <w:shd w:val="clear" w:color="auto" w:fill="BDD6EE" w:themeFill="accent1" w:themeFillTint="66"/>
            <w:vAlign w:val="center"/>
          </w:tcPr>
          <w:p w:rsidR="00662B53" w:rsidRPr="00F0184E" w:rsidRDefault="00662B53" w:rsidP="00662B53">
            <w:pPr>
              <w:rPr>
                <w:rFonts w:asciiTheme="minorHAnsi" w:hAnsiTheme="minorHAnsi" w:cstheme="minorHAnsi"/>
                <w:b/>
                <w:bCs/>
                <w:color w:val="000000"/>
                <w:lang w:val="en-US"/>
              </w:rPr>
            </w:pPr>
            <w:r w:rsidRPr="00F0184E">
              <w:rPr>
                <w:rFonts w:asciiTheme="minorHAnsi" w:hAnsiTheme="minorHAnsi" w:cstheme="minorHAnsi"/>
                <w:b/>
                <w:bCs/>
                <w:color w:val="000000"/>
                <w:lang w:val="en-US"/>
              </w:rPr>
              <w:t>Assets</w:t>
            </w:r>
          </w:p>
        </w:tc>
        <w:tc>
          <w:tcPr>
            <w:tcW w:w="2209"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2 116,9</w:t>
            </w:r>
          </w:p>
        </w:tc>
        <w:tc>
          <w:tcPr>
            <w:tcW w:w="2209"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620,2</w:t>
            </w:r>
          </w:p>
        </w:tc>
        <w:tc>
          <w:tcPr>
            <w:tcW w:w="2209"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14,8</w:t>
            </w:r>
          </w:p>
        </w:tc>
        <w:tc>
          <w:tcPr>
            <w:tcW w:w="2209"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2 751,9</w:t>
            </w:r>
          </w:p>
        </w:tc>
        <w:tc>
          <w:tcPr>
            <w:tcW w:w="2209"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color w:val="000000"/>
              </w:rPr>
            </w:pPr>
            <w:r w:rsidRPr="00C92486">
              <w:rPr>
                <w:rFonts w:asciiTheme="minorHAnsi" w:hAnsiTheme="minorHAnsi" w:cstheme="minorHAnsi"/>
                <w:b/>
                <w:color w:val="000000"/>
              </w:rPr>
              <w:t>635,0</w:t>
            </w:r>
          </w:p>
        </w:tc>
      </w:tr>
      <w:tr w:rsidR="00662B53" w:rsidRPr="00F0184E" w:rsidTr="00F0184E">
        <w:trPr>
          <w:trHeight w:val="504"/>
        </w:trPr>
        <w:tc>
          <w:tcPr>
            <w:tcW w:w="3886" w:type="dxa"/>
            <w:vAlign w:val="center"/>
          </w:tcPr>
          <w:p w:rsidR="00662B53" w:rsidRPr="00F0184E" w:rsidRDefault="00662B53" w:rsidP="00662B53">
            <w:r w:rsidRPr="00F0184E">
              <w:t xml:space="preserve">Direct investments </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12,8</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0,0</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-0,3</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12,5</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-0,3</w:t>
            </w:r>
          </w:p>
        </w:tc>
      </w:tr>
      <w:tr w:rsidR="00662B53" w:rsidRPr="00F0184E" w:rsidTr="00F0184E">
        <w:trPr>
          <w:trHeight w:val="504"/>
        </w:trPr>
        <w:tc>
          <w:tcPr>
            <w:tcW w:w="3886" w:type="dxa"/>
            <w:vAlign w:val="center"/>
          </w:tcPr>
          <w:p w:rsidR="00662B53" w:rsidRPr="00F0184E" w:rsidRDefault="00662B53" w:rsidP="00662B53">
            <w:r w:rsidRPr="00F0184E">
              <w:t>Portfolio investments</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1,2</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0,0</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0,0</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1,1</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-0,0</w:t>
            </w:r>
          </w:p>
        </w:tc>
      </w:tr>
      <w:tr w:rsidR="00662B53" w:rsidRPr="00F0184E" w:rsidTr="00F0184E">
        <w:trPr>
          <w:trHeight w:val="504"/>
        </w:trPr>
        <w:tc>
          <w:tcPr>
            <w:tcW w:w="3886" w:type="dxa"/>
            <w:vAlign w:val="center"/>
          </w:tcPr>
          <w:p w:rsidR="00662B53" w:rsidRPr="00F0184E" w:rsidRDefault="00662B53" w:rsidP="00662B53">
            <w:r w:rsidRPr="00F0184E">
              <w:t xml:space="preserve">Currency and deposits </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2 101,2</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617,2</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15,1</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2 733,6</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632,4</w:t>
            </w:r>
          </w:p>
        </w:tc>
      </w:tr>
      <w:tr w:rsidR="00662B53" w:rsidRPr="00F0184E" w:rsidTr="00F0184E">
        <w:trPr>
          <w:trHeight w:val="504"/>
        </w:trPr>
        <w:tc>
          <w:tcPr>
            <w:tcW w:w="3886" w:type="dxa"/>
            <w:vAlign w:val="center"/>
          </w:tcPr>
          <w:p w:rsidR="00662B53" w:rsidRPr="00F0184E" w:rsidRDefault="00662B53" w:rsidP="00662B53">
            <w:pPr>
              <w:rPr>
                <w:rFonts w:cs="Calibri"/>
                <w:color w:val="000000"/>
                <w:lang w:val="en-US"/>
              </w:rPr>
            </w:pPr>
            <w:r w:rsidRPr="00F0184E">
              <w:t>Loans and credits</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1,7</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3,0</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0,0</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4,7</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3,0</w:t>
            </w:r>
          </w:p>
        </w:tc>
      </w:tr>
      <w:tr w:rsidR="00662B53" w:rsidRPr="00F0184E" w:rsidTr="00832C1D">
        <w:trPr>
          <w:trHeight w:val="504"/>
        </w:trPr>
        <w:tc>
          <w:tcPr>
            <w:tcW w:w="3886" w:type="dxa"/>
            <w:shd w:val="clear" w:color="auto" w:fill="BDD6EE" w:themeFill="accent1" w:themeFillTint="66"/>
            <w:vAlign w:val="center"/>
          </w:tcPr>
          <w:p w:rsidR="00662B53" w:rsidRPr="00F0184E" w:rsidRDefault="00662B53" w:rsidP="00662B53">
            <w:pPr>
              <w:rPr>
                <w:rFonts w:asciiTheme="minorHAnsi" w:hAnsiTheme="minorHAnsi" w:cstheme="minorHAnsi"/>
                <w:b/>
                <w:bCs/>
                <w:color w:val="000000"/>
                <w:lang w:val="en-US"/>
              </w:rPr>
            </w:pPr>
            <w:r w:rsidRPr="00F0184E">
              <w:rPr>
                <w:rFonts w:asciiTheme="minorHAnsi" w:hAnsiTheme="minorHAnsi" w:cstheme="minorHAnsi"/>
                <w:b/>
                <w:bCs/>
                <w:color w:val="000000"/>
                <w:lang w:val="en-US"/>
              </w:rPr>
              <w:t>Liabilities</w:t>
            </w:r>
          </w:p>
        </w:tc>
        <w:tc>
          <w:tcPr>
            <w:tcW w:w="2209"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3 322,9</w:t>
            </w:r>
          </w:p>
        </w:tc>
        <w:tc>
          <w:tcPr>
            <w:tcW w:w="2209"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3 453,7</w:t>
            </w:r>
          </w:p>
        </w:tc>
        <w:tc>
          <w:tcPr>
            <w:tcW w:w="2209"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211,6</w:t>
            </w:r>
          </w:p>
        </w:tc>
        <w:tc>
          <w:tcPr>
            <w:tcW w:w="2209"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6 988,2</w:t>
            </w:r>
          </w:p>
        </w:tc>
        <w:tc>
          <w:tcPr>
            <w:tcW w:w="2209"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color w:val="000000"/>
              </w:rPr>
            </w:pPr>
            <w:r w:rsidRPr="00C92486">
              <w:rPr>
                <w:rFonts w:asciiTheme="minorHAnsi" w:hAnsiTheme="minorHAnsi" w:cstheme="minorHAnsi"/>
                <w:b/>
                <w:color w:val="000000"/>
              </w:rPr>
              <w:t>3 665,3</w:t>
            </w:r>
          </w:p>
        </w:tc>
      </w:tr>
      <w:tr w:rsidR="00662B53" w:rsidRPr="00F0184E" w:rsidTr="00F0184E">
        <w:trPr>
          <w:trHeight w:val="504"/>
        </w:trPr>
        <w:tc>
          <w:tcPr>
            <w:tcW w:w="3886" w:type="dxa"/>
            <w:vAlign w:val="center"/>
          </w:tcPr>
          <w:p w:rsidR="00662B53" w:rsidRPr="00F0184E" w:rsidRDefault="00662B53" w:rsidP="00662B53">
            <w:r w:rsidRPr="00F0184E">
              <w:t xml:space="preserve">Direct investments </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215,5</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103,2</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-23,5</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295,3</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79,8</w:t>
            </w:r>
          </w:p>
        </w:tc>
      </w:tr>
      <w:tr w:rsidR="00662B53" w:rsidRPr="00F0184E" w:rsidTr="00F0184E">
        <w:trPr>
          <w:trHeight w:val="504"/>
        </w:trPr>
        <w:tc>
          <w:tcPr>
            <w:tcW w:w="3886" w:type="dxa"/>
            <w:vAlign w:val="center"/>
          </w:tcPr>
          <w:p w:rsidR="00662B53" w:rsidRPr="00F0184E" w:rsidRDefault="00662B53" w:rsidP="00662B53">
            <w:r w:rsidRPr="00F0184E">
              <w:t>Portfolio investments</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323,0</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613,7</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22,7</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959,5</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636,4</w:t>
            </w:r>
          </w:p>
        </w:tc>
      </w:tr>
      <w:tr w:rsidR="00662B53" w:rsidRPr="00F0184E" w:rsidTr="00F0184E">
        <w:trPr>
          <w:trHeight w:val="504"/>
        </w:trPr>
        <w:tc>
          <w:tcPr>
            <w:tcW w:w="3886" w:type="dxa"/>
            <w:vAlign w:val="center"/>
          </w:tcPr>
          <w:p w:rsidR="00662B53" w:rsidRPr="00F0184E" w:rsidRDefault="00662B53" w:rsidP="00662B53">
            <w:r w:rsidRPr="00F0184E">
              <w:t xml:space="preserve">Financial derivatives </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3,7</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-6,4</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19,4</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16,7</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13,0</w:t>
            </w:r>
          </w:p>
        </w:tc>
      </w:tr>
      <w:tr w:rsidR="00662B53" w:rsidRPr="00F0184E" w:rsidTr="00F0184E">
        <w:trPr>
          <w:trHeight w:val="504"/>
        </w:trPr>
        <w:tc>
          <w:tcPr>
            <w:tcW w:w="3886" w:type="dxa"/>
            <w:vAlign w:val="center"/>
          </w:tcPr>
          <w:p w:rsidR="00662B53" w:rsidRPr="00F0184E" w:rsidRDefault="00662B53" w:rsidP="00662B53">
            <w:r w:rsidRPr="00F0184E">
              <w:t xml:space="preserve">Currency and deposits </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167,9</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201,4</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4,0</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373,2</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205,4</w:t>
            </w:r>
          </w:p>
        </w:tc>
      </w:tr>
      <w:tr w:rsidR="00662B53" w:rsidRPr="00F0184E" w:rsidTr="00F0184E">
        <w:trPr>
          <w:trHeight w:val="504"/>
        </w:trPr>
        <w:tc>
          <w:tcPr>
            <w:tcW w:w="3886" w:type="dxa"/>
            <w:vAlign w:val="center"/>
          </w:tcPr>
          <w:p w:rsidR="00662B53" w:rsidRPr="00F0184E" w:rsidRDefault="00662B53" w:rsidP="00662B53">
            <w:r w:rsidRPr="00F0184E">
              <w:t xml:space="preserve">Loans and credits </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2 612,8</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2 541,7</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188,9</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5 343,5</w:t>
            </w:r>
          </w:p>
        </w:tc>
        <w:tc>
          <w:tcPr>
            <w:tcW w:w="2209"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2 730,7</w:t>
            </w:r>
          </w:p>
        </w:tc>
      </w:tr>
    </w:tbl>
    <w:p w:rsidR="00AB0C31" w:rsidRDefault="00AB0C31" w:rsidP="00AB0C31">
      <w:pPr>
        <w:rPr>
          <w:sz w:val="22"/>
          <w:szCs w:val="22"/>
        </w:rPr>
      </w:pPr>
      <w:r>
        <w:rPr>
          <w:sz w:val="22"/>
          <w:szCs w:val="22"/>
        </w:rPr>
        <w:br w:type="page"/>
      </w:r>
    </w:p>
    <w:p w:rsidR="009304D9" w:rsidRPr="00ED5572" w:rsidRDefault="009304D9" w:rsidP="009304D9">
      <w:pPr>
        <w:ind w:right="82"/>
        <w:jc w:val="right"/>
        <w:rPr>
          <w:i/>
          <w:iCs/>
          <w:color w:val="000000"/>
          <w:sz w:val="22"/>
          <w:szCs w:val="22"/>
          <w:lang w:val="en-US"/>
        </w:rPr>
      </w:pPr>
      <w:r w:rsidRPr="00ED5572">
        <w:rPr>
          <w:i/>
          <w:sz w:val="22"/>
          <w:szCs w:val="22"/>
          <w:lang w:val="en-US"/>
        </w:rPr>
        <w:lastRenderedPageBreak/>
        <w:t>Addenda</w:t>
      </w:r>
      <w:r w:rsidR="00C47899">
        <w:rPr>
          <w:i/>
          <w:iCs/>
          <w:color w:val="000000"/>
          <w:sz w:val="22"/>
          <w:szCs w:val="22"/>
          <w:lang w:val="en-US"/>
        </w:rPr>
        <w:t xml:space="preserve"> 1</w:t>
      </w:r>
      <w:r w:rsidR="00662B53">
        <w:rPr>
          <w:i/>
          <w:iCs/>
          <w:color w:val="000000"/>
          <w:sz w:val="22"/>
          <w:szCs w:val="22"/>
          <w:lang w:val="en-US"/>
        </w:rPr>
        <w:t>3</w:t>
      </w:r>
      <w:r w:rsidR="00C47899">
        <w:rPr>
          <w:i/>
          <w:iCs/>
          <w:color w:val="000000"/>
          <w:sz w:val="22"/>
          <w:szCs w:val="22"/>
          <w:lang w:val="en-US"/>
        </w:rPr>
        <w:t>.4</w:t>
      </w:r>
    </w:p>
    <w:p w:rsidR="009304D9" w:rsidRPr="00B30F70" w:rsidRDefault="009304D9" w:rsidP="009304D9">
      <w:pPr>
        <w:pStyle w:val="1"/>
        <w:ind w:left="0"/>
        <w:jc w:val="center"/>
        <w:rPr>
          <w:rFonts w:ascii="Calibri" w:hAnsi="Calibri"/>
          <w:sz w:val="26"/>
          <w:szCs w:val="26"/>
          <w:lang w:val="en-US"/>
        </w:rPr>
      </w:pPr>
      <w:bookmarkStart w:id="40" w:name="_Toc67050816"/>
      <w:r w:rsidRPr="00B30F70">
        <w:rPr>
          <w:rFonts w:ascii="Calibri" w:hAnsi="Calibri" w:cs="Calibri"/>
          <w:sz w:val="26"/>
          <w:szCs w:val="26"/>
          <w:lang w:val="en-US"/>
        </w:rPr>
        <w:t xml:space="preserve">INTERNATIONAL INVESTMENT POSITION OF OTHER SECTORS </w:t>
      </w:r>
      <w:r w:rsidR="00752542">
        <w:rPr>
          <w:rFonts w:ascii="Calibri" w:hAnsi="Calibri" w:cs="Calibri"/>
          <w:sz w:val="26"/>
          <w:szCs w:val="26"/>
          <w:lang w:val="en-US"/>
        </w:rPr>
        <w:t>FOR</w:t>
      </w:r>
      <w:r w:rsidR="00DF7434">
        <w:rPr>
          <w:rFonts w:ascii="Calibri" w:hAnsi="Calibri" w:cs="Calibri"/>
          <w:sz w:val="26"/>
          <w:szCs w:val="26"/>
          <w:lang w:val="en-US"/>
        </w:rPr>
        <w:t xml:space="preserve"> 2020</w:t>
      </w:r>
      <w:bookmarkEnd w:id="40"/>
    </w:p>
    <w:p w:rsidR="009304D9" w:rsidRPr="00F45A80" w:rsidRDefault="009304D9" w:rsidP="009304D9">
      <w:pPr>
        <w:jc w:val="center"/>
        <w:rPr>
          <w:lang w:val="en-US"/>
        </w:rPr>
      </w:pPr>
      <w:r w:rsidRPr="00F45A80">
        <w:rPr>
          <w:rFonts w:cs="Calibri"/>
          <w:i/>
          <w:iCs/>
          <w:color w:val="000000"/>
          <w:lang w:val="en-US"/>
        </w:rPr>
        <w:t>(detailed by main components)</w:t>
      </w:r>
      <w:r w:rsidRPr="00F45A80">
        <w:rPr>
          <w:i/>
          <w:color w:val="000000"/>
          <w:lang w:val="en-US"/>
        </w:rPr>
        <w:t xml:space="preserve"> </w:t>
      </w:r>
    </w:p>
    <w:p w:rsidR="009304D9" w:rsidRPr="00C47899" w:rsidRDefault="009304D9" w:rsidP="009304D9">
      <w:pPr>
        <w:jc w:val="center"/>
        <w:rPr>
          <w:sz w:val="20"/>
          <w:szCs w:val="20"/>
          <w:lang w:val="en-US"/>
        </w:rPr>
      </w:pPr>
    </w:p>
    <w:p w:rsidR="00A11907" w:rsidRDefault="00A11907" w:rsidP="00A11907">
      <w:pPr>
        <w:jc w:val="right"/>
        <w:rPr>
          <w:i/>
          <w:iCs/>
          <w:color w:val="000000"/>
          <w:lang w:val="en-US"/>
        </w:rPr>
      </w:pPr>
      <w:r w:rsidRPr="00F45A80">
        <w:rPr>
          <w:i/>
          <w:sz w:val="20"/>
          <w:szCs w:val="20"/>
          <w:lang w:val="en-US"/>
        </w:rPr>
        <w:t>(mln. USD)</w:t>
      </w:r>
    </w:p>
    <w:tbl>
      <w:tblPr>
        <w:tblW w:w="14945" w:type="dxa"/>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20" w:firstRow="1" w:lastRow="0" w:firstColumn="0" w:lastColumn="0" w:noHBand="0" w:noVBand="0"/>
      </w:tblPr>
      <w:tblGrid>
        <w:gridCol w:w="3890"/>
        <w:gridCol w:w="2211"/>
        <w:gridCol w:w="2211"/>
        <w:gridCol w:w="2211"/>
        <w:gridCol w:w="2211"/>
        <w:gridCol w:w="2211"/>
      </w:tblGrid>
      <w:tr w:rsidR="00662B53" w:rsidRPr="009F42C8" w:rsidTr="00B8168D">
        <w:trPr>
          <w:trHeight w:val="976"/>
        </w:trPr>
        <w:tc>
          <w:tcPr>
            <w:tcW w:w="3890" w:type="dxa"/>
            <w:vAlign w:val="center"/>
          </w:tcPr>
          <w:p w:rsidR="00662B53" w:rsidRPr="00B8168D" w:rsidRDefault="00662B53" w:rsidP="00662B53">
            <w:pPr>
              <w:jc w:val="center"/>
              <w:rPr>
                <w:rFonts w:asciiTheme="minorHAnsi" w:hAnsiTheme="minorHAnsi" w:cstheme="minorHAnsi"/>
                <w:b/>
                <w:bCs/>
                <w:color w:val="000000"/>
              </w:rPr>
            </w:pPr>
            <w:r w:rsidRPr="00B8168D">
              <w:rPr>
                <w:rFonts w:asciiTheme="minorHAnsi" w:hAnsiTheme="minorHAnsi" w:cstheme="minorHAnsi"/>
                <w:b/>
                <w:bCs/>
                <w:color w:val="000000"/>
              </w:rPr>
              <w:t>Indicator</w:t>
            </w:r>
          </w:p>
        </w:tc>
        <w:tc>
          <w:tcPr>
            <w:tcW w:w="2211" w:type="dxa"/>
            <w:vAlign w:val="center"/>
          </w:tcPr>
          <w:p w:rsidR="00662B53" w:rsidRPr="004A3D61" w:rsidRDefault="00662B53" w:rsidP="00662B53">
            <w:pPr>
              <w:autoSpaceDE w:val="0"/>
              <w:autoSpaceDN w:val="0"/>
              <w:adjustRightInd w:val="0"/>
              <w:ind w:right="83"/>
              <w:jc w:val="center"/>
              <w:rPr>
                <w:rFonts w:asciiTheme="minorHAnsi" w:hAnsiTheme="minorHAnsi" w:cstheme="minorHAnsi"/>
                <w:b/>
                <w:color w:val="000000"/>
                <w:lang w:val="en-US"/>
              </w:rPr>
            </w:pPr>
            <w:r w:rsidRPr="00C92486">
              <w:rPr>
                <w:rFonts w:asciiTheme="minorHAnsi" w:hAnsiTheme="minorHAnsi" w:cstheme="minorHAnsi"/>
                <w:b/>
                <w:color w:val="000000"/>
              </w:rPr>
              <w:t>01.01.2020</w:t>
            </w:r>
          </w:p>
        </w:tc>
        <w:tc>
          <w:tcPr>
            <w:tcW w:w="2211" w:type="dxa"/>
            <w:vAlign w:val="center"/>
          </w:tcPr>
          <w:p w:rsidR="00662B53" w:rsidRPr="004A3D61" w:rsidRDefault="00662B53" w:rsidP="00662B53">
            <w:pPr>
              <w:autoSpaceDE w:val="0"/>
              <w:autoSpaceDN w:val="0"/>
              <w:adjustRightInd w:val="0"/>
              <w:jc w:val="center"/>
              <w:rPr>
                <w:rFonts w:asciiTheme="minorHAnsi" w:hAnsiTheme="minorHAnsi" w:cstheme="minorHAnsi"/>
                <w:b/>
                <w:color w:val="000000"/>
                <w:lang w:val="en-US"/>
              </w:rPr>
            </w:pPr>
            <w:r w:rsidRPr="004A3D61">
              <w:rPr>
                <w:rFonts w:asciiTheme="minorHAnsi" w:hAnsiTheme="minorHAnsi" w:cstheme="minorHAnsi"/>
                <w:b/>
                <w:color w:val="000000"/>
                <w:lang w:val="en-US"/>
              </w:rPr>
              <w:t>BOP operations</w:t>
            </w:r>
          </w:p>
        </w:tc>
        <w:tc>
          <w:tcPr>
            <w:tcW w:w="2211" w:type="dxa"/>
            <w:vAlign w:val="center"/>
          </w:tcPr>
          <w:p w:rsidR="00662B53" w:rsidRPr="004A3D61" w:rsidRDefault="00662B53" w:rsidP="00662B53">
            <w:pPr>
              <w:autoSpaceDE w:val="0"/>
              <w:autoSpaceDN w:val="0"/>
              <w:adjustRightInd w:val="0"/>
              <w:jc w:val="center"/>
              <w:rPr>
                <w:rFonts w:asciiTheme="minorHAnsi" w:hAnsiTheme="minorHAnsi" w:cstheme="minorHAnsi"/>
                <w:b/>
                <w:color w:val="000000"/>
                <w:lang w:val="en-US"/>
              </w:rPr>
            </w:pPr>
            <w:r w:rsidRPr="004A3D61">
              <w:rPr>
                <w:rFonts w:asciiTheme="minorHAnsi" w:hAnsiTheme="minorHAnsi" w:cstheme="minorHAnsi"/>
                <w:b/>
                <w:color w:val="000000"/>
                <w:lang w:val="en-US"/>
              </w:rPr>
              <w:t>Non-operational changes</w:t>
            </w:r>
          </w:p>
        </w:tc>
        <w:tc>
          <w:tcPr>
            <w:tcW w:w="2211" w:type="dxa"/>
            <w:vAlign w:val="center"/>
          </w:tcPr>
          <w:p w:rsidR="00662B53" w:rsidRPr="00C92486" w:rsidRDefault="00662B53" w:rsidP="00662B53">
            <w:pPr>
              <w:autoSpaceDE w:val="0"/>
              <w:autoSpaceDN w:val="0"/>
              <w:adjustRightInd w:val="0"/>
              <w:ind w:right="119"/>
              <w:jc w:val="center"/>
              <w:rPr>
                <w:rFonts w:asciiTheme="minorHAnsi" w:hAnsiTheme="minorHAnsi" w:cstheme="minorHAnsi"/>
                <w:b/>
                <w:color w:val="000000"/>
              </w:rPr>
            </w:pPr>
            <w:r w:rsidRPr="00C92486">
              <w:rPr>
                <w:rFonts w:asciiTheme="minorHAnsi" w:hAnsiTheme="minorHAnsi" w:cstheme="minorHAnsi"/>
                <w:b/>
                <w:color w:val="000000"/>
              </w:rPr>
              <w:t>01.01.2021</w:t>
            </w:r>
          </w:p>
        </w:tc>
        <w:tc>
          <w:tcPr>
            <w:tcW w:w="2211" w:type="dxa"/>
            <w:vAlign w:val="center"/>
          </w:tcPr>
          <w:p w:rsidR="00662B53" w:rsidRPr="004A3D61" w:rsidRDefault="00662B53" w:rsidP="00662B53">
            <w:pPr>
              <w:autoSpaceDE w:val="0"/>
              <w:autoSpaceDN w:val="0"/>
              <w:adjustRightInd w:val="0"/>
              <w:jc w:val="center"/>
              <w:rPr>
                <w:rFonts w:asciiTheme="minorHAnsi" w:hAnsiTheme="minorHAnsi" w:cstheme="minorHAnsi"/>
                <w:b/>
                <w:color w:val="000000"/>
                <w:lang w:val="en-US"/>
              </w:rPr>
            </w:pPr>
            <w:r>
              <w:rPr>
                <w:rFonts w:asciiTheme="minorHAnsi" w:hAnsiTheme="minorHAnsi" w:cstheme="minorHAnsi"/>
                <w:b/>
                <w:color w:val="000000"/>
                <w:lang w:val="en-US"/>
              </w:rPr>
              <w:t>Change for 2020</w:t>
            </w:r>
          </w:p>
        </w:tc>
      </w:tr>
      <w:tr w:rsidR="00662B53" w:rsidRPr="00B8168D" w:rsidTr="00832C1D">
        <w:trPr>
          <w:trHeight w:val="504"/>
        </w:trPr>
        <w:tc>
          <w:tcPr>
            <w:tcW w:w="3890" w:type="dxa"/>
            <w:shd w:val="clear" w:color="auto" w:fill="BDD6EE" w:themeFill="accent1" w:themeFillTint="66"/>
            <w:vAlign w:val="center"/>
          </w:tcPr>
          <w:p w:rsidR="00662B53" w:rsidRPr="00B8168D" w:rsidRDefault="00662B53" w:rsidP="00662B53">
            <w:pPr>
              <w:rPr>
                <w:rFonts w:asciiTheme="minorHAnsi" w:hAnsiTheme="minorHAnsi" w:cstheme="minorHAnsi"/>
                <w:b/>
                <w:bCs/>
                <w:color w:val="000000"/>
                <w:lang w:val="en-US"/>
              </w:rPr>
            </w:pPr>
            <w:r w:rsidRPr="00B8168D">
              <w:rPr>
                <w:rFonts w:asciiTheme="minorHAnsi" w:hAnsiTheme="minorHAnsi" w:cstheme="minorHAnsi"/>
                <w:b/>
                <w:bCs/>
                <w:color w:val="000000"/>
                <w:lang w:val="en-US"/>
              </w:rPr>
              <w:t>Net investment position</w:t>
            </w:r>
          </w:p>
        </w:tc>
        <w:tc>
          <w:tcPr>
            <w:tcW w:w="2211"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3 936,5</w:t>
            </w:r>
          </w:p>
        </w:tc>
        <w:tc>
          <w:tcPr>
            <w:tcW w:w="2211"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1 114,3</w:t>
            </w:r>
          </w:p>
        </w:tc>
        <w:tc>
          <w:tcPr>
            <w:tcW w:w="2211"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1 152,8</w:t>
            </w:r>
          </w:p>
        </w:tc>
        <w:tc>
          <w:tcPr>
            <w:tcW w:w="2211"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6 203,7</w:t>
            </w:r>
          </w:p>
        </w:tc>
        <w:tc>
          <w:tcPr>
            <w:tcW w:w="2211"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color w:val="000000"/>
              </w:rPr>
            </w:pPr>
            <w:r w:rsidRPr="00C92486">
              <w:rPr>
                <w:rFonts w:asciiTheme="minorHAnsi" w:hAnsiTheme="minorHAnsi" w:cstheme="minorHAnsi"/>
                <w:b/>
                <w:color w:val="000000"/>
              </w:rPr>
              <w:t>2 267,1</w:t>
            </w:r>
          </w:p>
        </w:tc>
      </w:tr>
      <w:tr w:rsidR="00662B53" w:rsidRPr="00B8168D" w:rsidTr="00832C1D">
        <w:trPr>
          <w:trHeight w:val="504"/>
        </w:trPr>
        <w:tc>
          <w:tcPr>
            <w:tcW w:w="3890" w:type="dxa"/>
            <w:shd w:val="clear" w:color="auto" w:fill="BDD6EE" w:themeFill="accent1" w:themeFillTint="66"/>
            <w:vAlign w:val="center"/>
          </w:tcPr>
          <w:p w:rsidR="00662B53" w:rsidRPr="00B8168D" w:rsidRDefault="00662B53" w:rsidP="00662B53">
            <w:pPr>
              <w:rPr>
                <w:rFonts w:asciiTheme="minorHAnsi" w:hAnsiTheme="minorHAnsi" w:cstheme="minorHAnsi"/>
                <w:b/>
                <w:bCs/>
                <w:color w:val="000000"/>
                <w:lang w:val="en-US"/>
              </w:rPr>
            </w:pPr>
            <w:r w:rsidRPr="00B8168D">
              <w:rPr>
                <w:rFonts w:asciiTheme="minorHAnsi" w:hAnsiTheme="minorHAnsi" w:cstheme="minorHAnsi"/>
                <w:b/>
                <w:bCs/>
                <w:color w:val="000000"/>
                <w:lang w:val="en-US"/>
              </w:rPr>
              <w:t>Assets</w:t>
            </w:r>
          </w:p>
        </w:tc>
        <w:tc>
          <w:tcPr>
            <w:tcW w:w="2211"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23 591,5</w:t>
            </w:r>
          </w:p>
        </w:tc>
        <w:tc>
          <w:tcPr>
            <w:tcW w:w="2211"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4 668,3</w:t>
            </w:r>
          </w:p>
        </w:tc>
        <w:tc>
          <w:tcPr>
            <w:tcW w:w="2211"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-1,6</w:t>
            </w:r>
          </w:p>
        </w:tc>
        <w:tc>
          <w:tcPr>
            <w:tcW w:w="2211"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28 258,3</w:t>
            </w:r>
          </w:p>
        </w:tc>
        <w:tc>
          <w:tcPr>
            <w:tcW w:w="2211"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color w:val="000000"/>
              </w:rPr>
            </w:pPr>
            <w:r w:rsidRPr="00C92486">
              <w:rPr>
                <w:rFonts w:asciiTheme="minorHAnsi" w:hAnsiTheme="minorHAnsi" w:cstheme="minorHAnsi"/>
                <w:b/>
                <w:color w:val="000000"/>
              </w:rPr>
              <w:t>4 666,8</w:t>
            </w:r>
          </w:p>
        </w:tc>
      </w:tr>
      <w:tr w:rsidR="00662B53" w:rsidRPr="00B8168D" w:rsidTr="00B8168D">
        <w:trPr>
          <w:trHeight w:val="504"/>
        </w:trPr>
        <w:tc>
          <w:tcPr>
            <w:tcW w:w="3890" w:type="dxa"/>
            <w:vAlign w:val="center"/>
          </w:tcPr>
          <w:p w:rsidR="00662B53" w:rsidRPr="00B8168D" w:rsidRDefault="00662B53" w:rsidP="00662B53">
            <w:r w:rsidRPr="00B8168D">
              <w:t xml:space="preserve">Direct investments </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181,7</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1,7</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-0,3</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183,1</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1,5</w:t>
            </w:r>
          </w:p>
        </w:tc>
      </w:tr>
      <w:tr w:rsidR="00662B53" w:rsidRPr="00B8168D" w:rsidTr="00B8168D">
        <w:trPr>
          <w:trHeight w:val="504"/>
        </w:trPr>
        <w:tc>
          <w:tcPr>
            <w:tcW w:w="3890" w:type="dxa"/>
            <w:vAlign w:val="center"/>
          </w:tcPr>
          <w:p w:rsidR="00662B53" w:rsidRPr="00B8168D" w:rsidRDefault="00662B53" w:rsidP="00662B53">
            <w:r w:rsidRPr="00B8168D">
              <w:t>Portfolio investments</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1,4</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-0,1</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0,0</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1,2</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-0,2</w:t>
            </w:r>
          </w:p>
        </w:tc>
      </w:tr>
      <w:tr w:rsidR="00662B53" w:rsidRPr="00B8168D" w:rsidTr="00B8168D">
        <w:trPr>
          <w:trHeight w:val="504"/>
        </w:trPr>
        <w:tc>
          <w:tcPr>
            <w:tcW w:w="3890" w:type="dxa"/>
            <w:vAlign w:val="center"/>
          </w:tcPr>
          <w:p w:rsidR="00662B53" w:rsidRPr="00B8168D" w:rsidRDefault="00662B53" w:rsidP="00662B53">
            <w:r w:rsidRPr="00B8168D">
              <w:t xml:space="preserve">Currency and deposits </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17 689,8</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2 553,9</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-1,5</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20 242,2</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2 552,4</w:t>
            </w:r>
          </w:p>
        </w:tc>
      </w:tr>
      <w:tr w:rsidR="00662B53" w:rsidRPr="00B8168D" w:rsidTr="00B8168D">
        <w:trPr>
          <w:trHeight w:val="504"/>
        </w:trPr>
        <w:tc>
          <w:tcPr>
            <w:tcW w:w="3890" w:type="dxa"/>
            <w:vAlign w:val="center"/>
          </w:tcPr>
          <w:p w:rsidR="00662B53" w:rsidRPr="00B8168D" w:rsidRDefault="00662B53" w:rsidP="00662B53">
            <w:r w:rsidRPr="00B8168D">
              <w:t>Loans</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1,1</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0,0</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0,0</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1,1</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0,0</w:t>
            </w:r>
          </w:p>
        </w:tc>
      </w:tr>
      <w:tr w:rsidR="00662B53" w:rsidRPr="00B8168D" w:rsidTr="00B8168D">
        <w:trPr>
          <w:trHeight w:val="504"/>
        </w:trPr>
        <w:tc>
          <w:tcPr>
            <w:tcW w:w="3890" w:type="dxa"/>
            <w:vAlign w:val="center"/>
          </w:tcPr>
          <w:p w:rsidR="00662B53" w:rsidRPr="00B8168D" w:rsidRDefault="00662B53" w:rsidP="00662B53">
            <w:r w:rsidRPr="00B8168D">
              <w:t xml:space="preserve">Trade credits and advances </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5 717,5</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2 112,8</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0,3</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7 830,7</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2 113,1</w:t>
            </w:r>
          </w:p>
        </w:tc>
      </w:tr>
      <w:tr w:rsidR="00662B53" w:rsidRPr="00B8168D" w:rsidTr="00832C1D">
        <w:trPr>
          <w:trHeight w:val="504"/>
        </w:trPr>
        <w:tc>
          <w:tcPr>
            <w:tcW w:w="3890" w:type="dxa"/>
            <w:shd w:val="clear" w:color="auto" w:fill="BDD6EE" w:themeFill="accent1" w:themeFillTint="66"/>
            <w:vAlign w:val="center"/>
          </w:tcPr>
          <w:p w:rsidR="00662B53" w:rsidRPr="00B8168D" w:rsidRDefault="00662B53" w:rsidP="00662B53">
            <w:pPr>
              <w:rPr>
                <w:rFonts w:asciiTheme="minorHAnsi" w:hAnsiTheme="minorHAnsi" w:cstheme="minorHAnsi"/>
                <w:b/>
                <w:bCs/>
                <w:color w:val="000000"/>
                <w:lang w:val="en-US"/>
              </w:rPr>
            </w:pPr>
            <w:r w:rsidRPr="00B8168D">
              <w:rPr>
                <w:rFonts w:asciiTheme="minorHAnsi" w:hAnsiTheme="minorHAnsi" w:cstheme="minorHAnsi"/>
                <w:b/>
                <w:bCs/>
                <w:color w:val="000000"/>
                <w:lang w:val="en-US"/>
              </w:rPr>
              <w:t>Liabilities</w:t>
            </w:r>
          </w:p>
        </w:tc>
        <w:tc>
          <w:tcPr>
            <w:tcW w:w="2211"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19 655,0</w:t>
            </w:r>
          </w:p>
        </w:tc>
        <w:tc>
          <w:tcPr>
            <w:tcW w:w="2211"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3 554,0</w:t>
            </w:r>
          </w:p>
        </w:tc>
        <w:tc>
          <w:tcPr>
            <w:tcW w:w="2211"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-1 154,4</w:t>
            </w:r>
          </w:p>
        </w:tc>
        <w:tc>
          <w:tcPr>
            <w:tcW w:w="2211"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bCs/>
                <w:color w:val="000000"/>
              </w:rPr>
            </w:pPr>
            <w:r w:rsidRPr="00C92486">
              <w:rPr>
                <w:rFonts w:asciiTheme="minorHAnsi" w:hAnsiTheme="minorHAnsi" w:cstheme="minorHAnsi"/>
                <w:b/>
                <w:bCs/>
                <w:color w:val="000000"/>
              </w:rPr>
              <w:t>22 054,6</w:t>
            </w:r>
          </w:p>
        </w:tc>
        <w:tc>
          <w:tcPr>
            <w:tcW w:w="2211" w:type="dxa"/>
            <w:shd w:val="clear" w:color="auto" w:fill="BDD6EE" w:themeFill="accent1" w:themeFillTint="66"/>
            <w:vAlign w:val="center"/>
          </w:tcPr>
          <w:p w:rsidR="00662B53" w:rsidRPr="00C92486" w:rsidRDefault="00662B53" w:rsidP="00662B53">
            <w:pPr>
              <w:jc w:val="center"/>
              <w:rPr>
                <w:rFonts w:asciiTheme="minorHAnsi" w:hAnsiTheme="minorHAnsi" w:cstheme="minorHAnsi"/>
                <w:b/>
                <w:color w:val="000000"/>
              </w:rPr>
            </w:pPr>
            <w:r w:rsidRPr="00C92486">
              <w:rPr>
                <w:rFonts w:asciiTheme="minorHAnsi" w:hAnsiTheme="minorHAnsi" w:cstheme="minorHAnsi"/>
                <w:b/>
                <w:color w:val="000000"/>
              </w:rPr>
              <w:t>2 399,6</w:t>
            </w:r>
          </w:p>
        </w:tc>
      </w:tr>
      <w:tr w:rsidR="00662B53" w:rsidRPr="00B8168D" w:rsidTr="00B8168D">
        <w:trPr>
          <w:trHeight w:val="504"/>
        </w:trPr>
        <w:tc>
          <w:tcPr>
            <w:tcW w:w="3890" w:type="dxa"/>
            <w:vAlign w:val="center"/>
          </w:tcPr>
          <w:p w:rsidR="00662B53" w:rsidRPr="00B8168D" w:rsidRDefault="00662B53" w:rsidP="00662B53">
            <w:r w:rsidRPr="00B8168D">
              <w:t xml:space="preserve">Direct investments </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9 366,3</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1 622,4</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-1 019,7</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9 969,0</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602,7</w:t>
            </w:r>
          </w:p>
        </w:tc>
      </w:tr>
      <w:tr w:rsidR="00662B53" w:rsidRPr="00B8168D" w:rsidTr="00B8168D">
        <w:trPr>
          <w:trHeight w:val="504"/>
        </w:trPr>
        <w:tc>
          <w:tcPr>
            <w:tcW w:w="3890" w:type="dxa"/>
            <w:vAlign w:val="center"/>
          </w:tcPr>
          <w:p w:rsidR="00662B53" w:rsidRPr="00B8168D" w:rsidRDefault="00662B53" w:rsidP="00662B53">
            <w:r w:rsidRPr="00B8168D">
              <w:t>Portfolio investments</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36,4</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23,9</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-15,2</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45,2</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8,8</w:t>
            </w:r>
          </w:p>
        </w:tc>
      </w:tr>
      <w:tr w:rsidR="00662B53" w:rsidRPr="00B8168D" w:rsidTr="00B8168D">
        <w:trPr>
          <w:trHeight w:val="504"/>
        </w:trPr>
        <w:tc>
          <w:tcPr>
            <w:tcW w:w="3890" w:type="dxa"/>
            <w:vAlign w:val="center"/>
          </w:tcPr>
          <w:p w:rsidR="00662B53" w:rsidRPr="00B8168D" w:rsidRDefault="00662B53" w:rsidP="00662B53">
            <w:r w:rsidRPr="00B8168D">
              <w:t>Loans</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9 085,0</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1 245,7</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85,9</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10 416,6</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1 331,6</w:t>
            </w:r>
          </w:p>
        </w:tc>
      </w:tr>
      <w:tr w:rsidR="00662B53" w:rsidRPr="00B8168D" w:rsidTr="00B8168D">
        <w:trPr>
          <w:trHeight w:val="504"/>
        </w:trPr>
        <w:tc>
          <w:tcPr>
            <w:tcW w:w="3890" w:type="dxa"/>
            <w:vAlign w:val="center"/>
          </w:tcPr>
          <w:p w:rsidR="00662B53" w:rsidRPr="00B8168D" w:rsidRDefault="00662B53" w:rsidP="00662B53">
            <w:r w:rsidRPr="00B8168D">
              <w:t>Trade credits and advances</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190,6</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568,5</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0,2</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759,3</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568,7</w:t>
            </w:r>
          </w:p>
        </w:tc>
      </w:tr>
      <w:tr w:rsidR="00662B53" w:rsidRPr="00B8168D" w:rsidTr="00B8168D">
        <w:trPr>
          <w:trHeight w:val="504"/>
        </w:trPr>
        <w:tc>
          <w:tcPr>
            <w:tcW w:w="3890" w:type="dxa"/>
            <w:vAlign w:val="center"/>
          </w:tcPr>
          <w:p w:rsidR="00662B53" w:rsidRPr="00B8168D" w:rsidRDefault="00662B53" w:rsidP="00662B53">
            <w:r w:rsidRPr="00B8168D">
              <w:t>Other accounts payable</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976,6</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93,4</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-205,6</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864,5</w:t>
            </w:r>
          </w:p>
        </w:tc>
        <w:tc>
          <w:tcPr>
            <w:tcW w:w="2211" w:type="dxa"/>
            <w:vAlign w:val="center"/>
          </w:tcPr>
          <w:p w:rsidR="00662B53" w:rsidRPr="00C92486" w:rsidRDefault="00662B53" w:rsidP="00662B53">
            <w:pPr>
              <w:jc w:val="center"/>
              <w:rPr>
                <w:rFonts w:asciiTheme="minorHAnsi" w:hAnsiTheme="minorHAnsi" w:cstheme="minorHAnsi"/>
                <w:color w:val="000000"/>
              </w:rPr>
            </w:pPr>
            <w:r w:rsidRPr="00C92486">
              <w:rPr>
                <w:rFonts w:asciiTheme="minorHAnsi" w:hAnsiTheme="minorHAnsi" w:cstheme="minorHAnsi"/>
                <w:color w:val="000000"/>
              </w:rPr>
              <w:t>-112,2</w:t>
            </w:r>
          </w:p>
        </w:tc>
      </w:tr>
    </w:tbl>
    <w:p w:rsidR="009304D9" w:rsidRPr="00F45A80" w:rsidRDefault="009304D9" w:rsidP="009304D9">
      <w:pPr>
        <w:rPr>
          <w:rFonts w:cs="Arial"/>
          <w:highlight w:val="yellow"/>
          <w:lang w:val="en-US"/>
        </w:rPr>
        <w:sectPr w:rsidR="009304D9" w:rsidRPr="00F45A80" w:rsidSect="00353B97">
          <w:footerReference w:type="first" r:id="rId52"/>
          <w:pgSz w:w="16838" w:h="11906" w:orient="landscape" w:code="9"/>
          <w:pgMar w:top="567" w:right="1021" w:bottom="709" w:left="851" w:header="709" w:footer="709" w:gutter="0"/>
          <w:cols w:space="708"/>
          <w:titlePg/>
          <w:docGrid w:linePitch="360"/>
        </w:sectPr>
      </w:pPr>
    </w:p>
    <w:p w:rsidR="009304D9" w:rsidRPr="00ED5572" w:rsidRDefault="00A11907" w:rsidP="009304D9">
      <w:pPr>
        <w:pStyle w:val="af2"/>
        <w:keepNext/>
        <w:jc w:val="right"/>
        <w:rPr>
          <w:color w:val="auto"/>
          <w:sz w:val="22"/>
          <w:szCs w:val="22"/>
          <w:lang w:val="en-US"/>
        </w:rPr>
      </w:pPr>
      <w:r w:rsidRPr="00ED5572">
        <w:rPr>
          <w:color w:val="auto"/>
          <w:sz w:val="22"/>
          <w:szCs w:val="22"/>
          <w:lang w:val="en-US"/>
        </w:rPr>
        <w:lastRenderedPageBreak/>
        <w:t>Addenda 1</w:t>
      </w:r>
      <w:r w:rsidR="00662B53">
        <w:rPr>
          <w:color w:val="auto"/>
          <w:sz w:val="22"/>
          <w:szCs w:val="22"/>
          <w:lang w:val="en-US"/>
        </w:rPr>
        <w:t>4</w:t>
      </w:r>
      <w:r w:rsidRPr="00ED5572">
        <w:rPr>
          <w:color w:val="auto"/>
          <w:sz w:val="22"/>
          <w:szCs w:val="22"/>
          <w:lang w:val="en-US"/>
        </w:rPr>
        <w:t>.1</w:t>
      </w:r>
    </w:p>
    <w:p w:rsidR="009304D9" w:rsidRPr="00B30F70" w:rsidRDefault="009304D9" w:rsidP="009304D9">
      <w:pPr>
        <w:pStyle w:val="1"/>
        <w:ind w:left="0"/>
        <w:jc w:val="center"/>
        <w:rPr>
          <w:rFonts w:ascii="Calibri" w:hAnsi="Calibri"/>
          <w:sz w:val="26"/>
          <w:szCs w:val="26"/>
          <w:lang w:val="en-US"/>
        </w:rPr>
      </w:pPr>
      <w:bookmarkStart w:id="41" w:name="_Toc67050817"/>
      <w:r w:rsidRPr="00B30F70">
        <w:rPr>
          <w:rFonts w:ascii="Calibri" w:hAnsi="Calibri" w:cs="Calibri"/>
          <w:sz w:val="26"/>
          <w:szCs w:val="26"/>
          <w:lang w:val="en-US"/>
        </w:rPr>
        <w:t xml:space="preserve">INFORMATION ON RECEIPTS AND PAYMENTS OF PRIVATE EXTERNAL DEBT </w:t>
      </w:r>
      <w:r w:rsidR="00752542">
        <w:rPr>
          <w:rFonts w:ascii="Calibri" w:hAnsi="Calibri" w:cs="Calibri"/>
          <w:sz w:val="26"/>
          <w:szCs w:val="26"/>
          <w:lang w:val="en-US"/>
        </w:rPr>
        <w:t>FOR</w:t>
      </w:r>
      <w:r w:rsidRPr="00B30F70">
        <w:rPr>
          <w:rFonts w:ascii="Calibri" w:hAnsi="Calibri" w:cs="Calibri"/>
          <w:sz w:val="26"/>
          <w:szCs w:val="26"/>
          <w:lang w:val="en-US"/>
        </w:rPr>
        <w:t xml:space="preserve"> 20</w:t>
      </w:r>
      <w:r w:rsidR="00201B0B">
        <w:rPr>
          <w:rFonts w:ascii="Calibri" w:hAnsi="Calibri" w:cs="Calibri"/>
          <w:sz w:val="26"/>
          <w:szCs w:val="26"/>
          <w:lang w:val="en-US"/>
        </w:rPr>
        <w:t>20</w:t>
      </w:r>
      <w:bookmarkEnd w:id="41"/>
    </w:p>
    <w:p w:rsidR="009304D9" w:rsidRPr="00F45A80" w:rsidRDefault="009304D9" w:rsidP="009304D9">
      <w:pPr>
        <w:jc w:val="center"/>
        <w:rPr>
          <w:b/>
          <w:lang w:val="en-US"/>
        </w:rPr>
      </w:pPr>
      <w:r w:rsidRPr="00F45A80">
        <w:rPr>
          <w:rFonts w:cs="Calibri"/>
          <w:i/>
          <w:lang w:val="en-US"/>
        </w:rPr>
        <w:t>(Type of borrower: all borrowers)</w:t>
      </w:r>
    </w:p>
    <w:p w:rsidR="00BB4B03" w:rsidRDefault="00BB4B03" w:rsidP="00BB4B03">
      <w:pPr>
        <w:jc w:val="right"/>
        <w:rPr>
          <w:i/>
          <w:sz w:val="20"/>
          <w:szCs w:val="20"/>
          <w:lang w:val="en-US"/>
        </w:rPr>
      </w:pPr>
    </w:p>
    <w:p w:rsidR="00BB4B03" w:rsidRDefault="00BB4B03" w:rsidP="00BB4B03">
      <w:pPr>
        <w:jc w:val="right"/>
        <w:rPr>
          <w:i/>
          <w:sz w:val="20"/>
          <w:szCs w:val="20"/>
          <w:lang w:val="en-US"/>
        </w:rPr>
      </w:pPr>
      <w:r w:rsidRPr="00F45A80">
        <w:rPr>
          <w:i/>
          <w:sz w:val="20"/>
          <w:szCs w:val="20"/>
          <w:lang w:val="en-US"/>
        </w:rPr>
        <w:t>(mln. USD)</w:t>
      </w:r>
    </w:p>
    <w:tbl>
      <w:tblPr>
        <w:tblW w:w="14992" w:type="dxa"/>
        <w:tblInd w:w="27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227"/>
        <w:gridCol w:w="1843"/>
        <w:gridCol w:w="1559"/>
        <w:gridCol w:w="1588"/>
        <w:gridCol w:w="1530"/>
        <w:gridCol w:w="1843"/>
        <w:gridCol w:w="1701"/>
        <w:gridCol w:w="1701"/>
      </w:tblGrid>
      <w:tr w:rsidR="009304D9" w:rsidRPr="00F45A80" w:rsidTr="00832C1D">
        <w:trPr>
          <w:trHeight w:val="255"/>
        </w:trPr>
        <w:tc>
          <w:tcPr>
            <w:tcW w:w="3227" w:type="dxa"/>
            <w:vMerge w:val="restart"/>
            <w:shd w:val="clear" w:color="auto" w:fill="BDD6EE" w:themeFill="accent1" w:themeFillTint="66"/>
            <w:vAlign w:val="center"/>
            <w:hideMark/>
          </w:tcPr>
          <w:p w:rsidR="009304D9" w:rsidRPr="00F45A80" w:rsidRDefault="009304D9" w:rsidP="00BB4B03">
            <w:pPr>
              <w:jc w:val="center"/>
              <w:rPr>
                <w:b/>
                <w:lang w:val="en-US"/>
              </w:rPr>
            </w:pPr>
            <w:r w:rsidRPr="00F45A80">
              <w:rPr>
                <w:rFonts w:cs="Calibri"/>
                <w:b/>
                <w:lang w:val="en-US"/>
              </w:rPr>
              <w:t>Type of creditor</w:t>
            </w:r>
          </w:p>
        </w:tc>
        <w:tc>
          <w:tcPr>
            <w:tcW w:w="1843" w:type="dxa"/>
            <w:shd w:val="clear" w:color="auto" w:fill="BDD6EE" w:themeFill="accent1" w:themeFillTint="66"/>
            <w:vAlign w:val="center"/>
            <w:hideMark/>
          </w:tcPr>
          <w:p w:rsidR="009304D9" w:rsidRPr="00F45A80" w:rsidRDefault="009304D9" w:rsidP="00BB4B03">
            <w:pPr>
              <w:jc w:val="center"/>
              <w:rPr>
                <w:rFonts w:cs="Calibri"/>
                <w:b/>
                <w:lang w:val="en-US"/>
              </w:rPr>
            </w:pPr>
            <w:r w:rsidRPr="00F45A80">
              <w:rPr>
                <w:rFonts w:cs="Calibri"/>
                <w:b/>
                <w:lang w:val="en-US"/>
              </w:rPr>
              <w:t xml:space="preserve">Beginning of </w:t>
            </w:r>
          </w:p>
          <w:p w:rsidR="009304D9" w:rsidRPr="00F45A80" w:rsidRDefault="009304D9" w:rsidP="00BB4B03">
            <w:pPr>
              <w:jc w:val="center"/>
              <w:rPr>
                <w:rFonts w:cs="Calibri"/>
                <w:b/>
                <w:lang w:val="en-US"/>
              </w:rPr>
            </w:pPr>
            <w:r w:rsidRPr="00F45A80">
              <w:rPr>
                <w:rFonts w:cs="Calibri"/>
                <w:b/>
                <w:lang w:val="en-US"/>
              </w:rPr>
              <w:t>period</w:t>
            </w:r>
          </w:p>
        </w:tc>
        <w:tc>
          <w:tcPr>
            <w:tcW w:w="8221" w:type="dxa"/>
            <w:gridSpan w:val="5"/>
            <w:shd w:val="clear" w:color="auto" w:fill="BDD6EE" w:themeFill="accent1" w:themeFillTint="66"/>
            <w:noWrap/>
            <w:vAlign w:val="center"/>
            <w:hideMark/>
          </w:tcPr>
          <w:p w:rsidR="009304D9" w:rsidRPr="00F45A80" w:rsidRDefault="009304D9" w:rsidP="00BB4B03">
            <w:pPr>
              <w:jc w:val="center"/>
              <w:rPr>
                <w:rFonts w:cs="Calibri"/>
                <w:b/>
                <w:lang w:val="en-US"/>
              </w:rPr>
            </w:pPr>
            <w:r w:rsidRPr="00F45A80">
              <w:rPr>
                <w:rFonts w:cs="Calibri"/>
                <w:b/>
                <w:lang w:val="en-US"/>
              </w:rPr>
              <w:t>Dynamics during the period</w:t>
            </w:r>
          </w:p>
        </w:tc>
        <w:tc>
          <w:tcPr>
            <w:tcW w:w="1701" w:type="dxa"/>
            <w:shd w:val="clear" w:color="auto" w:fill="BDD6EE" w:themeFill="accent1" w:themeFillTint="66"/>
            <w:vAlign w:val="center"/>
            <w:hideMark/>
          </w:tcPr>
          <w:p w:rsidR="009304D9" w:rsidRPr="00F45A80" w:rsidRDefault="009304D9" w:rsidP="00BB4B03">
            <w:pPr>
              <w:jc w:val="center"/>
              <w:rPr>
                <w:rFonts w:cs="Calibri"/>
                <w:b/>
                <w:lang w:val="en-US"/>
              </w:rPr>
            </w:pPr>
            <w:r w:rsidRPr="00F45A80">
              <w:rPr>
                <w:rFonts w:cs="Calibri"/>
                <w:b/>
                <w:lang w:val="en-US"/>
              </w:rPr>
              <w:t>End of period</w:t>
            </w:r>
          </w:p>
        </w:tc>
      </w:tr>
      <w:tr w:rsidR="0046749D" w:rsidRPr="00F45A80" w:rsidTr="00832C1D">
        <w:trPr>
          <w:trHeight w:val="510"/>
        </w:trPr>
        <w:tc>
          <w:tcPr>
            <w:tcW w:w="3227" w:type="dxa"/>
            <w:vMerge/>
            <w:shd w:val="clear" w:color="auto" w:fill="BDD6EE" w:themeFill="accent1" w:themeFillTint="66"/>
            <w:vAlign w:val="center"/>
            <w:hideMark/>
          </w:tcPr>
          <w:p w:rsidR="0046749D" w:rsidRPr="00F45A80" w:rsidRDefault="0046749D" w:rsidP="00BB4B03">
            <w:pPr>
              <w:rPr>
                <w:b/>
                <w:lang w:val="en-US"/>
              </w:rPr>
            </w:pPr>
          </w:p>
        </w:tc>
        <w:tc>
          <w:tcPr>
            <w:tcW w:w="1843" w:type="dxa"/>
            <w:shd w:val="clear" w:color="auto" w:fill="BDD6EE" w:themeFill="accent1" w:themeFillTint="66"/>
            <w:vAlign w:val="center"/>
            <w:hideMark/>
          </w:tcPr>
          <w:p w:rsidR="0046749D" w:rsidRPr="00F45A80" w:rsidRDefault="0046749D" w:rsidP="00BB4B03">
            <w:pPr>
              <w:jc w:val="center"/>
              <w:rPr>
                <w:rFonts w:cs="Calibri"/>
                <w:b/>
                <w:lang w:val="en-US"/>
              </w:rPr>
            </w:pPr>
            <w:r w:rsidRPr="00F45A80">
              <w:rPr>
                <w:rFonts w:cs="Calibri"/>
                <w:b/>
                <w:lang w:val="en-US"/>
              </w:rPr>
              <w:t>Actual debt</w:t>
            </w:r>
          </w:p>
        </w:tc>
        <w:tc>
          <w:tcPr>
            <w:tcW w:w="1559" w:type="dxa"/>
            <w:shd w:val="clear" w:color="auto" w:fill="BDD6EE" w:themeFill="accent1" w:themeFillTint="66"/>
            <w:vAlign w:val="center"/>
            <w:hideMark/>
          </w:tcPr>
          <w:p w:rsidR="0046749D" w:rsidRPr="00F45A80" w:rsidRDefault="0046749D" w:rsidP="00BB4B03">
            <w:pPr>
              <w:jc w:val="center"/>
              <w:rPr>
                <w:rFonts w:cs="Calibri"/>
                <w:b/>
                <w:lang w:val="en-US"/>
              </w:rPr>
            </w:pPr>
            <w:r w:rsidRPr="00F45A80">
              <w:rPr>
                <w:rFonts w:cs="Calibri"/>
                <w:b/>
                <w:lang w:val="en-US"/>
              </w:rPr>
              <w:t>Receipts</w:t>
            </w:r>
          </w:p>
        </w:tc>
        <w:tc>
          <w:tcPr>
            <w:tcW w:w="1588" w:type="dxa"/>
            <w:shd w:val="clear" w:color="auto" w:fill="BDD6EE" w:themeFill="accent1" w:themeFillTint="66"/>
            <w:vAlign w:val="center"/>
            <w:hideMark/>
          </w:tcPr>
          <w:p w:rsidR="0046749D" w:rsidRPr="00F45A80" w:rsidRDefault="0046749D" w:rsidP="00BB4B03">
            <w:pPr>
              <w:jc w:val="center"/>
              <w:rPr>
                <w:rFonts w:cs="Calibri"/>
                <w:b/>
                <w:lang w:val="en-US"/>
              </w:rPr>
            </w:pPr>
            <w:r w:rsidRPr="00F45A80">
              <w:rPr>
                <w:rFonts w:cs="Calibri"/>
                <w:b/>
                <w:lang w:val="en-US"/>
              </w:rPr>
              <w:t>Repayment of</w:t>
            </w:r>
          </w:p>
          <w:p w:rsidR="0046749D" w:rsidRPr="00F45A80" w:rsidRDefault="0046749D" w:rsidP="00BB4B03">
            <w:pPr>
              <w:jc w:val="center"/>
              <w:rPr>
                <w:rFonts w:cs="Calibri"/>
                <w:b/>
                <w:lang w:val="en-US"/>
              </w:rPr>
            </w:pPr>
            <w:r w:rsidRPr="00F45A80">
              <w:rPr>
                <w:rFonts w:cs="Calibri"/>
                <w:b/>
                <w:lang w:val="en-US"/>
              </w:rPr>
              <w:t>principal debt</w:t>
            </w:r>
          </w:p>
        </w:tc>
        <w:tc>
          <w:tcPr>
            <w:tcW w:w="1530" w:type="dxa"/>
            <w:shd w:val="clear" w:color="auto" w:fill="BDD6EE" w:themeFill="accent1" w:themeFillTint="66"/>
            <w:vAlign w:val="center"/>
            <w:hideMark/>
          </w:tcPr>
          <w:p w:rsidR="0046749D" w:rsidRPr="00F45A80" w:rsidRDefault="0046749D" w:rsidP="00BB4B03">
            <w:pPr>
              <w:jc w:val="center"/>
              <w:rPr>
                <w:rFonts w:cs="Calibri"/>
                <w:b/>
                <w:lang w:val="en-US"/>
              </w:rPr>
            </w:pPr>
            <w:r w:rsidRPr="00F45A80">
              <w:rPr>
                <w:rFonts w:cs="Calibri"/>
                <w:b/>
                <w:lang w:val="en-US"/>
              </w:rPr>
              <w:t xml:space="preserve">Interest </w:t>
            </w:r>
          </w:p>
          <w:p w:rsidR="0046749D" w:rsidRPr="00F45A80" w:rsidRDefault="0046749D" w:rsidP="00BB4B03">
            <w:pPr>
              <w:jc w:val="center"/>
              <w:rPr>
                <w:rFonts w:cs="Calibri"/>
                <w:b/>
                <w:lang w:val="en-US"/>
              </w:rPr>
            </w:pPr>
            <w:r w:rsidRPr="00F45A80">
              <w:rPr>
                <w:rFonts w:cs="Calibri"/>
                <w:b/>
                <w:lang w:val="en-US"/>
              </w:rPr>
              <w:t>payments</w:t>
            </w:r>
          </w:p>
        </w:tc>
        <w:tc>
          <w:tcPr>
            <w:tcW w:w="1843" w:type="dxa"/>
            <w:shd w:val="clear" w:color="auto" w:fill="BDD6EE" w:themeFill="accent1" w:themeFillTint="66"/>
            <w:vAlign w:val="center"/>
            <w:hideMark/>
          </w:tcPr>
          <w:p w:rsidR="0046749D" w:rsidRPr="00F45A80" w:rsidRDefault="0046749D" w:rsidP="00BB4B03">
            <w:pPr>
              <w:jc w:val="center"/>
              <w:rPr>
                <w:rFonts w:cs="Calibri"/>
                <w:b/>
                <w:lang w:val="en-US"/>
              </w:rPr>
            </w:pPr>
            <w:r w:rsidRPr="00F45A80">
              <w:rPr>
                <w:rFonts w:cs="Calibri"/>
                <w:b/>
                <w:lang w:val="en-US"/>
              </w:rPr>
              <w:t>Rescheduled</w:t>
            </w:r>
          </w:p>
          <w:p w:rsidR="0046749D" w:rsidRPr="00F45A80" w:rsidRDefault="0046749D" w:rsidP="00BB4B03">
            <w:pPr>
              <w:jc w:val="center"/>
              <w:rPr>
                <w:rFonts w:cs="Calibri"/>
                <w:b/>
                <w:lang w:val="en-US"/>
              </w:rPr>
            </w:pPr>
            <w:r w:rsidRPr="00F45A80">
              <w:rPr>
                <w:rFonts w:cs="Calibri"/>
                <w:b/>
                <w:lang w:val="en-US"/>
              </w:rPr>
              <w:t xml:space="preserve">principal debt </w:t>
            </w:r>
          </w:p>
          <w:p w:rsidR="0046749D" w:rsidRPr="00F45A80" w:rsidRDefault="0046749D" w:rsidP="00BB4B03">
            <w:pPr>
              <w:jc w:val="center"/>
              <w:rPr>
                <w:rFonts w:cs="Calibri"/>
                <w:b/>
                <w:lang w:val="en-US"/>
              </w:rPr>
            </w:pPr>
            <w:r w:rsidRPr="00F45A80">
              <w:rPr>
                <w:rFonts w:cs="Calibri"/>
                <w:b/>
                <w:lang w:val="en-US"/>
              </w:rPr>
              <w:t>payments</w:t>
            </w:r>
          </w:p>
        </w:tc>
        <w:tc>
          <w:tcPr>
            <w:tcW w:w="1701" w:type="dxa"/>
            <w:shd w:val="clear" w:color="auto" w:fill="BDD6EE" w:themeFill="accent1" w:themeFillTint="66"/>
            <w:vAlign w:val="center"/>
            <w:hideMark/>
          </w:tcPr>
          <w:p w:rsidR="0046749D" w:rsidRPr="00F45A80" w:rsidRDefault="0046749D" w:rsidP="00BB4B03">
            <w:pPr>
              <w:jc w:val="center"/>
              <w:rPr>
                <w:rFonts w:cs="Calibri"/>
                <w:b/>
                <w:lang w:val="en-US"/>
              </w:rPr>
            </w:pPr>
            <w:r w:rsidRPr="00F45A80">
              <w:rPr>
                <w:rFonts w:cs="Calibri"/>
                <w:b/>
                <w:lang w:val="en-US"/>
              </w:rPr>
              <w:t>Rescheduled</w:t>
            </w:r>
          </w:p>
          <w:p w:rsidR="0046749D" w:rsidRPr="00F45A80" w:rsidRDefault="0046749D" w:rsidP="00BB4B03">
            <w:pPr>
              <w:jc w:val="center"/>
              <w:rPr>
                <w:rFonts w:cs="Calibri"/>
                <w:b/>
                <w:lang w:val="en-US"/>
              </w:rPr>
            </w:pPr>
            <w:r w:rsidRPr="00F45A80">
              <w:rPr>
                <w:rFonts w:cs="Calibri"/>
                <w:b/>
                <w:lang w:val="en-US"/>
              </w:rPr>
              <w:t xml:space="preserve">interest </w:t>
            </w:r>
          </w:p>
          <w:p w:rsidR="0046749D" w:rsidRPr="00F45A80" w:rsidRDefault="0046749D" w:rsidP="00BB4B03">
            <w:pPr>
              <w:jc w:val="center"/>
              <w:rPr>
                <w:rFonts w:cs="Calibri"/>
                <w:b/>
                <w:lang w:val="en-US"/>
              </w:rPr>
            </w:pPr>
            <w:r w:rsidRPr="00F45A80">
              <w:rPr>
                <w:rFonts w:cs="Calibri"/>
                <w:b/>
                <w:lang w:val="en-US"/>
              </w:rPr>
              <w:t>payments</w:t>
            </w:r>
          </w:p>
        </w:tc>
        <w:tc>
          <w:tcPr>
            <w:tcW w:w="1701" w:type="dxa"/>
            <w:shd w:val="clear" w:color="auto" w:fill="BDD6EE" w:themeFill="accent1" w:themeFillTint="66"/>
            <w:vAlign w:val="center"/>
            <w:hideMark/>
          </w:tcPr>
          <w:p w:rsidR="0046749D" w:rsidRPr="0046749D" w:rsidRDefault="0046749D" w:rsidP="00BB4B03">
            <w:pPr>
              <w:jc w:val="center"/>
              <w:rPr>
                <w:rFonts w:cs="Calibri"/>
                <w:b/>
                <w:lang w:val="en-US"/>
              </w:rPr>
            </w:pPr>
            <w:r w:rsidRPr="0046749D">
              <w:rPr>
                <w:rFonts w:cs="Calibri"/>
                <w:b/>
                <w:lang w:val="en-US"/>
              </w:rPr>
              <w:t>Actual debt</w:t>
            </w:r>
          </w:p>
        </w:tc>
      </w:tr>
      <w:tr w:rsidR="009304D9" w:rsidRPr="00F45A80" w:rsidTr="004817AF">
        <w:trPr>
          <w:trHeight w:val="255"/>
        </w:trPr>
        <w:tc>
          <w:tcPr>
            <w:tcW w:w="3227" w:type="dxa"/>
            <w:shd w:val="clear" w:color="auto" w:fill="auto"/>
            <w:noWrap/>
            <w:vAlign w:val="center"/>
            <w:hideMark/>
          </w:tcPr>
          <w:p w:rsidR="009304D9" w:rsidRPr="00F45A80" w:rsidRDefault="009304D9" w:rsidP="00BB4B03">
            <w:pPr>
              <w:jc w:val="center"/>
              <w:rPr>
                <w:lang w:val="en-US"/>
              </w:rPr>
            </w:pPr>
            <w:r w:rsidRPr="00F45A80">
              <w:rPr>
                <w:lang w:val="en-US"/>
              </w:rPr>
              <w:t>1</w:t>
            </w:r>
          </w:p>
        </w:tc>
        <w:tc>
          <w:tcPr>
            <w:tcW w:w="1843" w:type="dxa"/>
            <w:shd w:val="clear" w:color="auto" w:fill="auto"/>
            <w:noWrap/>
            <w:vAlign w:val="center"/>
            <w:hideMark/>
          </w:tcPr>
          <w:p w:rsidR="009304D9" w:rsidRPr="00F45A80" w:rsidRDefault="009304D9" w:rsidP="00BB4B03">
            <w:pPr>
              <w:jc w:val="center"/>
              <w:rPr>
                <w:lang w:val="en-US"/>
              </w:rPr>
            </w:pPr>
            <w:r w:rsidRPr="00F45A80">
              <w:rPr>
                <w:lang w:val="en-US"/>
              </w:rPr>
              <w:t>2</w:t>
            </w:r>
          </w:p>
        </w:tc>
        <w:tc>
          <w:tcPr>
            <w:tcW w:w="1559" w:type="dxa"/>
            <w:shd w:val="clear" w:color="auto" w:fill="auto"/>
            <w:noWrap/>
            <w:vAlign w:val="center"/>
            <w:hideMark/>
          </w:tcPr>
          <w:p w:rsidR="009304D9" w:rsidRPr="00F45A80" w:rsidRDefault="009304D9" w:rsidP="00BB4B03">
            <w:pPr>
              <w:jc w:val="center"/>
              <w:rPr>
                <w:lang w:val="en-US"/>
              </w:rPr>
            </w:pPr>
            <w:r w:rsidRPr="00F45A80">
              <w:rPr>
                <w:lang w:val="en-US"/>
              </w:rPr>
              <w:t>3</w:t>
            </w:r>
          </w:p>
        </w:tc>
        <w:tc>
          <w:tcPr>
            <w:tcW w:w="1588" w:type="dxa"/>
            <w:shd w:val="clear" w:color="auto" w:fill="auto"/>
            <w:noWrap/>
            <w:vAlign w:val="center"/>
            <w:hideMark/>
          </w:tcPr>
          <w:p w:rsidR="009304D9" w:rsidRPr="00F45A80" w:rsidRDefault="009304D9" w:rsidP="00BB4B03">
            <w:pPr>
              <w:jc w:val="center"/>
              <w:rPr>
                <w:lang w:val="en-US"/>
              </w:rPr>
            </w:pPr>
            <w:r w:rsidRPr="00F45A80">
              <w:rPr>
                <w:lang w:val="en-US"/>
              </w:rPr>
              <w:t>4</w:t>
            </w:r>
          </w:p>
        </w:tc>
        <w:tc>
          <w:tcPr>
            <w:tcW w:w="1530" w:type="dxa"/>
            <w:shd w:val="clear" w:color="auto" w:fill="auto"/>
            <w:noWrap/>
            <w:vAlign w:val="center"/>
            <w:hideMark/>
          </w:tcPr>
          <w:p w:rsidR="009304D9" w:rsidRPr="00F45A80" w:rsidRDefault="009304D9" w:rsidP="00BB4B03">
            <w:pPr>
              <w:jc w:val="center"/>
              <w:rPr>
                <w:lang w:val="en-US"/>
              </w:rPr>
            </w:pPr>
            <w:r w:rsidRPr="00F45A80">
              <w:rPr>
                <w:lang w:val="en-US"/>
              </w:rPr>
              <w:t>5</w:t>
            </w:r>
          </w:p>
        </w:tc>
        <w:tc>
          <w:tcPr>
            <w:tcW w:w="1843" w:type="dxa"/>
            <w:shd w:val="clear" w:color="auto" w:fill="auto"/>
            <w:noWrap/>
            <w:vAlign w:val="center"/>
            <w:hideMark/>
          </w:tcPr>
          <w:p w:rsidR="009304D9" w:rsidRPr="00F45A80" w:rsidRDefault="009304D9" w:rsidP="00BB4B03">
            <w:pPr>
              <w:jc w:val="center"/>
              <w:rPr>
                <w:lang w:val="en-US"/>
              </w:rPr>
            </w:pPr>
            <w:r w:rsidRPr="00F45A80">
              <w:rPr>
                <w:lang w:val="en-US"/>
              </w:rPr>
              <w:t>6</w:t>
            </w:r>
          </w:p>
        </w:tc>
        <w:tc>
          <w:tcPr>
            <w:tcW w:w="1701" w:type="dxa"/>
            <w:shd w:val="clear" w:color="auto" w:fill="auto"/>
            <w:noWrap/>
            <w:vAlign w:val="center"/>
            <w:hideMark/>
          </w:tcPr>
          <w:p w:rsidR="009304D9" w:rsidRPr="00F45A80" w:rsidRDefault="009304D9" w:rsidP="00BB4B03">
            <w:pPr>
              <w:jc w:val="center"/>
              <w:rPr>
                <w:lang w:val="en-US"/>
              </w:rPr>
            </w:pPr>
            <w:r w:rsidRPr="00F45A80">
              <w:rPr>
                <w:lang w:val="en-US"/>
              </w:rPr>
              <w:t>7</w:t>
            </w:r>
          </w:p>
        </w:tc>
        <w:tc>
          <w:tcPr>
            <w:tcW w:w="1701" w:type="dxa"/>
            <w:shd w:val="clear" w:color="auto" w:fill="auto"/>
            <w:noWrap/>
            <w:vAlign w:val="center"/>
            <w:hideMark/>
          </w:tcPr>
          <w:p w:rsidR="009304D9" w:rsidRPr="00F45A80" w:rsidRDefault="009304D9" w:rsidP="00BB4B03">
            <w:pPr>
              <w:jc w:val="center"/>
              <w:rPr>
                <w:lang w:val="en-US"/>
              </w:rPr>
            </w:pPr>
            <w:r w:rsidRPr="00F45A80">
              <w:rPr>
                <w:lang w:val="en-US"/>
              </w:rPr>
              <w:t>8</w:t>
            </w:r>
          </w:p>
        </w:tc>
      </w:tr>
      <w:tr w:rsidR="007F6743" w:rsidRPr="00F45A80" w:rsidTr="004817AF">
        <w:trPr>
          <w:trHeight w:val="589"/>
        </w:trPr>
        <w:tc>
          <w:tcPr>
            <w:tcW w:w="3227" w:type="dxa"/>
            <w:shd w:val="clear" w:color="auto" w:fill="auto"/>
            <w:vAlign w:val="center"/>
            <w:hideMark/>
          </w:tcPr>
          <w:p w:rsidR="007F6743" w:rsidRPr="00F45A80" w:rsidRDefault="007F6743" w:rsidP="007F6743">
            <w:pPr>
              <w:rPr>
                <w:rFonts w:cs="Calibri"/>
                <w:lang w:val="en-US"/>
              </w:rPr>
            </w:pPr>
            <w:r w:rsidRPr="00F45A80">
              <w:rPr>
                <w:rFonts w:cs="Calibri"/>
                <w:lang w:val="en-US"/>
              </w:rPr>
              <w:t>Foreign banks and other financial institutions</w:t>
            </w:r>
          </w:p>
        </w:tc>
        <w:tc>
          <w:tcPr>
            <w:tcW w:w="1843"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6 593,1</w:t>
            </w:r>
          </w:p>
        </w:tc>
        <w:tc>
          <w:tcPr>
            <w:tcW w:w="1559"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4 125,9</w:t>
            </w:r>
          </w:p>
        </w:tc>
        <w:tc>
          <w:tcPr>
            <w:tcW w:w="1588"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1 753,0</w:t>
            </w:r>
          </w:p>
        </w:tc>
        <w:tc>
          <w:tcPr>
            <w:tcW w:w="1530"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319,2</w:t>
            </w:r>
          </w:p>
        </w:tc>
        <w:tc>
          <w:tcPr>
            <w:tcW w:w="1843"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w:t>
            </w:r>
          </w:p>
        </w:tc>
        <w:tc>
          <w:tcPr>
            <w:tcW w:w="1701"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w:t>
            </w:r>
          </w:p>
        </w:tc>
        <w:tc>
          <w:tcPr>
            <w:tcW w:w="1701"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9 157,0</w:t>
            </w:r>
          </w:p>
        </w:tc>
      </w:tr>
      <w:tr w:rsidR="007F6743" w:rsidRPr="00F45A80" w:rsidTr="004817AF">
        <w:trPr>
          <w:trHeight w:val="510"/>
        </w:trPr>
        <w:tc>
          <w:tcPr>
            <w:tcW w:w="3227" w:type="dxa"/>
            <w:shd w:val="clear" w:color="auto" w:fill="auto"/>
            <w:vAlign w:val="center"/>
            <w:hideMark/>
          </w:tcPr>
          <w:p w:rsidR="007F6743" w:rsidRPr="00F45A80" w:rsidRDefault="007F6743" w:rsidP="007F6743">
            <w:pPr>
              <w:rPr>
                <w:rFonts w:cs="Calibri"/>
                <w:lang w:val="en-US"/>
              </w:rPr>
            </w:pPr>
            <w:r w:rsidRPr="00F45A80">
              <w:rPr>
                <w:rFonts w:cs="Calibri"/>
                <w:lang w:val="en-US"/>
              </w:rPr>
              <w:t>Foreign parent companies and branches</w:t>
            </w:r>
          </w:p>
        </w:tc>
        <w:tc>
          <w:tcPr>
            <w:tcW w:w="1843"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794,8</w:t>
            </w:r>
          </w:p>
        </w:tc>
        <w:tc>
          <w:tcPr>
            <w:tcW w:w="1559"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216,4</w:t>
            </w:r>
          </w:p>
        </w:tc>
        <w:tc>
          <w:tcPr>
            <w:tcW w:w="1588"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40,5</w:t>
            </w:r>
          </w:p>
        </w:tc>
        <w:tc>
          <w:tcPr>
            <w:tcW w:w="1530"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2,8</w:t>
            </w:r>
          </w:p>
        </w:tc>
        <w:tc>
          <w:tcPr>
            <w:tcW w:w="1843"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w:t>
            </w:r>
          </w:p>
        </w:tc>
        <w:tc>
          <w:tcPr>
            <w:tcW w:w="1701"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w:t>
            </w:r>
          </w:p>
        </w:tc>
        <w:tc>
          <w:tcPr>
            <w:tcW w:w="1701"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923,6</w:t>
            </w:r>
          </w:p>
        </w:tc>
      </w:tr>
      <w:tr w:rsidR="007F6743" w:rsidRPr="00F45A80" w:rsidTr="004817AF">
        <w:trPr>
          <w:trHeight w:val="510"/>
        </w:trPr>
        <w:tc>
          <w:tcPr>
            <w:tcW w:w="3227" w:type="dxa"/>
            <w:shd w:val="clear" w:color="auto" w:fill="auto"/>
            <w:vAlign w:val="center"/>
            <w:hideMark/>
          </w:tcPr>
          <w:p w:rsidR="007F6743" w:rsidRPr="00F45A80" w:rsidRDefault="007F6743" w:rsidP="007F6743">
            <w:pPr>
              <w:rPr>
                <w:rFonts w:cs="Calibri"/>
                <w:lang w:val="en-US"/>
              </w:rPr>
            </w:pPr>
            <w:r w:rsidRPr="00F45A80">
              <w:rPr>
                <w:rFonts w:cs="Calibri"/>
                <w:lang w:val="en-US"/>
              </w:rPr>
              <w:t>Exporters and other private sources</w:t>
            </w:r>
          </w:p>
        </w:tc>
        <w:tc>
          <w:tcPr>
            <w:tcW w:w="1843"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494,9</w:t>
            </w:r>
          </w:p>
        </w:tc>
        <w:tc>
          <w:tcPr>
            <w:tcW w:w="1559"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366,1</w:t>
            </w:r>
          </w:p>
        </w:tc>
        <w:tc>
          <w:tcPr>
            <w:tcW w:w="1588"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101,1</w:t>
            </w:r>
          </w:p>
        </w:tc>
        <w:tc>
          <w:tcPr>
            <w:tcW w:w="1530"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13,7</w:t>
            </w:r>
          </w:p>
        </w:tc>
        <w:tc>
          <w:tcPr>
            <w:tcW w:w="1843"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w:t>
            </w:r>
          </w:p>
        </w:tc>
        <w:tc>
          <w:tcPr>
            <w:tcW w:w="1701"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w:t>
            </w:r>
          </w:p>
        </w:tc>
        <w:tc>
          <w:tcPr>
            <w:tcW w:w="1701"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762,5</w:t>
            </w:r>
          </w:p>
        </w:tc>
      </w:tr>
      <w:tr w:rsidR="007F6743" w:rsidRPr="00F45A80" w:rsidTr="004817AF">
        <w:trPr>
          <w:trHeight w:val="654"/>
        </w:trPr>
        <w:tc>
          <w:tcPr>
            <w:tcW w:w="3227" w:type="dxa"/>
            <w:shd w:val="clear" w:color="auto" w:fill="auto"/>
            <w:vAlign w:val="center"/>
            <w:hideMark/>
          </w:tcPr>
          <w:p w:rsidR="007F6743" w:rsidRPr="00F45A80" w:rsidRDefault="007F6743" w:rsidP="007F6743">
            <w:pPr>
              <w:rPr>
                <w:rFonts w:cs="Calibri"/>
                <w:lang w:val="en-US"/>
              </w:rPr>
            </w:pPr>
            <w:r w:rsidRPr="00F45A80">
              <w:rPr>
                <w:rFonts w:cs="Calibri"/>
                <w:lang w:val="en-US"/>
              </w:rPr>
              <w:t xml:space="preserve">Official sources </w:t>
            </w:r>
          </w:p>
          <w:p w:rsidR="007F6743" w:rsidRPr="00F45A80" w:rsidRDefault="007F6743" w:rsidP="007F6743">
            <w:pPr>
              <w:rPr>
                <w:rFonts w:cs="Calibri"/>
                <w:lang w:val="en-US"/>
              </w:rPr>
            </w:pPr>
            <w:r w:rsidRPr="00F45A80">
              <w:rPr>
                <w:rFonts w:cs="Calibri"/>
                <w:lang w:val="en-US"/>
              </w:rPr>
              <w:t>(Governments and international institutions)</w:t>
            </w:r>
          </w:p>
        </w:tc>
        <w:tc>
          <w:tcPr>
            <w:tcW w:w="1843"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388,5</w:t>
            </w:r>
          </w:p>
        </w:tc>
        <w:tc>
          <w:tcPr>
            <w:tcW w:w="1559"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214,9</w:t>
            </w:r>
          </w:p>
        </w:tc>
        <w:tc>
          <w:tcPr>
            <w:tcW w:w="1588"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118,0</w:t>
            </w:r>
          </w:p>
        </w:tc>
        <w:tc>
          <w:tcPr>
            <w:tcW w:w="1530"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26,4</w:t>
            </w:r>
          </w:p>
        </w:tc>
        <w:tc>
          <w:tcPr>
            <w:tcW w:w="1843"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w:t>
            </w:r>
          </w:p>
        </w:tc>
        <w:tc>
          <w:tcPr>
            <w:tcW w:w="1701"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w:t>
            </w:r>
          </w:p>
        </w:tc>
        <w:tc>
          <w:tcPr>
            <w:tcW w:w="1701" w:type="dxa"/>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color w:val="000000"/>
              </w:rPr>
              <w:t>465,9</w:t>
            </w:r>
          </w:p>
        </w:tc>
      </w:tr>
      <w:tr w:rsidR="007F6743" w:rsidRPr="00F45A80" w:rsidTr="004817AF">
        <w:trPr>
          <w:trHeight w:val="654"/>
        </w:trPr>
        <w:tc>
          <w:tcPr>
            <w:tcW w:w="3227" w:type="dxa"/>
            <w:shd w:val="clear" w:color="auto" w:fill="auto"/>
            <w:vAlign w:val="center"/>
          </w:tcPr>
          <w:p w:rsidR="007F6743" w:rsidRPr="00F45A80" w:rsidRDefault="007F6743" w:rsidP="007F6743">
            <w:pPr>
              <w:rPr>
                <w:rFonts w:cs="Calibri"/>
                <w:lang w:val="en-US"/>
              </w:rPr>
            </w:pPr>
            <w:r>
              <w:rPr>
                <w:rFonts w:cs="Calibri"/>
                <w:lang w:val="en-US"/>
              </w:rPr>
              <w:t>International Bonds</w:t>
            </w:r>
          </w:p>
        </w:tc>
        <w:tc>
          <w:tcPr>
            <w:tcW w:w="1843" w:type="dxa"/>
            <w:shd w:val="clear" w:color="auto" w:fill="auto"/>
            <w:noWrap/>
            <w:vAlign w:val="center"/>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307,4</w:t>
            </w:r>
          </w:p>
        </w:tc>
        <w:tc>
          <w:tcPr>
            <w:tcW w:w="1559" w:type="dxa"/>
            <w:shd w:val="clear" w:color="auto" w:fill="auto"/>
            <w:noWrap/>
            <w:vAlign w:val="center"/>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600,0</w:t>
            </w:r>
          </w:p>
        </w:tc>
        <w:tc>
          <w:tcPr>
            <w:tcW w:w="1588" w:type="dxa"/>
            <w:shd w:val="clear" w:color="auto" w:fill="auto"/>
            <w:noWrap/>
            <w:vAlign w:val="center"/>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w:t>
            </w:r>
          </w:p>
        </w:tc>
        <w:tc>
          <w:tcPr>
            <w:tcW w:w="1530" w:type="dxa"/>
            <w:shd w:val="clear" w:color="auto" w:fill="auto"/>
            <w:noWrap/>
            <w:vAlign w:val="center"/>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17,3</w:t>
            </w:r>
          </w:p>
        </w:tc>
        <w:tc>
          <w:tcPr>
            <w:tcW w:w="1843" w:type="dxa"/>
            <w:shd w:val="clear" w:color="auto" w:fill="auto"/>
            <w:noWrap/>
            <w:vAlign w:val="center"/>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w:t>
            </w:r>
          </w:p>
        </w:tc>
        <w:tc>
          <w:tcPr>
            <w:tcW w:w="1701" w:type="dxa"/>
            <w:shd w:val="clear" w:color="auto" w:fill="auto"/>
            <w:noWrap/>
            <w:vAlign w:val="center"/>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w:t>
            </w:r>
          </w:p>
        </w:tc>
        <w:tc>
          <w:tcPr>
            <w:tcW w:w="1701" w:type="dxa"/>
            <w:shd w:val="clear" w:color="auto" w:fill="auto"/>
            <w:noWrap/>
            <w:vAlign w:val="center"/>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937,5</w:t>
            </w:r>
          </w:p>
        </w:tc>
      </w:tr>
      <w:tr w:rsidR="007F6743" w:rsidRPr="00F45A80" w:rsidTr="00832C1D">
        <w:trPr>
          <w:trHeight w:val="255"/>
        </w:trPr>
        <w:tc>
          <w:tcPr>
            <w:tcW w:w="3227" w:type="dxa"/>
            <w:shd w:val="clear" w:color="auto" w:fill="BDD6EE" w:themeFill="accent1" w:themeFillTint="66"/>
            <w:noWrap/>
            <w:vAlign w:val="center"/>
            <w:hideMark/>
          </w:tcPr>
          <w:p w:rsidR="007F6743" w:rsidRPr="00945122" w:rsidRDefault="007F6743" w:rsidP="007F6743">
            <w:pPr>
              <w:jc w:val="center"/>
              <w:rPr>
                <w:rFonts w:cs="Calibri"/>
                <w:lang w:val="en-US"/>
              </w:rPr>
            </w:pPr>
            <w:r w:rsidRPr="00945122">
              <w:rPr>
                <w:rFonts w:cs="Calibri"/>
                <w:lang w:val="en-US"/>
              </w:rPr>
              <w:t>TOTAL</w:t>
            </w:r>
          </w:p>
        </w:tc>
        <w:tc>
          <w:tcPr>
            <w:tcW w:w="1843" w:type="dxa"/>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8 578,6</w:t>
            </w:r>
          </w:p>
        </w:tc>
        <w:tc>
          <w:tcPr>
            <w:tcW w:w="1559" w:type="dxa"/>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5 523,4</w:t>
            </w:r>
          </w:p>
        </w:tc>
        <w:tc>
          <w:tcPr>
            <w:tcW w:w="1588" w:type="dxa"/>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2 012,5</w:t>
            </w:r>
          </w:p>
        </w:tc>
        <w:tc>
          <w:tcPr>
            <w:tcW w:w="1530" w:type="dxa"/>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379,4</w:t>
            </w:r>
          </w:p>
        </w:tc>
        <w:tc>
          <w:tcPr>
            <w:tcW w:w="1843" w:type="dxa"/>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w:t>
            </w:r>
          </w:p>
        </w:tc>
        <w:tc>
          <w:tcPr>
            <w:tcW w:w="1701" w:type="dxa"/>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w:t>
            </w:r>
          </w:p>
        </w:tc>
        <w:tc>
          <w:tcPr>
            <w:tcW w:w="1701" w:type="dxa"/>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12 246,4</w:t>
            </w:r>
          </w:p>
        </w:tc>
      </w:tr>
    </w:tbl>
    <w:p w:rsidR="00BB4B03" w:rsidRPr="00F45A80" w:rsidRDefault="00BB4B03" w:rsidP="009304D9">
      <w:pPr>
        <w:jc w:val="right"/>
        <w:rPr>
          <w:lang w:val="en-US"/>
        </w:rPr>
      </w:pPr>
    </w:p>
    <w:p w:rsidR="009304D9" w:rsidRPr="00ED5572" w:rsidRDefault="009304D9" w:rsidP="007F6743">
      <w:pPr>
        <w:ind w:right="196"/>
        <w:jc w:val="right"/>
        <w:rPr>
          <w:i/>
          <w:sz w:val="22"/>
          <w:szCs w:val="22"/>
          <w:lang w:val="en-US"/>
        </w:rPr>
      </w:pPr>
      <w:r w:rsidRPr="00F45A80">
        <w:rPr>
          <w:lang w:val="en-US"/>
        </w:rPr>
        <w:br w:type="page"/>
      </w:r>
      <w:r w:rsidR="00A11907" w:rsidRPr="00ED5572">
        <w:rPr>
          <w:i/>
          <w:sz w:val="22"/>
          <w:szCs w:val="22"/>
          <w:lang w:val="en-US"/>
        </w:rPr>
        <w:lastRenderedPageBreak/>
        <w:t>Addenda 1</w:t>
      </w:r>
      <w:r w:rsidR="007F6743">
        <w:rPr>
          <w:i/>
          <w:sz w:val="22"/>
          <w:szCs w:val="22"/>
          <w:lang w:val="en-US"/>
        </w:rPr>
        <w:t>4</w:t>
      </w:r>
      <w:r w:rsidR="00A11907" w:rsidRPr="00ED5572">
        <w:rPr>
          <w:i/>
          <w:sz w:val="22"/>
          <w:szCs w:val="22"/>
          <w:lang w:val="en-US"/>
        </w:rPr>
        <w:t>.2</w:t>
      </w:r>
    </w:p>
    <w:p w:rsidR="009304D9" w:rsidRPr="00B30F70" w:rsidRDefault="009304D9" w:rsidP="00B4328F">
      <w:pPr>
        <w:pStyle w:val="1"/>
        <w:spacing w:before="120"/>
        <w:ind w:left="0"/>
        <w:jc w:val="center"/>
        <w:rPr>
          <w:rFonts w:ascii="Calibri" w:hAnsi="Calibri"/>
          <w:sz w:val="26"/>
          <w:szCs w:val="26"/>
          <w:lang w:val="en-US"/>
        </w:rPr>
      </w:pPr>
      <w:bookmarkStart w:id="42" w:name="_Toc67050818"/>
      <w:r w:rsidRPr="00B30F70">
        <w:rPr>
          <w:rFonts w:ascii="Calibri" w:hAnsi="Calibri" w:cs="Calibri"/>
          <w:sz w:val="26"/>
          <w:szCs w:val="26"/>
          <w:lang w:val="en-US"/>
        </w:rPr>
        <w:t>FORECAST OF FUTURE PAYMENTS OF PRINCIPAL DEBT AND INTEREST</w:t>
      </w:r>
      <w:bookmarkEnd w:id="42"/>
    </w:p>
    <w:p w:rsidR="009304D9" w:rsidRPr="00F45A80" w:rsidRDefault="009304D9" w:rsidP="009304D9">
      <w:pPr>
        <w:jc w:val="center"/>
        <w:rPr>
          <w:lang w:val="en-US"/>
        </w:rPr>
      </w:pPr>
      <w:r w:rsidRPr="00F45A80">
        <w:rPr>
          <w:rFonts w:cs="Calibri"/>
          <w:i/>
          <w:lang w:val="en-US"/>
        </w:rPr>
        <w:t>(Type of borrower: all borrowers)</w:t>
      </w:r>
    </w:p>
    <w:tbl>
      <w:tblPr>
        <w:tblW w:w="4887" w:type="pct"/>
        <w:tblInd w:w="28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5386"/>
        <w:gridCol w:w="1014"/>
        <w:gridCol w:w="1014"/>
        <w:gridCol w:w="1014"/>
        <w:gridCol w:w="1014"/>
        <w:gridCol w:w="1014"/>
        <w:gridCol w:w="1014"/>
        <w:gridCol w:w="1014"/>
        <w:gridCol w:w="1014"/>
        <w:gridCol w:w="1241"/>
      </w:tblGrid>
      <w:tr w:rsidR="007F6743" w:rsidRPr="00F45A80" w:rsidTr="007F6743">
        <w:trPr>
          <w:trHeight w:val="80"/>
        </w:trPr>
        <w:tc>
          <w:tcPr>
            <w:tcW w:w="1827" w:type="pct"/>
            <w:vMerge w:val="restart"/>
            <w:tcBorders>
              <w:top w:val="nil"/>
              <w:left w:val="nil"/>
              <w:bottom w:val="nil"/>
              <w:right w:val="nil"/>
            </w:tcBorders>
            <w:shd w:val="clear" w:color="auto" w:fill="auto"/>
            <w:vAlign w:val="bottom"/>
            <w:hideMark/>
          </w:tcPr>
          <w:p w:rsidR="007F6743" w:rsidRPr="00F45A80" w:rsidRDefault="007F6743" w:rsidP="006F7BE3">
            <w:pPr>
              <w:rPr>
                <w:rFonts w:cs="Calibri"/>
                <w:b/>
                <w:lang w:val="en-US"/>
              </w:rPr>
            </w:pPr>
            <w:r w:rsidRPr="00F45A80">
              <w:rPr>
                <w:rFonts w:cs="Calibri"/>
                <w:b/>
                <w:lang w:val="en-US"/>
              </w:rPr>
              <w:t>Principal debt</w:t>
            </w:r>
          </w:p>
        </w:tc>
        <w:tc>
          <w:tcPr>
            <w:tcW w:w="344" w:type="pct"/>
            <w:tcBorders>
              <w:top w:val="nil"/>
              <w:left w:val="nil"/>
              <w:bottom w:val="nil"/>
              <w:right w:val="nil"/>
            </w:tcBorders>
            <w:shd w:val="clear" w:color="auto" w:fill="auto"/>
            <w:noWrap/>
            <w:vAlign w:val="bottom"/>
            <w:hideMark/>
          </w:tcPr>
          <w:p w:rsidR="007F6743" w:rsidRPr="00F45A80" w:rsidRDefault="007F6743" w:rsidP="006F7BE3">
            <w:pPr>
              <w:jc w:val="center"/>
              <w:rPr>
                <w:b/>
                <w:lang w:val="en-US"/>
              </w:rPr>
            </w:pPr>
          </w:p>
        </w:tc>
        <w:tc>
          <w:tcPr>
            <w:tcW w:w="344" w:type="pct"/>
            <w:tcBorders>
              <w:top w:val="nil"/>
              <w:left w:val="nil"/>
              <w:bottom w:val="nil"/>
              <w:right w:val="nil"/>
            </w:tcBorders>
            <w:shd w:val="clear" w:color="auto" w:fill="auto"/>
            <w:noWrap/>
            <w:vAlign w:val="bottom"/>
            <w:hideMark/>
          </w:tcPr>
          <w:p w:rsidR="007F6743" w:rsidRPr="00F45A80" w:rsidRDefault="007F6743" w:rsidP="006F7BE3">
            <w:pPr>
              <w:rPr>
                <w:b/>
                <w:lang w:val="en-US"/>
              </w:rPr>
            </w:pPr>
          </w:p>
        </w:tc>
        <w:tc>
          <w:tcPr>
            <w:tcW w:w="344" w:type="pct"/>
            <w:tcBorders>
              <w:top w:val="nil"/>
              <w:left w:val="nil"/>
              <w:bottom w:val="nil"/>
              <w:right w:val="nil"/>
            </w:tcBorders>
            <w:shd w:val="clear" w:color="auto" w:fill="auto"/>
            <w:noWrap/>
            <w:vAlign w:val="bottom"/>
            <w:hideMark/>
          </w:tcPr>
          <w:p w:rsidR="007F6743" w:rsidRPr="00F45A80" w:rsidRDefault="007F6743" w:rsidP="006F7BE3">
            <w:pPr>
              <w:rPr>
                <w:b/>
                <w:lang w:val="en-US"/>
              </w:rPr>
            </w:pPr>
          </w:p>
        </w:tc>
        <w:tc>
          <w:tcPr>
            <w:tcW w:w="344" w:type="pct"/>
            <w:tcBorders>
              <w:top w:val="nil"/>
              <w:left w:val="nil"/>
              <w:bottom w:val="nil"/>
              <w:right w:val="nil"/>
            </w:tcBorders>
            <w:shd w:val="clear" w:color="auto" w:fill="auto"/>
            <w:noWrap/>
            <w:vAlign w:val="bottom"/>
            <w:hideMark/>
          </w:tcPr>
          <w:p w:rsidR="007F6743" w:rsidRPr="00F45A80" w:rsidRDefault="007F6743" w:rsidP="006F7BE3">
            <w:pPr>
              <w:rPr>
                <w:b/>
                <w:lang w:val="en-US"/>
              </w:rPr>
            </w:pPr>
          </w:p>
        </w:tc>
        <w:tc>
          <w:tcPr>
            <w:tcW w:w="344" w:type="pct"/>
            <w:tcBorders>
              <w:top w:val="nil"/>
              <w:left w:val="nil"/>
              <w:bottom w:val="nil"/>
              <w:right w:val="nil"/>
            </w:tcBorders>
            <w:shd w:val="clear" w:color="auto" w:fill="auto"/>
            <w:noWrap/>
            <w:vAlign w:val="bottom"/>
            <w:hideMark/>
          </w:tcPr>
          <w:p w:rsidR="007F6743" w:rsidRPr="00F45A80" w:rsidRDefault="007F6743" w:rsidP="006F7BE3">
            <w:pPr>
              <w:rPr>
                <w:b/>
                <w:lang w:val="en-US"/>
              </w:rPr>
            </w:pPr>
          </w:p>
        </w:tc>
        <w:tc>
          <w:tcPr>
            <w:tcW w:w="344" w:type="pct"/>
            <w:tcBorders>
              <w:top w:val="nil"/>
              <w:left w:val="nil"/>
              <w:bottom w:val="nil"/>
              <w:right w:val="nil"/>
            </w:tcBorders>
            <w:shd w:val="clear" w:color="auto" w:fill="auto"/>
            <w:noWrap/>
            <w:vAlign w:val="bottom"/>
            <w:hideMark/>
          </w:tcPr>
          <w:p w:rsidR="007F6743" w:rsidRPr="00F45A80" w:rsidRDefault="007F6743" w:rsidP="006F7BE3">
            <w:pPr>
              <w:rPr>
                <w:b/>
                <w:lang w:val="en-US"/>
              </w:rPr>
            </w:pPr>
          </w:p>
        </w:tc>
        <w:tc>
          <w:tcPr>
            <w:tcW w:w="344" w:type="pct"/>
            <w:tcBorders>
              <w:top w:val="nil"/>
              <w:left w:val="nil"/>
              <w:bottom w:val="nil"/>
              <w:right w:val="nil"/>
            </w:tcBorders>
            <w:shd w:val="clear" w:color="auto" w:fill="auto"/>
            <w:noWrap/>
            <w:vAlign w:val="bottom"/>
            <w:hideMark/>
          </w:tcPr>
          <w:p w:rsidR="007F6743" w:rsidRPr="00F45A80" w:rsidRDefault="007F6743" w:rsidP="006F7BE3">
            <w:pPr>
              <w:rPr>
                <w:b/>
                <w:lang w:val="en-US"/>
              </w:rPr>
            </w:pPr>
          </w:p>
        </w:tc>
        <w:tc>
          <w:tcPr>
            <w:tcW w:w="344" w:type="pct"/>
            <w:tcBorders>
              <w:top w:val="nil"/>
              <w:left w:val="nil"/>
              <w:bottom w:val="nil"/>
              <w:right w:val="nil"/>
            </w:tcBorders>
            <w:shd w:val="clear" w:color="auto" w:fill="auto"/>
            <w:noWrap/>
            <w:vAlign w:val="bottom"/>
            <w:hideMark/>
          </w:tcPr>
          <w:p w:rsidR="007F6743" w:rsidRPr="00F45A80" w:rsidRDefault="007F6743" w:rsidP="006F7BE3">
            <w:pPr>
              <w:rPr>
                <w:b/>
                <w:lang w:val="en-US"/>
              </w:rPr>
            </w:pPr>
          </w:p>
        </w:tc>
        <w:tc>
          <w:tcPr>
            <w:tcW w:w="422" w:type="pct"/>
            <w:tcBorders>
              <w:top w:val="nil"/>
              <w:left w:val="nil"/>
              <w:bottom w:val="nil"/>
              <w:right w:val="nil"/>
            </w:tcBorders>
            <w:shd w:val="clear" w:color="auto" w:fill="auto"/>
            <w:noWrap/>
            <w:vAlign w:val="bottom"/>
            <w:hideMark/>
          </w:tcPr>
          <w:p w:rsidR="007F6743" w:rsidRPr="00F45A80" w:rsidRDefault="007F6743" w:rsidP="006F7BE3">
            <w:pPr>
              <w:rPr>
                <w:b/>
                <w:lang w:val="en-US"/>
              </w:rPr>
            </w:pPr>
          </w:p>
        </w:tc>
      </w:tr>
      <w:tr w:rsidR="007F6743" w:rsidRPr="00F45A80" w:rsidTr="007F6743">
        <w:trPr>
          <w:trHeight w:val="74"/>
        </w:trPr>
        <w:tc>
          <w:tcPr>
            <w:tcW w:w="1827" w:type="pct"/>
            <w:vMerge/>
            <w:tcBorders>
              <w:top w:val="nil"/>
              <w:left w:val="nil"/>
              <w:bottom w:val="single" w:sz="4" w:space="0" w:color="5B9BD5"/>
              <w:right w:val="nil"/>
            </w:tcBorders>
            <w:vAlign w:val="center"/>
            <w:hideMark/>
          </w:tcPr>
          <w:p w:rsidR="007F6743" w:rsidRPr="00F45A80" w:rsidRDefault="007F6743" w:rsidP="006F7BE3">
            <w:pPr>
              <w:rPr>
                <w:b/>
                <w:lang w:val="en-US"/>
              </w:rPr>
            </w:pPr>
          </w:p>
        </w:tc>
        <w:tc>
          <w:tcPr>
            <w:tcW w:w="344" w:type="pct"/>
            <w:tcBorders>
              <w:top w:val="nil"/>
              <w:left w:val="nil"/>
              <w:bottom w:val="single" w:sz="4" w:space="0" w:color="5B9BD5"/>
              <w:right w:val="nil"/>
            </w:tcBorders>
            <w:shd w:val="clear" w:color="auto" w:fill="auto"/>
            <w:noWrap/>
            <w:vAlign w:val="bottom"/>
            <w:hideMark/>
          </w:tcPr>
          <w:p w:rsidR="007F6743" w:rsidRPr="00F45A80" w:rsidRDefault="007F6743" w:rsidP="006F7BE3">
            <w:pPr>
              <w:rPr>
                <w:b/>
                <w:lang w:val="en-US"/>
              </w:rPr>
            </w:pPr>
          </w:p>
        </w:tc>
        <w:tc>
          <w:tcPr>
            <w:tcW w:w="344" w:type="pct"/>
            <w:tcBorders>
              <w:top w:val="nil"/>
              <w:left w:val="nil"/>
              <w:bottom w:val="single" w:sz="4" w:space="0" w:color="5B9BD5"/>
              <w:right w:val="nil"/>
            </w:tcBorders>
            <w:shd w:val="clear" w:color="auto" w:fill="auto"/>
            <w:noWrap/>
            <w:vAlign w:val="bottom"/>
            <w:hideMark/>
          </w:tcPr>
          <w:p w:rsidR="007F6743" w:rsidRPr="00F45A80" w:rsidRDefault="007F6743" w:rsidP="006F7BE3">
            <w:pPr>
              <w:rPr>
                <w:b/>
                <w:lang w:val="en-US"/>
              </w:rPr>
            </w:pPr>
          </w:p>
        </w:tc>
        <w:tc>
          <w:tcPr>
            <w:tcW w:w="344" w:type="pct"/>
            <w:tcBorders>
              <w:top w:val="nil"/>
              <w:left w:val="nil"/>
              <w:bottom w:val="single" w:sz="4" w:space="0" w:color="5B9BD5"/>
              <w:right w:val="nil"/>
            </w:tcBorders>
            <w:shd w:val="clear" w:color="auto" w:fill="auto"/>
            <w:noWrap/>
            <w:vAlign w:val="bottom"/>
            <w:hideMark/>
          </w:tcPr>
          <w:p w:rsidR="007F6743" w:rsidRPr="00F45A80" w:rsidRDefault="007F6743" w:rsidP="006F7BE3">
            <w:pPr>
              <w:rPr>
                <w:b/>
                <w:lang w:val="en-US"/>
              </w:rPr>
            </w:pPr>
          </w:p>
        </w:tc>
        <w:tc>
          <w:tcPr>
            <w:tcW w:w="344" w:type="pct"/>
            <w:tcBorders>
              <w:top w:val="nil"/>
              <w:left w:val="nil"/>
              <w:bottom w:val="single" w:sz="4" w:space="0" w:color="5B9BD5"/>
              <w:right w:val="nil"/>
            </w:tcBorders>
            <w:shd w:val="clear" w:color="auto" w:fill="auto"/>
            <w:noWrap/>
            <w:vAlign w:val="bottom"/>
            <w:hideMark/>
          </w:tcPr>
          <w:p w:rsidR="007F6743" w:rsidRPr="00F45A80" w:rsidRDefault="007F6743" w:rsidP="006F7BE3">
            <w:pPr>
              <w:rPr>
                <w:b/>
                <w:lang w:val="en-US"/>
              </w:rPr>
            </w:pPr>
          </w:p>
        </w:tc>
        <w:tc>
          <w:tcPr>
            <w:tcW w:w="344" w:type="pct"/>
            <w:tcBorders>
              <w:top w:val="nil"/>
              <w:left w:val="nil"/>
              <w:bottom w:val="single" w:sz="4" w:space="0" w:color="5B9BD5"/>
              <w:right w:val="nil"/>
            </w:tcBorders>
            <w:shd w:val="clear" w:color="auto" w:fill="auto"/>
            <w:noWrap/>
            <w:vAlign w:val="bottom"/>
            <w:hideMark/>
          </w:tcPr>
          <w:p w:rsidR="007F6743" w:rsidRPr="00F45A80" w:rsidRDefault="007F6743" w:rsidP="006F7BE3">
            <w:pPr>
              <w:rPr>
                <w:b/>
                <w:lang w:val="en-US"/>
              </w:rPr>
            </w:pPr>
          </w:p>
        </w:tc>
        <w:tc>
          <w:tcPr>
            <w:tcW w:w="344" w:type="pct"/>
            <w:tcBorders>
              <w:top w:val="nil"/>
              <w:left w:val="nil"/>
              <w:bottom w:val="single" w:sz="4" w:space="0" w:color="5B9BD5"/>
              <w:right w:val="nil"/>
            </w:tcBorders>
            <w:shd w:val="clear" w:color="auto" w:fill="auto"/>
            <w:noWrap/>
            <w:vAlign w:val="bottom"/>
            <w:hideMark/>
          </w:tcPr>
          <w:p w:rsidR="007F6743" w:rsidRPr="00F45A80" w:rsidRDefault="007F6743" w:rsidP="006F7BE3">
            <w:pPr>
              <w:rPr>
                <w:b/>
                <w:lang w:val="en-US"/>
              </w:rPr>
            </w:pPr>
          </w:p>
        </w:tc>
        <w:tc>
          <w:tcPr>
            <w:tcW w:w="344" w:type="pct"/>
            <w:tcBorders>
              <w:top w:val="nil"/>
              <w:left w:val="nil"/>
              <w:bottom w:val="single" w:sz="4" w:space="0" w:color="5B9BD5"/>
              <w:right w:val="nil"/>
            </w:tcBorders>
            <w:shd w:val="clear" w:color="auto" w:fill="auto"/>
            <w:noWrap/>
            <w:vAlign w:val="bottom"/>
            <w:hideMark/>
          </w:tcPr>
          <w:p w:rsidR="007F6743" w:rsidRPr="00F45A80" w:rsidRDefault="007F6743" w:rsidP="006F7BE3">
            <w:pPr>
              <w:rPr>
                <w:b/>
                <w:lang w:val="en-US"/>
              </w:rPr>
            </w:pPr>
          </w:p>
        </w:tc>
        <w:tc>
          <w:tcPr>
            <w:tcW w:w="766" w:type="pct"/>
            <w:gridSpan w:val="2"/>
            <w:tcBorders>
              <w:top w:val="nil"/>
              <w:left w:val="nil"/>
              <w:bottom w:val="single" w:sz="4" w:space="0" w:color="5B9BD5"/>
              <w:right w:val="nil"/>
            </w:tcBorders>
            <w:shd w:val="clear" w:color="auto" w:fill="auto"/>
            <w:noWrap/>
            <w:vAlign w:val="bottom"/>
            <w:hideMark/>
          </w:tcPr>
          <w:p w:rsidR="007F6743" w:rsidRPr="00F45A80" w:rsidRDefault="007F6743" w:rsidP="006F7BE3">
            <w:pPr>
              <w:jc w:val="right"/>
              <w:rPr>
                <w:b/>
                <w:sz w:val="20"/>
                <w:szCs w:val="20"/>
                <w:lang w:val="en-US"/>
              </w:rPr>
            </w:pPr>
            <w:r w:rsidRPr="00F45A80">
              <w:rPr>
                <w:i/>
                <w:sz w:val="20"/>
                <w:szCs w:val="20"/>
                <w:lang w:val="en-US"/>
              </w:rPr>
              <w:t>(mln. USD)</w:t>
            </w:r>
          </w:p>
        </w:tc>
      </w:tr>
      <w:tr w:rsidR="007F6743" w:rsidRPr="00F45A80" w:rsidTr="007F6743">
        <w:trPr>
          <w:trHeight w:val="255"/>
        </w:trPr>
        <w:tc>
          <w:tcPr>
            <w:tcW w:w="1827" w:type="pct"/>
            <w:tcBorders>
              <w:top w:val="single" w:sz="4" w:space="0" w:color="5B9BD5"/>
            </w:tcBorders>
            <w:shd w:val="clear" w:color="auto" w:fill="BDD6EE" w:themeFill="accent1" w:themeFillTint="66"/>
            <w:noWrap/>
            <w:vAlign w:val="center"/>
            <w:hideMark/>
          </w:tcPr>
          <w:p w:rsidR="007F6743" w:rsidRPr="00F45A80" w:rsidRDefault="007F6743" w:rsidP="007F6743">
            <w:pPr>
              <w:jc w:val="center"/>
              <w:rPr>
                <w:rFonts w:cs="Calibri"/>
                <w:b/>
                <w:lang w:val="en-US"/>
              </w:rPr>
            </w:pPr>
            <w:r w:rsidRPr="00F45A80">
              <w:rPr>
                <w:rFonts w:cs="Calibri"/>
                <w:b/>
                <w:lang w:val="en-US"/>
              </w:rPr>
              <w:t>Type of creditor</w:t>
            </w:r>
          </w:p>
        </w:tc>
        <w:tc>
          <w:tcPr>
            <w:tcW w:w="344" w:type="pct"/>
            <w:tcBorders>
              <w:top w:val="single" w:sz="4" w:space="0" w:color="5B9BD5"/>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2021</w:t>
            </w:r>
          </w:p>
        </w:tc>
        <w:tc>
          <w:tcPr>
            <w:tcW w:w="344" w:type="pct"/>
            <w:tcBorders>
              <w:top w:val="single" w:sz="4" w:space="0" w:color="5B9BD5"/>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2022</w:t>
            </w:r>
          </w:p>
        </w:tc>
        <w:tc>
          <w:tcPr>
            <w:tcW w:w="344" w:type="pct"/>
            <w:tcBorders>
              <w:top w:val="single" w:sz="4" w:space="0" w:color="5B9BD5"/>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2023</w:t>
            </w:r>
          </w:p>
        </w:tc>
        <w:tc>
          <w:tcPr>
            <w:tcW w:w="344" w:type="pct"/>
            <w:tcBorders>
              <w:top w:val="single" w:sz="4" w:space="0" w:color="5B9BD5"/>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2024</w:t>
            </w:r>
          </w:p>
        </w:tc>
        <w:tc>
          <w:tcPr>
            <w:tcW w:w="344" w:type="pct"/>
            <w:tcBorders>
              <w:top w:val="single" w:sz="4" w:space="0" w:color="5B9BD5"/>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2025</w:t>
            </w:r>
          </w:p>
        </w:tc>
        <w:tc>
          <w:tcPr>
            <w:tcW w:w="344" w:type="pct"/>
            <w:tcBorders>
              <w:top w:val="single" w:sz="4" w:space="0" w:color="5B9BD5"/>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2026</w:t>
            </w:r>
          </w:p>
        </w:tc>
        <w:tc>
          <w:tcPr>
            <w:tcW w:w="344" w:type="pct"/>
            <w:tcBorders>
              <w:top w:val="single" w:sz="4" w:space="0" w:color="5B9BD5"/>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2027</w:t>
            </w:r>
          </w:p>
        </w:tc>
        <w:tc>
          <w:tcPr>
            <w:tcW w:w="344" w:type="pct"/>
            <w:tcBorders>
              <w:top w:val="single" w:sz="4" w:space="0" w:color="5B9BD5"/>
            </w:tcBorders>
            <w:shd w:val="clear" w:color="auto" w:fill="BDD6EE" w:themeFill="accent1" w:themeFillTint="66"/>
            <w:noWrap/>
            <w:vAlign w:val="center"/>
            <w:hideMark/>
          </w:tcPr>
          <w:p w:rsidR="007F6743" w:rsidRPr="00F45A80" w:rsidRDefault="007F6743" w:rsidP="007F6743">
            <w:pPr>
              <w:jc w:val="center"/>
              <w:rPr>
                <w:b/>
                <w:lang w:val="en-US"/>
              </w:rPr>
            </w:pPr>
            <w:r>
              <w:rPr>
                <w:rFonts w:cs="Calibri"/>
                <w:b/>
                <w:lang w:val="en-US"/>
              </w:rPr>
              <w:t>after 2027</w:t>
            </w:r>
          </w:p>
        </w:tc>
        <w:tc>
          <w:tcPr>
            <w:tcW w:w="422" w:type="pct"/>
            <w:tcBorders>
              <w:top w:val="single" w:sz="4" w:space="0" w:color="5B9BD5"/>
            </w:tcBorders>
            <w:shd w:val="clear" w:color="auto" w:fill="BDD6EE" w:themeFill="accent1" w:themeFillTint="66"/>
            <w:vAlign w:val="center"/>
            <w:hideMark/>
          </w:tcPr>
          <w:p w:rsidR="007F6743" w:rsidRPr="00F45A80" w:rsidRDefault="007F6743" w:rsidP="007F6743">
            <w:pPr>
              <w:jc w:val="center"/>
              <w:rPr>
                <w:b/>
                <w:lang w:val="en-US"/>
              </w:rPr>
            </w:pPr>
            <w:r>
              <w:rPr>
                <w:b/>
                <w:lang w:val="en-US"/>
              </w:rPr>
              <w:t>TOTAL</w:t>
            </w:r>
          </w:p>
        </w:tc>
      </w:tr>
      <w:tr w:rsidR="007F6743" w:rsidRPr="00F45A80" w:rsidTr="007F6743">
        <w:trPr>
          <w:trHeight w:val="569"/>
        </w:trPr>
        <w:tc>
          <w:tcPr>
            <w:tcW w:w="1827" w:type="pct"/>
            <w:shd w:val="clear" w:color="auto" w:fill="auto"/>
            <w:vAlign w:val="center"/>
            <w:hideMark/>
          </w:tcPr>
          <w:p w:rsidR="007F6743" w:rsidRPr="00F45A80" w:rsidRDefault="007F6743" w:rsidP="007F6743">
            <w:pPr>
              <w:rPr>
                <w:rFonts w:cs="Calibri"/>
                <w:lang w:val="en-US"/>
              </w:rPr>
            </w:pPr>
            <w:r w:rsidRPr="00F45A80">
              <w:rPr>
                <w:rFonts w:cs="Calibri"/>
                <w:lang w:val="en-US"/>
              </w:rPr>
              <w:t>Foreign banks and other financial institutions</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3 414,0</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1 668,2</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1 428,2</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888,4</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634,3</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612,5</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203,9</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307,6</w:t>
            </w:r>
          </w:p>
        </w:tc>
        <w:tc>
          <w:tcPr>
            <w:tcW w:w="422" w:type="pct"/>
            <w:shd w:val="clear" w:color="auto" w:fill="auto"/>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9 157,0</w:t>
            </w:r>
          </w:p>
        </w:tc>
      </w:tr>
      <w:tr w:rsidR="007F6743" w:rsidRPr="00F45A80" w:rsidTr="007F6743">
        <w:trPr>
          <w:trHeight w:val="510"/>
        </w:trPr>
        <w:tc>
          <w:tcPr>
            <w:tcW w:w="1827" w:type="pct"/>
            <w:shd w:val="clear" w:color="auto" w:fill="auto"/>
            <w:vAlign w:val="center"/>
            <w:hideMark/>
          </w:tcPr>
          <w:p w:rsidR="007F6743" w:rsidRPr="00F45A80" w:rsidRDefault="007F6743" w:rsidP="007F6743">
            <w:pPr>
              <w:rPr>
                <w:rFonts w:cs="Calibri"/>
                <w:lang w:val="en-US"/>
              </w:rPr>
            </w:pPr>
            <w:r w:rsidRPr="00F45A80">
              <w:rPr>
                <w:rFonts w:cs="Calibri"/>
                <w:lang w:val="en-US"/>
              </w:rPr>
              <w:t>Foreign parent companies and branches</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237,8</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470,5</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142,7</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33,5</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12,5</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9,5</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17,1</w:t>
            </w:r>
          </w:p>
        </w:tc>
        <w:tc>
          <w:tcPr>
            <w:tcW w:w="422" w:type="pct"/>
            <w:shd w:val="clear" w:color="auto" w:fill="auto"/>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923,6</w:t>
            </w:r>
          </w:p>
        </w:tc>
      </w:tr>
      <w:tr w:rsidR="007F6743" w:rsidRPr="00F45A80" w:rsidTr="007F6743">
        <w:trPr>
          <w:trHeight w:val="510"/>
        </w:trPr>
        <w:tc>
          <w:tcPr>
            <w:tcW w:w="1827" w:type="pct"/>
            <w:shd w:val="clear" w:color="auto" w:fill="auto"/>
            <w:vAlign w:val="center"/>
            <w:hideMark/>
          </w:tcPr>
          <w:p w:rsidR="007F6743" w:rsidRPr="00F45A80" w:rsidRDefault="007F6743" w:rsidP="007F6743">
            <w:pPr>
              <w:rPr>
                <w:rFonts w:cs="Calibri"/>
                <w:lang w:val="en-US"/>
              </w:rPr>
            </w:pPr>
            <w:r w:rsidRPr="00F45A80">
              <w:rPr>
                <w:rFonts w:cs="Calibri"/>
                <w:lang w:val="en-US"/>
              </w:rPr>
              <w:t>Exporters and other private sources</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343,8</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189,7</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120,8</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29,5</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22,8</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28,9</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3,1</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24,0</w:t>
            </w:r>
          </w:p>
        </w:tc>
        <w:tc>
          <w:tcPr>
            <w:tcW w:w="422" w:type="pct"/>
            <w:shd w:val="clear" w:color="auto" w:fill="auto"/>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762,5</w:t>
            </w:r>
          </w:p>
        </w:tc>
      </w:tr>
      <w:tr w:rsidR="007F6743" w:rsidRPr="00F45A80" w:rsidTr="007F6743">
        <w:trPr>
          <w:trHeight w:val="507"/>
        </w:trPr>
        <w:tc>
          <w:tcPr>
            <w:tcW w:w="1827" w:type="pct"/>
            <w:shd w:val="clear" w:color="auto" w:fill="auto"/>
            <w:vAlign w:val="center"/>
            <w:hideMark/>
          </w:tcPr>
          <w:p w:rsidR="007F6743" w:rsidRPr="00F45A80" w:rsidRDefault="007F6743" w:rsidP="007F6743">
            <w:pPr>
              <w:rPr>
                <w:rFonts w:cs="Calibri"/>
                <w:lang w:val="en-US"/>
              </w:rPr>
            </w:pPr>
            <w:r w:rsidRPr="00F45A80">
              <w:rPr>
                <w:rFonts w:cs="Calibri"/>
                <w:lang w:val="en-US"/>
              </w:rPr>
              <w:t>Official sources (Governments and international institutions)</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192,1</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131,6</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103,1</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21,0</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4,5</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3,5</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3,5</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6,5</w:t>
            </w:r>
          </w:p>
        </w:tc>
        <w:tc>
          <w:tcPr>
            <w:tcW w:w="422" w:type="pct"/>
            <w:shd w:val="clear" w:color="auto" w:fill="auto"/>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465,9</w:t>
            </w:r>
          </w:p>
        </w:tc>
      </w:tr>
      <w:tr w:rsidR="007F6743" w:rsidRPr="00F45A80" w:rsidTr="007F6743">
        <w:trPr>
          <w:trHeight w:val="507"/>
        </w:trPr>
        <w:tc>
          <w:tcPr>
            <w:tcW w:w="1827" w:type="pct"/>
            <w:tcBorders>
              <w:bottom w:val="single" w:sz="4" w:space="0" w:color="5B9BD5"/>
            </w:tcBorders>
            <w:shd w:val="clear" w:color="auto" w:fill="auto"/>
            <w:vAlign w:val="center"/>
          </w:tcPr>
          <w:p w:rsidR="007F6743" w:rsidRPr="00F45A80" w:rsidRDefault="007F6743" w:rsidP="007F6743">
            <w:pPr>
              <w:rPr>
                <w:rFonts w:cs="Calibri"/>
                <w:lang w:val="en-US"/>
              </w:rPr>
            </w:pPr>
            <w:r>
              <w:rPr>
                <w:rFonts w:cs="Calibri"/>
                <w:lang w:val="en-US"/>
              </w:rPr>
              <w:t>International Bonds</w:t>
            </w:r>
          </w:p>
        </w:tc>
        <w:tc>
          <w:tcPr>
            <w:tcW w:w="344" w:type="pct"/>
            <w:tcBorders>
              <w:bottom w:val="single" w:sz="4" w:space="0" w:color="5B9BD5"/>
            </w:tcBorders>
            <w:shd w:val="clear" w:color="auto" w:fill="auto"/>
            <w:noWrap/>
            <w:vAlign w:val="center"/>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w:t>
            </w:r>
          </w:p>
        </w:tc>
        <w:tc>
          <w:tcPr>
            <w:tcW w:w="344" w:type="pct"/>
            <w:tcBorders>
              <w:bottom w:val="single" w:sz="4" w:space="0" w:color="5B9BD5"/>
            </w:tcBorders>
            <w:shd w:val="clear" w:color="auto" w:fill="auto"/>
            <w:noWrap/>
            <w:vAlign w:val="center"/>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w:t>
            </w:r>
          </w:p>
        </w:tc>
        <w:tc>
          <w:tcPr>
            <w:tcW w:w="344" w:type="pct"/>
            <w:tcBorders>
              <w:bottom w:val="single" w:sz="4" w:space="0" w:color="5B9BD5"/>
            </w:tcBorders>
            <w:shd w:val="clear" w:color="auto" w:fill="auto"/>
            <w:noWrap/>
            <w:vAlign w:val="center"/>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w:t>
            </w:r>
          </w:p>
        </w:tc>
        <w:tc>
          <w:tcPr>
            <w:tcW w:w="344" w:type="pct"/>
            <w:tcBorders>
              <w:bottom w:val="single" w:sz="4" w:space="0" w:color="5B9BD5"/>
            </w:tcBorders>
            <w:shd w:val="clear" w:color="auto" w:fill="auto"/>
            <w:noWrap/>
            <w:vAlign w:val="center"/>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300,0</w:t>
            </w:r>
          </w:p>
        </w:tc>
        <w:tc>
          <w:tcPr>
            <w:tcW w:w="344" w:type="pct"/>
            <w:tcBorders>
              <w:bottom w:val="single" w:sz="4" w:space="0" w:color="5B9BD5"/>
            </w:tcBorders>
            <w:shd w:val="clear" w:color="auto" w:fill="auto"/>
            <w:noWrap/>
            <w:vAlign w:val="center"/>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600,0</w:t>
            </w:r>
          </w:p>
        </w:tc>
        <w:tc>
          <w:tcPr>
            <w:tcW w:w="344" w:type="pct"/>
            <w:tcBorders>
              <w:bottom w:val="single" w:sz="4" w:space="0" w:color="5B9BD5"/>
            </w:tcBorders>
            <w:shd w:val="clear" w:color="auto" w:fill="auto"/>
            <w:noWrap/>
            <w:vAlign w:val="center"/>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w:t>
            </w:r>
          </w:p>
        </w:tc>
        <w:tc>
          <w:tcPr>
            <w:tcW w:w="344" w:type="pct"/>
            <w:tcBorders>
              <w:bottom w:val="single" w:sz="4" w:space="0" w:color="5B9BD5"/>
            </w:tcBorders>
            <w:shd w:val="clear" w:color="auto" w:fill="auto"/>
            <w:noWrap/>
            <w:vAlign w:val="center"/>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w:t>
            </w:r>
          </w:p>
        </w:tc>
        <w:tc>
          <w:tcPr>
            <w:tcW w:w="344" w:type="pct"/>
            <w:tcBorders>
              <w:bottom w:val="single" w:sz="4" w:space="0" w:color="5B9BD5"/>
            </w:tcBorders>
            <w:shd w:val="clear" w:color="auto" w:fill="auto"/>
            <w:noWrap/>
            <w:vAlign w:val="center"/>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w:t>
            </w:r>
          </w:p>
        </w:tc>
        <w:tc>
          <w:tcPr>
            <w:tcW w:w="422" w:type="pct"/>
            <w:tcBorders>
              <w:bottom w:val="single" w:sz="4" w:space="0" w:color="5B9BD5"/>
            </w:tcBorders>
            <w:shd w:val="clear" w:color="auto" w:fill="auto"/>
            <w:vAlign w:val="center"/>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900,0</w:t>
            </w:r>
          </w:p>
        </w:tc>
      </w:tr>
      <w:tr w:rsidR="007F6743" w:rsidRPr="00F45A80" w:rsidTr="007F6743">
        <w:trPr>
          <w:trHeight w:val="255"/>
        </w:trPr>
        <w:tc>
          <w:tcPr>
            <w:tcW w:w="1827" w:type="pct"/>
            <w:tcBorders>
              <w:bottom w:val="single" w:sz="4" w:space="0" w:color="5B9BD5"/>
            </w:tcBorders>
            <w:shd w:val="clear" w:color="auto" w:fill="BDD6EE" w:themeFill="accent1" w:themeFillTint="66"/>
            <w:noWrap/>
            <w:vAlign w:val="center"/>
            <w:hideMark/>
          </w:tcPr>
          <w:p w:rsidR="007F6743" w:rsidRPr="00945122" w:rsidRDefault="007F6743" w:rsidP="007F6743">
            <w:pPr>
              <w:jc w:val="center"/>
              <w:rPr>
                <w:rFonts w:cs="Calibri"/>
                <w:lang w:val="en-US"/>
              </w:rPr>
            </w:pPr>
            <w:r w:rsidRPr="00945122">
              <w:rPr>
                <w:rFonts w:cs="Calibri"/>
                <w:lang w:val="en-US"/>
              </w:rPr>
              <w:t>TOTAL</w:t>
            </w:r>
          </w:p>
        </w:tc>
        <w:tc>
          <w:tcPr>
            <w:tcW w:w="344" w:type="pct"/>
            <w:tcBorders>
              <w:bottom w:val="single" w:sz="4" w:space="0" w:color="5B9BD5"/>
            </w:tcBorders>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4 187,7</w:t>
            </w:r>
          </w:p>
        </w:tc>
        <w:tc>
          <w:tcPr>
            <w:tcW w:w="344" w:type="pct"/>
            <w:tcBorders>
              <w:bottom w:val="single" w:sz="4" w:space="0" w:color="5B9BD5"/>
            </w:tcBorders>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2 460,1</w:t>
            </w:r>
          </w:p>
        </w:tc>
        <w:tc>
          <w:tcPr>
            <w:tcW w:w="344" w:type="pct"/>
            <w:tcBorders>
              <w:bottom w:val="single" w:sz="4" w:space="0" w:color="5B9BD5"/>
            </w:tcBorders>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1 794,7</w:t>
            </w:r>
          </w:p>
        </w:tc>
        <w:tc>
          <w:tcPr>
            <w:tcW w:w="344" w:type="pct"/>
            <w:tcBorders>
              <w:bottom w:val="single" w:sz="4" w:space="0" w:color="5B9BD5"/>
            </w:tcBorders>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1 272,3</w:t>
            </w:r>
          </w:p>
        </w:tc>
        <w:tc>
          <w:tcPr>
            <w:tcW w:w="344" w:type="pct"/>
            <w:tcBorders>
              <w:bottom w:val="single" w:sz="4" w:space="0" w:color="5B9BD5"/>
            </w:tcBorders>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1 274,1</w:t>
            </w:r>
          </w:p>
        </w:tc>
        <w:tc>
          <w:tcPr>
            <w:tcW w:w="344" w:type="pct"/>
            <w:tcBorders>
              <w:bottom w:val="single" w:sz="4" w:space="0" w:color="5B9BD5"/>
            </w:tcBorders>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654,4</w:t>
            </w:r>
          </w:p>
        </w:tc>
        <w:tc>
          <w:tcPr>
            <w:tcW w:w="344" w:type="pct"/>
            <w:tcBorders>
              <w:bottom w:val="single" w:sz="4" w:space="0" w:color="5B9BD5"/>
            </w:tcBorders>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210,4</w:t>
            </w:r>
          </w:p>
        </w:tc>
        <w:tc>
          <w:tcPr>
            <w:tcW w:w="344" w:type="pct"/>
            <w:tcBorders>
              <w:bottom w:val="single" w:sz="4" w:space="0" w:color="5B9BD5"/>
            </w:tcBorders>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355,3</w:t>
            </w:r>
          </w:p>
        </w:tc>
        <w:tc>
          <w:tcPr>
            <w:tcW w:w="422" w:type="pct"/>
            <w:tcBorders>
              <w:bottom w:val="single" w:sz="4" w:space="0" w:color="5B9BD5"/>
            </w:tcBorders>
            <w:shd w:val="clear" w:color="auto" w:fill="BDD6EE" w:themeFill="accent1" w:themeFillTint="66"/>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12 209,0</w:t>
            </w:r>
          </w:p>
        </w:tc>
      </w:tr>
      <w:tr w:rsidR="007F6743" w:rsidRPr="00F45A80" w:rsidTr="007F6743">
        <w:trPr>
          <w:trHeight w:val="80"/>
        </w:trPr>
        <w:tc>
          <w:tcPr>
            <w:tcW w:w="1827" w:type="pct"/>
            <w:vMerge w:val="restart"/>
            <w:tcBorders>
              <w:top w:val="single" w:sz="4" w:space="0" w:color="5B9BD5"/>
              <w:left w:val="nil"/>
              <w:bottom w:val="nil"/>
              <w:right w:val="nil"/>
            </w:tcBorders>
            <w:shd w:val="clear" w:color="auto" w:fill="auto"/>
            <w:vAlign w:val="bottom"/>
            <w:hideMark/>
          </w:tcPr>
          <w:p w:rsidR="007F6743" w:rsidRPr="00F45A80" w:rsidRDefault="007F6743" w:rsidP="006F7BE3">
            <w:pPr>
              <w:rPr>
                <w:b/>
                <w:lang w:val="en-US"/>
              </w:rPr>
            </w:pPr>
            <w:r w:rsidRPr="00F45A80">
              <w:rPr>
                <w:rFonts w:cs="Calibri"/>
                <w:b/>
                <w:lang w:val="en-US"/>
              </w:rPr>
              <w:t>Interest</w:t>
            </w:r>
          </w:p>
        </w:tc>
        <w:tc>
          <w:tcPr>
            <w:tcW w:w="344" w:type="pct"/>
            <w:tcBorders>
              <w:top w:val="single" w:sz="4" w:space="0" w:color="5B9BD5"/>
              <w:left w:val="nil"/>
              <w:bottom w:val="nil"/>
              <w:right w:val="nil"/>
            </w:tcBorders>
            <w:shd w:val="clear" w:color="auto" w:fill="auto"/>
            <w:noWrap/>
            <w:vAlign w:val="center"/>
            <w:hideMark/>
          </w:tcPr>
          <w:p w:rsidR="007F6743" w:rsidRPr="00F45A80" w:rsidRDefault="007F6743" w:rsidP="006F7BE3">
            <w:pPr>
              <w:jc w:val="center"/>
              <w:rPr>
                <w:lang w:val="en-US"/>
              </w:rPr>
            </w:pPr>
          </w:p>
        </w:tc>
        <w:tc>
          <w:tcPr>
            <w:tcW w:w="344" w:type="pct"/>
            <w:tcBorders>
              <w:top w:val="single" w:sz="4" w:space="0" w:color="5B9BD5"/>
              <w:left w:val="nil"/>
              <w:bottom w:val="nil"/>
              <w:right w:val="nil"/>
            </w:tcBorders>
            <w:shd w:val="clear" w:color="auto" w:fill="auto"/>
            <w:noWrap/>
            <w:vAlign w:val="center"/>
            <w:hideMark/>
          </w:tcPr>
          <w:p w:rsidR="007F6743" w:rsidRPr="00F45A80" w:rsidRDefault="007F6743" w:rsidP="006F7BE3">
            <w:pPr>
              <w:jc w:val="center"/>
              <w:rPr>
                <w:lang w:val="en-US"/>
              </w:rPr>
            </w:pPr>
          </w:p>
        </w:tc>
        <w:tc>
          <w:tcPr>
            <w:tcW w:w="344" w:type="pct"/>
            <w:tcBorders>
              <w:top w:val="single" w:sz="4" w:space="0" w:color="5B9BD5"/>
              <w:left w:val="nil"/>
              <w:bottom w:val="nil"/>
              <w:right w:val="nil"/>
            </w:tcBorders>
            <w:shd w:val="clear" w:color="auto" w:fill="auto"/>
            <w:noWrap/>
            <w:vAlign w:val="center"/>
            <w:hideMark/>
          </w:tcPr>
          <w:p w:rsidR="007F6743" w:rsidRPr="00F45A80" w:rsidRDefault="007F6743" w:rsidP="006F7BE3">
            <w:pPr>
              <w:jc w:val="center"/>
              <w:rPr>
                <w:lang w:val="en-US"/>
              </w:rPr>
            </w:pPr>
          </w:p>
        </w:tc>
        <w:tc>
          <w:tcPr>
            <w:tcW w:w="344" w:type="pct"/>
            <w:tcBorders>
              <w:top w:val="single" w:sz="4" w:space="0" w:color="5B9BD5"/>
              <w:left w:val="nil"/>
              <w:bottom w:val="nil"/>
              <w:right w:val="nil"/>
            </w:tcBorders>
            <w:shd w:val="clear" w:color="auto" w:fill="auto"/>
            <w:noWrap/>
            <w:vAlign w:val="center"/>
            <w:hideMark/>
          </w:tcPr>
          <w:p w:rsidR="007F6743" w:rsidRPr="00F45A80" w:rsidRDefault="007F6743" w:rsidP="006F7BE3">
            <w:pPr>
              <w:jc w:val="center"/>
              <w:rPr>
                <w:lang w:val="en-US"/>
              </w:rPr>
            </w:pPr>
          </w:p>
        </w:tc>
        <w:tc>
          <w:tcPr>
            <w:tcW w:w="344" w:type="pct"/>
            <w:tcBorders>
              <w:top w:val="single" w:sz="4" w:space="0" w:color="5B9BD5"/>
              <w:left w:val="nil"/>
              <w:bottom w:val="nil"/>
              <w:right w:val="nil"/>
            </w:tcBorders>
            <w:shd w:val="clear" w:color="auto" w:fill="auto"/>
            <w:noWrap/>
            <w:vAlign w:val="center"/>
            <w:hideMark/>
          </w:tcPr>
          <w:p w:rsidR="007F6743" w:rsidRPr="00F45A80" w:rsidRDefault="007F6743" w:rsidP="006F7BE3">
            <w:pPr>
              <w:jc w:val="center"/>
              <w:rPr>
                <w:lang w:val="en-US"/>
              </w:rPr>
            </w:pPr>
          </w:p>
        </w:tc>
        <w:tc>
          <w:tcPr>
            <w:tcW w:w="344" w:type="pct"/>
            <w:tcBorders>
              <w:top w:val="single" w:sz="4" w:space="0" w:color="5B9BD5"/>
              <w:left w:val="nil"/>
              <w:bottom w:val="nil"/>
              <w:right w:val="nil"/>
            </w:tcBorders>
            <w:shd w:val="clear" w:color="auto" w:fill="auto"/>
            <w:noWrap/>
            <w:vAlign w:val="center"/>
            <w:hideMark/>
          </w:tcPr>
          <w:p w:rsidR="007F6743" w:rsidRPr="00F45A80" w:rsidRDefault="007F6743" w:rsidP="006F7BE3">
            <w:pPr>
              <w:jc w:val="center"/>
              <w:rPr>
                <w:lang w:val="en-US"/>
              </w:rPr>
            </w:pPr>
          </w:p>
        </w:tc>
        <w:tc>
          <w:tcPr>
            <w:tcW w:w="344" w:type="pct"/>
            <w:tcBorders>
              <w:top w:val="single" w:sz="4" w:space="0" w:color="5B9BD5"/>
              <w:left w:val="nil"/>
              <w:bottom w:val="nil"/>
              <w:right w:val="nil"/>
            </w:tcBorders>
            <w:shd w:val="clear" w:color="auto" w:fill="auto"/>
            <w:noWrap/>
            <w:vAlign w:val="center"/>
            <w:hideMark/>
          </w:tcPr>
          <w:p w:rsidR="007F6743" w:rsidRPr="00F45A80" w:rsidRDefault="007F6743" w:rsidP="006F7BE3">
            <w:pPr>
              <w:jc w:val="center"/>
              <w:rPr>
                <w:lang w:val="en-US"/>
              </w:rPr>
            </w:pPr>
          </w:p>
        </w:tc>
        <w:tc>
          <w:tcPr>
            <w:tcW w:w="344" w:type="pct"/>
            <w:tcBorders>
              <w:top w:val="single" w:sz="4" w:space="0" w:color="5B9BD5"/>
              <w:left w:val="nil"/>
              <w:bottom w:val="nil"/>
              <w:right w:val="nil"/>
            </w:tcBorders>
            <w:shd w:val="clear" w:color="auto" w:fill="auto"/>
            <w:noWrap/>
            <w:vAlign w:val="center"/>
            <w:hideMark/>
          </w:tcPr>
          <w:p w:rsidR="007F6743" w:rsidRPr="00F45A80" w:rsidRDefault="007F6743" w:rsidP="006F7BE3">
            <w:pPr>
              <w:jc w:val="center"/>
              <w:rPr>
                <w:lang w:val="en-US"/>
              </w:rPr>
            </w:pPr>
          </w:p>
        </w:tc>
        <w:tc>
          <w:tcPr>
            <w:tcW w:w="422" w:type="pct"/>
            <w:tcBorders>
              <w:top w:val="single" w:sz="4" w:space="0" w:color="5B9BD5"/>
              <w:left w:val="nil"/>
              <w:bottom w:val="nil"/>
              <w:right w:val="nil"/>
            </w:tcBorders>
            <w:shd w:val="clear" w:color="auto" w:fill="auto"/>
            <w:noWrap/>
            <w:vAlign w:val="center"/>
            <w:hideMark/>
          </w:tcPr>
          <w:p w:rsidR="007F6743" w:rsidRPr="00F45A80" w:rsidRDefault="007F6743" w:rsidP="006F7BE3">
            <w:pPr>
              <w:jc w:val="center"/>
              <w:rPr>
                <w:lang w:val="en-US"/>
              </w:rPr>
            </w:pPr>
          </w:p>
        </w:tc>
      </w:tr>
      <w:tr w:rsidR="007F6743" w:rsidRPr="00F45A80" w:rsidTr="007F6743">
        <w:trPr>
          <w:trHeight w:val="70"/>
        </w:trPr>
        <w:tc>
          <w:tcPr>
            <w:tcW w:w="1827" w:type="pct"/>
            <w:vMerge/>
            <w:tcBorders>
              <w:top w:val="nil"/>
              <w:left w:val="nil"/>
              <w:bottom w:val="single" w:sz="4" w:space="0" w:color="5B9BD5"/>
              <w:right w:val="nil"/>
            </w:tcBorders>
            <w:vAlign w:val="center"/>
            <w:hideMark/>
          </w:tcPr>
          <w:p w:rsidR="007F6743" w:rsidRPr="00F45A80" w:rsidRDefault="007F6743" w:rsidP="006F7BE3">
            <w:pPr>
              <w:rPr>
                <w:lang w:val="en-US"/>
              </w:rPr>
            </w:pPr>
          </w:p>
        </w:tc>
        <w:tc>
          <w:tcPr>
            <w:tcW w:w="344" w:type="pct"/>
            <w:tcBorders>
              <w:top w:val="nil"/>
              <w:left w:val="nil"/>
              <w:bottom w:val="single" w:sz="4" w:space="0" w:color="5B9BD5"/>
              <w:right w:val="nil"/>
            </w:tcBorders>
            <w:shd w:val="clear" w:color="auto" w:fill="auto"/>
            <w:noWrap/>
            <w:vAlign w:val="bottom"/>
            <w:hideMark/>
          </w:tcPr>
          <w:p w:rsidR="007F6743" w:rsidRPr="00F45A80" w:rsidRDefault="007F6743" w:rsidP="006F7BE3">
            <w:pPr>
              <w:jc w:val="center"/>
              <w:rPr>
                <w:lang w:val="en-US"/>
              </w:rPr>
            </w:pPr>
          </w:p>
        </w:tc>
        <w:tc>
          <w:tcPr>
            <w:tcW w:w="344" w:type="pct"/>
            <w:tcBorders>
              <w:top w:val="nil"/>
              <w:left w:val="nil"/>
              <w:bottom w:val="single" w:sz="4" w:space="0" w:color="5B9BD5"/>
              <w:right w:val="nil"/>
            </w:tcBorders>
            <w:shd w:val="clear" w:color="auto" w:fill="auto"/>
            <w:noWrap/>
            <w:vAlign w:val="bottom"/>
            <w:hideMark/>
          </w:tcPr>
          <w:p w:rsidR="007F6743" w:rsidRPr="00F45A80" w:rsidRDefault="007F6743" w:rsidP="006F7BE3">
            <w:pPr>
              <w:jc w:val="center"/>
              <w:rPr>
                <w:lang w:val="en-US"/>
              </w:rPr>
            </w:pPr>
          </w:p>
        </w:tc>
        <w:tc>
          <w:tcPr>
            <w:tcW w:w="344" w:type="pct"/>
            <w:tcBorders>
              <w:top w:val="nil"/>
              <w:left w:val="nil"/>
              <w:bottom w:val="single" w:sz="4" w:space="0" w:color="5B9BD5"/>
              <w:right w:val="nil"/>
            </w:tcBorders>
            <w:shd w:val="clear" w:color="auto" w:fill="auto"/>
            <w:noWrap/>
            <w:vAlign w:val="bottom"/>
            <w:hideMark/>
          </w:tcPr>
          <w:p w:rsidR="007F6743" w:rsidRPr="00F45A80" w:rsidRDefault="007F6743" w:rsidP="006F7BE3">
            <w:pPr>
              <w:jc w:val="center"/>
              <w:rPr>
                <w:lang w:val="en-US"/>
              </w:rPr>
            </w:pPr>
          </w:p>
        </w:tc>
        <w:tc>
          <w:tcPr>
            <w:tcW w:w="344" w:type="pct"/>
            <w:tcBorders>
              <w:top w:val="nil"/>
              <w:left w:val="nil"/>
              <w:bottom w:val="single" w:sz="4" w:space="0" w:color="5B9BD5"/>
              <w:right w:val="nil"/>
            </w:tcBorders>
            <w:shd w:val="clear" w:color="auto" w:fill="auto"/>
            <w:noWrap/>
            <w:vAlign w:val="bottom"/>
            <w:hideMark/>
          </w:tcPr>
          <w:p w:rsidR="007F6743" w:rsidRPr="00F45A80" w:rsidRDefault="007F6743" w:rsidP="006F7BE3">
            <w:pPr>
              <w:jc w:val="center"/>
              <w:rPr>
                <w:lang w:val="en-US"/>
              </w:rPr>
            </w:pPr>
          </w:p>
        </w:tc>
        <w:tc>
          <w:tcPr>
            <w:tcW w:w="344" w:type="pct"/>
            <w:tcBorders>
              <w:top w:val="nil"/>
              <w:left w:val="nil"/>
              <w:bottom w:val="single" w:sz="4" w:space="0" w:color="5B9BD5"/>
              <w:right w:val="nil"/>
            </w:tcBorders>
            <w:shd w:val="clear" w:color="auto" w:fill="auto"/>
            <w:noWrap/>
            <w:vAlign w:val="bottom"/>
            <w:hideMark/>
          </w:tcPr>
          <w:p w:rsidR="007F6743" w:rsidRPr="00F45A80" w:rsidRDefault="007F6743" w:rsidP="006F7BE3">
            <w:pPr>
              <w:jc w:val="center"/>
              <w:rPr>
                <w:lang w:val="en-US"/>
              </w:rPr>
            </w:pPr>
          </w:p>
        </w:tc>
        <w:tc>
          <w:tcPr>
            <w:tcW w:w="344" w:type="pct"/>
            <w:tcBorders>
              <w:top w:val="nil"/>
              <w:left w:val="nil"/>
              <w:bottom w:val="single" w:sz="4" w:space="0" w:color="5B9BD5"/>
              <w:right w:val="nil"/>
            </w:tcBorders>
            <w:shd w:val="clear" w:color="auto" w:fill="auto"/>
            <w:noWrap/>
            <w:vAlign w:val="bottom"/>
            <w:hideMark/>
          </w:tcPr>
          <w:p w:rsidR="007F6743" w:rsidRPr="00F45A80" w:rsidRDefault="007F6743" w:rsidP="006F7BE3">
            <w:pPr>
              <w:jc w:val="center"/>
              <w:rPr>
                <w:lang w:val="en-US"/>
              </w:rPr>
            </w:pPr>
          </w:p>
        </w:tc>
        <w:tc>
          <w:tcPr>
            <w:tcW w:w="344" w:type="pct"/>
            <w:tcBorders>
              <w:top w:val="nil"/>
              <w:left w:val="nil"/>
              <w:bottom w:val="single" w:sz="4" w:space="0" w:color="5B9BD5"/>
              <w:right w:val="nil"/>
            </w:tcBorders>
            <w:shd w:val="clear" w:color="auto" w:fill="auto"/>
            <w:noWrap/>
            <w:vAlign w:val="bottom"/>
            <w:hideMark/>
          </w:tcPr>
          <w:p w:rsidR="007F6743" w:rsidRPr="00F45A80" w:rsidRDefault="007F6743" w:rsidP="006F7BE3">
            <w:pPr>
              <w:jc w:val="center"/>
              <w:rPr>
                <w:lang w:val="en-US"/>
              </w:rPr>
            </w:pPr>
          </w:p>
        </w:tc>
        <w:tc>
          <w:tcPr>
            <w:tcW w:w="766" w:type="pct"/>
            <w:gridSpan w:val="2"/>
            <w:tcBorders>
              <w:top w:val="nil"/>
              <w:left w:val="nil"/>
              <w:bottom w:val="single" w:sz="4" w:space="0" w:color="5B9BD5"/>
              <w:right w:val="nil"/>
            </w:tcBorders>
            <w:shd w:val="clear" w:color="auto" w:fill="auto"/>
            <w:noWrap/>
            <w:vAlign w:val="bottom"/>
            <w:hideMark/>
          </w:tcPr>
          <w:p w:rsidR="007F6743" w:rsidRPr="00F45A80" w:rsidRDefault="007F6743" w:rsidP="006F7BE3">
            <w:pPr>
              <w:jc w:val="right"/>
              <w:rPr>
                <w:b/>
                <w:sz w:val="20"/>
                <w:szCs w:val="20"/>
                <w:lang w:val="en-US"/>
              </w:rPr>
            </w:pPr>
            <w:r w:rsidRPr="00F45A80">
              <w:rPr>
                <w:i/>
                <w:sz w:val="20"/>
                <w:szCs w:val="20"/>
                <w:lang w:val="en-US"/>
              </w:rPr>
              <w:t>(mln. USD)</w:t>
            </w:r>
          </w:p>
        </w:tc>
      </w:tr>
      <w:tr w:rsidR="007F6743" w:rsidRPr="00F45A80" w:rsidTr="007F6743">
        <w:trPr>
          <w:trHeight w:val="255"/>
        </w:trPr>
        <w:tc>
          <w:tcPr>
            <w:tcW w:w="1827" w:type="pct"/>
            <w:tcBorders>
              <w:top w:val="single" w:sz="4" w:space="0" w:color="5B9BD5"/>
            </w:tcBorders>
            <w:shd w:val="clear" w:color="auto" w:fill="BDD6EE" w:themeFill="accent1" w:themeFillTint="66"/>
            <w:noWrap/>
            <w:vAlign w:val="center"/>
            <w:hideMark/>
          </w:tcPr>
          <w:p w:rsidR="007F6743" w:rsidRPr="00F45A80" w:rsidRDefault="007F6743" w:rsidP="007F6743">
            <w:pPr>
              <w:jc w:val="center"/>
              <w:rPr>
                <w:rFonts w:cs="Calibri"/>
                <w:b/>
                <w:lang w:val="en-US"/>
              </w:rPr>
            </w:pPr>
            <w:r w:rsidRPr="00F45A80">
              <w:rPr>
                <w:rFonts w:cs="Calibri"/>
                <w:b/>
                <w:lang w:val="en-US"/>
              </w:rPr>
              <w:t>Type of creditor</w:t>
            </w:r>
          </w:p>
        </w:tc>
        <w:tc>
          <w:tcPr>
            <w:tcW w:w="344" w:type="pct"/>
            <w:tcBorders>
              <w:top w:val="single" w:sz="4" w:space="0" w:color="5B9BD5"/>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2021</w:t>
            </w:r>
          </w:p>
        </w:tc>
        <w:tc>
          <w:tcPr>
            <w:tcW w:w="344" w:type="pct"/>
            <w:tcBorders>
              <w:top w:val="single" w:sz="4" w:space="0" w:color="5B9BD5"/>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2022</w:t>
            </w:r>
          </w:p>
        </w:tc>
        <w:tc>
          <w:tcPr>
            <w:tcW w:w="344" w:type="pct"/>
            <w:tcBorders>
              <w:top w:val="single" w:sz="4" w:space="0" w:color="5B9BD5"/>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2023</w:t>
            </w:r>
          </w:p>
        </w:tc>
        <w:tc>
          <w:tcPr>
            <w:tcW w:w="344" w:type="pct"/>
            <w:tcBorders>
              <w:top w:val="single" w:sz="4" w:space="0" w:color="5B9BD5"/>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2024</w:t>
            </w:r>
          </w:p>
        </w:tc>
        <w:tc>
          <w:tcPr>
            <w:tcW w:w="344" w:type="pct"/>
            <w:tcBorders>
              <w:top w:val="single" w:sz="4" w:space="0" w:color="5B9BD5"/>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2025</w:t>
            </w:r>
          </w:p>
        </w:tc>
        <w:tc>
          <w:tcPr>
            <w:tcW w:w="344" w:type="pct"/>
            <w:tcBorders>
              <w:top w:val="single" w:sz="4" w:space="0" w:color="5B9BD5"/>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2026</w:t>
            </w:r>
          </w:p>
        </w:tc>
        <w:tc>
          <w:tcPr>
            <w:tcW w:w="344" w:type="pct"/>
            <w:tcBorders>
              <w:top w:val="single" w:sz="4" w:space="0" w:color="5B9BD5"/>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2027</w:t>
            </w:r>
          </w:p>
        </w:tc>
        <w:tc>
          <w:tcPr>
            <w:tcW w:w="344" w:type="pct"/>
            <w:tcBorders>
              <w:top w:val="single" w:sz="4" w:space="0" w:color="5B9BD5"/>
            </w:tcBorders>
            <w:shd w:val="clear" w:color="auto" w:fill="BDD6EE" w:themeFill="accent1" w:themeFillTint="66"/>
            <w:noWrap/>
            <w:vAlign w:val="center"/>
            <w:hideMark/>
          </w:tcPr>
          <w:p w:rsidR="007F6743" w:rsidRPr="00F45A80" w:rsidRDefault="007F6743" w:rsidP="007F6743">
            <w:pPr>
              <w:jc w:val="center"/>
              <w:rPr>
                <w:b/>
                <w:lang w:val="en-US"/>
              </w:rPr>
            </w:pPr>
            <w:r>
              <w:rPr>
                <w:rFonts w:cs="Calibri"/>
                <w:b/>
                <w:lang w:val="en-US"/>
              </w:rPr>
              <w:t>after 2027</w:t>
            </w:r>
          </w:p>
        </w:tc>
        <w:tc>
          <w:tcPr>
            <w:tcW w:w="422" w:type="pct"/>
            <w:tcBorders>
              <w:top w:val="single" w:sz="4" w:space="0" w:color="5B9BD5"/>
            </w:tcBorders>
            <w:shd w:val="clear" w:color="auto" w:fill="BDD6EE" w:themeFill="accent1" w:themeFillTint="66"/>
            <w:vAlign w:val="center"/>
            <w:hideMark/>
          </w:tcPr>
          <w:p w:rsidR="007F6743" w:rsidRPr="00F45A80" w:rsidRDefault="007F6743" w:rsidP="007F6743">
            <w:pPr>
              <w:jc w:val="center"/>
              <w:rPr>
                <w:b/>
                <w:lang w:val="en-US"/>
              </w:rPr>
            </w:pPr>
            <w:r>
              <w:rPr>
                <w:b/>
                <w:lang w:val="en-US"/>
              </w:rPr>
              <w:t>TOTAL</w:t>
            </w:r>
          </w:p>
        </w:tc>
      </w:tr>
      <w:tr w:rsidR="007F6743" w:rsidRPr="00F45A80" w:rsidTr="007F6743">
        <w:trPr>
          <w:trHeight w:val="557"/>
        </w:trPr>
        <w:tc>
          <w:tcPr>
            <w:tcW w:w="1827" w:type="pct"/>
            <w:shd w:val="clear" w:color="auto" w:fill="auto"/>
            <w:vAlign w:val="center"/>
            <w:hideMark/>
          </w:tcPr>
          <w:p w:rsidR="007F6743" w:rsidRPr="00F45A80" w:rsidRDefault="007F6743" w:rsidP="007F6743">
            <w:pPr>
              <w:rPr>
                <w:rFonts w:cs="Calibri"/>
                <w:lang w:val="en-US"/>
              </w:rPr>
            </w:pPr>
            <w:r w:rsidRPr="00F45A80">
              <w:rPr>
                <w:rFonts w:cs="Calibri"/>
                <w:lang w:val="en-US"/>
              </w:rPr>
              <w:t>Foreign banks and other financial institutions</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68,8</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19,8</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7,4</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3,0</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2,6</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1,6</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0,7</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w:t>
            </w:r>
          </w:p>
        </w:tc>
        <w:tc>
          <w:tcPr>
            <w:tcW w:w="422" w:type="pct"/>
            <w:shd w:val="clear" w:color="auto" w:fill="auto"/>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103,8</w:t>
            </w:r>
          </w:p>
        </w:tc>
      </w:tr>
      <w:tr w:rsidR="007F6743" w:rsidRPr="00F45A80" w:rsidTr="007F6743">
        <w:trPr>
          <w:trHeight w:val="409"/>
        </w:trPr>
        <w:tc>
          <w:tcPr>
            <w:tcW w:w="1827" w:type="pct"/>
            <w:shd w:val="clear" w:color="auto" w:fill="auto"/>
            <w:vAlign w:val="center"/>
            <w:hideMark/>
          </w:tcPr>
          <w:p w:rsidR="007F6743" w:rsidRPr="00F45A80" w:rsidRDefault="007F6743" w:rsidP="007F6743">
            <w:pPr>
              <w:rPr>
                <w:rFonts w:cs="Calibri"/>
                <w:lang w:val="en-US"/>
              </w:rPr>
            </w:pPr>
            <w:r w:rsidRPr="00F45A80">
              <w:rPr>
                <w:rFonts w:cs="Calibri"/>
                <w:lang w:val="en-US"/>
              </w:rPr>
              <w:t>Foreign parent companies and branches</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48,3</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30,8</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8,9</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31,5</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0,1</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0,1</w:t>
            </w:r>
          </w:p>
        </w:tc>
        <w:tc>
          <w:tcPr>
            <w:tcW w:w="422" w:type="pct"/>
            <w:shd w:val="clear" w:color="auto" w:fill="auto"/>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119,7</w:t>
            </w:r>
          </w:p>
        </w:tc>
      </w:tr>
      <w:tr w:rsidR="007F6743" w:rsidRPr="00F45A80" w:rsidTr="007F6743">
        <w:trPr>
          <w:trHeight w:val="359"/>
        </w:trPr>
        <w:tc>
          <w:tcPr>
            <w:tcW w:w="1827" w:type="pct"/>
            <w:shd w:val="clear" w:color="auto" w:fill="auto"/>
            <w:vAlign w:val="center"/>
            <w:hideMark/>
          </w:tcPr>
          <w:p w:rsidR="007F6743" w:rsidRPr="00F45A80" w:rsidRDefault="007F6743" w:rsidP="007F6743">
            <w:pPr>
              <w:rPr>
                <w:rFonts w:cs="Calibri"/>
                <w:lang w:val="en-US"/>
              </w:rPr>
            </w:pPr>
            <w:r w:rsidRPr="00F45A80">
              <w:rPr>
                <w:rFonts w:cs="Calibri"/>
                <w:lang w:val="en-US"/>
              </w:rPr>
              <w:t>Exporters and other private sources</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11,9</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0,4</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0,0</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0,0</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0,1</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w:t>
            </w:r>
          </w:p>
        </w:tc>
        <w:tc>
          <w:tcPr>
            <w:tcW w:w="422" w:type="pct"/>
            <w:shd w:val="clear" w:color="auto" w:fill="auto"/>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12,5</w:t>
            </w:r>
          </w:p>
        </w:tc>
      </w:tr>
      <w:tr w:rsidR="007F6743" w:rsidRPr="00F45A80" w:rsidTr="007F6743">
        <w:trPr>
          <w:trHeight w:val="705"/>
        </w:trPr>
        <w:tc>
          <w:tcPr>
            <w:tcW w:w="1827" w:type="pct"/>
            <w:shd w:val="clear" w:color="auto" w:fill="auto"/>
            <w:vAlign w:val="center"/>
            <w:hideMark/>
          </w:tcPr>
          <w:p w:rsidR="007F6743" w:rsidRPr="00F45A80" w:rsidRDefault="007F6743" w:rsidP="007F6743">
            <w:pPr>
              <w:rPr>
                <w:rFonts w:cs="Calibri"/>
                <w:lang w:val="en-US"/>
              </w:rPr>
            </w:pPr>
            <w:r w:rsidRPr="00F45A80">
              <w:rPr>
                <w:rFonts w:cs="Calibri"/>
                <w:lang w:val="en-US"/>
              </w:rPr>
              <w:t>Official sources (Governments and international institutions)</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12,4</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0,9</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w:t>
            </w:r>
          </w:p>
        </w:tc>
        <w:tc>
          <w:tcPr>
            <w:tcW w:w="344" w:type="pct"/>
            <w:shd w:val="clear" w:color="auto" w:fill="auto"/>
            <w:noWrap/>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w:t>
            </w:r>
          </w:p>
        </w:tc>
        <w:tc>
          <w:tcPr>
            <w:tcW w:w="422" w:type="pct"/>
            <w:shd w:val="clear" w:color="auto" w:fill="auto"/>
            <w:vAlign w:val="center"/>
            <w:hideMark/>
          </w:tcPr>
          <w:p w:rsidR="007F6743" w:rsidRPr="00C92486" w:rsidRDefault="007F6743" w:rsidP="007F6743">
            <w:pPr>
              <w:jc w:val="right"/>
              <w:rPr>
                <w:rFonts w:asciiTheme="minorHAnsi" w:hAnsiTheme="minorHAnsi" w:cstheme="minorHAnsi"/>
              </w:rPr>
            </w:pPr>
            <w:r w:rsidRPr="00C92486">
              <w:rPr>
                <w:rFonts w:asciiTheme="minorHAnsi" w:hAnsiTheme="minorHAnsi" w:cstheme="minorHAnsi"/>
              </w:rPr>
              <w:t>13,3</w:t>
            </w:r>
          </w:p>
        </w:tc>
      </w:tr>
      <w:tr w:rsidR="007F6743" w:rsidRPr="00F45A80" w:rsidTr="007F6743">
        <w:trPr>
          <w:trHeight w:val="255"/>
        </w:trPr>
        <w:tc>
          <w:tcPr>
            <w:tcW w:w="1827" w:type="pct"/>
            <w:shd w:val="clear" w:color="auto" w:fill="BDD6EE" w:themeFill="accent1" w:themeFillTint="66"/>
            <w:noWrap/>
            <w:vAlign w:val="center"/>
            <w:hideMark/>
          </w:tcPr>
          <w:p w:rsidR="007F6743" w:rsidRPr="00945122" w:rsidRDefault="007F6743" w:rsidP="007F6743">
            <w:pPr>
              <w:jc w:val="center"/>
              <w:rPr>
                <w:rFonts w:cs="Calibri"/>
                <w:lang w:val="en-US"/>
              </w:rPr>
            </w:pPr>
            <w:r w:rsidRPr="00945122">
              <w:rPr>
                <w:rFonts w:cs="Calibri"/>
                <w:lang w:val="en-US"/>
              </w:rPr>
              <w:t>TOTAL</w:t>
            </w:r>
          </w:p>
        </w:tc>
        <w:tc>
          <w:tcPr>
            <w:tcW w:w="344" w:type="pct"/>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141,5</w:t>
            </w:r>
          </w:p>
        </w:tc>
        <w:tc>
          <w:tcPr>
            <w:tcW w:w="344" w:type="pct"/>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51,9</w:t>
            </w:r>
          </w:p>
        </w:tc>
        <w:tc>
          <w:tcPr>
            <w:tcW w:w="344" w:type="pct"/>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16,3</w:t>
            </w:r>
          </w:p>
        </w:tc>
        <w:tc>
          <w:tcPr>
            <w:tcW w:w="344" w:type="pct"/>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34,6</w:t>
            </w:r>
          </w:p>
        </w:tc>
        <w:tc>
          <w:tcPr>
            <w:tcW w:w="344" w:type="pct"/>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2,7</w:t>
            </w:r>
          </w:p>
        </w:tc>
        <w:tc>
          <w:tcPr>
            <w:tcW w:w="344" w:type="pct"/>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1,6</w:t>
            </w:r>
          </w:p>
        </w:tc>
        <w:tc>
          <w:tcPr>
            <w:tcW w:w="344" w:type="pct"/>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0,7</w:t>
            </w:r>
          </w:p>
        </w:tc>
        <w:tc>
          <w:tcPr>
            <w:tcW w:w="344" w:type="pct"/>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0,1</w:t>
            </w:r>
          </w:p>
        </w:tc>
        <w:tc>
          <w:tcPr>
            <w:tcW w:w="422" w:type="pct"/>
            <w:shd w:val="clear" w:color="auto" w:fill="BDD6EE" w:themeFill="accent1" w:themeFillTint="66"/>
            <w:vAlign w:val="center"/>
            <w:hideMark/>
          </w:tcPr>
          <w:p w:rsidR="007F6743" w:rsidRPr="00C92486" w:rsidRDefault="007F6743" w:rsidP="007F6743">
            <w:pPr>
              <w:jc w:val="right"/>
              <w:rPr>
                <w:rFonts w:asciiTheme="minorHAnsi" w:hAnsiTheme="minorHAnsi" w:cstheme="minorHAnsi"/>
                <w:b/>
              </w:rPr>
            </w:pPr>
            <w:r w:rsidRPr="00C92486">
              <w:rPr>
                <w:rFonts w:asciiTheme="minorHAnsi" w:hAnsiTheme="minorHAnsi" w:cstheme="minorHAnsi"/>
                <w:b/>
              </w:rPr>
              <w:t>249,4</w:t>
            </w:r>
          </w:p>
        </w:tc>
      </w:tr>
    </w:tbl>
    <w:p w:rsidR="002A24A4" w:rsidRDefault="002A24A4" w:rsidP="009304D9">
      <w:pPr>
        <w:jc w:val="right"/>
        <w:rPr>
          <w:i/>
          <w:lang w:val="en-US"/>
        </w:rPr>
      </w:pPr>
    </w:p>
    <w:p w:rsidR="00752542" w:rsidRDefault="00752542" w:rsidP="009304D9">
      <w:pPr>
        <w:jc w:val="right"/>
        <w:rPr>
          <w:i/>
          <w:lang w:val="en-US"/>
        </w:rPr>
      </w:pPr>
    </w:p>
    <w:p w:rsidR="007F6743" w:rsidRDefault="007F6743" w:rsidP="009304D9">
      <w:pPr>
        <w:jc w:val="right"/>
        <w:rPr>
          <w:i/>
          <w:lang w:val="en-US"/>
        </w:rPr>
      </w:pPr>
    </w:p>
    <w:p w:rsidR="009304D9" w:rsidRPr="00F45A80" w:rsidRDefault="00A11907" w:rsidP="009304D9">
      <w:pPr>
        <w:jc w:val="right"/>
        <w:rPr>
          <w:i/>
          <w:lang w:val="en-US"/>
        </w:rPr>
      </w:pPr>
      <w:r>
        <w:rPr>
          <w:i/>
          <w:lang w:val="en-US"/>
        </w:rPr>
        <w:lastRenderedPageBreak/>
        <w:t>Addenda 1</w:t>
      </w:r>
      <w:r w:rsidR="007F6743">
        <w:rPr>
          <w:i/>
          <w:lang w:val="en-US"/>
        </w:rPr>
        <w:t>4</w:t>
      </w:r>
      <w:r>
        <w:rPr>
          <w:i/>
          <w:lang w:val="en-US"/>
        </w:rPr>
        <w:t>.3</w:t>
      </w:r>
    </w:p>
    <w:p w:rsidR="009304D9" w:rsidRPr="00F45A80" w:rsidRDefault="009304D9" w:rsidP="009304D9">
      <w:pPr>
        <w:jc w:val="center"/>
        <w:rPr>
          <w:b/>
          <w:lang w:val="en-US"/>
        </w:rPr>
      </w:pPr>
    </w:p>
    <w:p w:rsidR="009304D9" w:rsidRPr="00F45A80" w:rsidRDefault="009304D9" w:rsidP="009304D9">
      <w:pPr>
        <w:jc w:val="center"/>
        <w:rPr>
          <w:b/>
          <w:lang w:val="en-US"/>
        </w:rPr>
      </w:pPr>
      <w:r w:rsidRPr="00B30F70">
        <w:rPr>
          <w:rFonts w:cs="Calibri"/>
          <w:b/>
          <w:sz w:val="26"/>
          <w:szCs w:val="26"/>
          <w:lang w:val="en-US"/>
        </w:rPr>
        <w:t xml:space="preserve">INFORMATION ON RECEIPTS AND PAYMENTS OF PRIVATE EXTERNAL DEBT </w:t>
      </w:r>
      <w:r w:rsidR="00752542">
        <w:rPr>
          <w:rFonts w:cs="Calibri"/>
          <w:b/>
          <w:sz w:val="26"/>
          <w:szCs w:val="26"/>
          <w:lang w:val="en-US"/>
        </w:rPr>
        <w:t>FOR</w:t>
      </w:r>
      <w:r w:rsidRPr="00B30F70">
        <w:rPr>
          <w:rFonts w:cs="Calibri"/>
          <w:b/>
          <w:sz w:val="26"/>
          <w:szCs w:val="26"/>
          <w:lang w:val="en-US"/>
        </w:rPr>
        <w:t xml:space="preserve"> 20</w:t>
      </w:r>
      <w:r w:rsidR="00212540">
        <w:rPr>
          <w:rFonts w:cs="Calibri"/>
          <w:b/>
          <w:sz w:val="26"/>
          <w:szCs w:val="26"/>
          <w:lang w:val="en-US"/>
        </w:rPr>
        <w:t>20</w:t>
      </w:r>
      <w:r w:rsidRPr="00BD3E98">
        <w:rPr>
          <w:rFonts w:cs="Calibri"/>
          <w:b/>
          <w:sz w:val="26"/>
          <w:szCs w:val="26"/>
          <w:lang w:val="en-US"/>
        </w:rPr>
        <w:br/>
      </w:r>
      <w:r w:rsidRPr="00F45A80">
        <w:rPr>
          <w:rFonts w:cs="Calibri"/>
          <w:i/>
          <w:lang w:val="en-US"/>
        </w:rPr>
        <w:t>(</w:t>
      </w:r>
      <w:r w:rsidR="004679FF" w:rsidRPr="00F45A80">
        <w:rPr>
          <w:rFonts w:cs="Calibri"/>
          <w:i/>
          <w:lang w:val="en-US"/>
        </w:rPr>
        <w:t>Type of borrower</w:t>
      </w:r>
      <w:r w:rsidRPr="00F45A80">
        <w:rPr>
          <w:rFonts w:cs="Calibri"/>
          <w:i/>
          <w:lang w:val="en-US"/>
        </w:rPr>
        <w:t xml:space="preserve">: </w:t>
      </w:r>
      <w:r w:rsidR="004679FF" w:rsidRPr="00F45A80">
        <w:rPr>
          <w:rFonts w:cs="Calibri"/>
          <w:i/>
          <w:lang w:val="en-US"/>
        </w:rPr>
        <w:t>banks</w:t>
      </w:r>
      <w:r w:rsidRPr="00F45A80">
        <w:rPr>
          <w:rFonts w:cs="Calibri"/>
          <w:i/>
          <w:lang w:val="en-US"/>
        </w:rPr>
        <w:t>)</w:t>
      </w:r>
    </w:p>
    <w:p w:rsidR="009304D9" w:rsidRPr="00F45A80" w:rsidRDefault="009304D9" w:rsidP="009304D9">
      <w:pPr>
        <w:ind w:right="-172"/>
        <w:jc w:val="right"/>
        <w:rPr>
          <w:i/>
          <w:sz w:val="20"/>
          <w:szCs w:val="20"/>
          <w:lang w:val="en-US"/>
        </w:rPr>
      </w:pPr>
      <w:r w:rsidRPr="00F45A80">
        <w:rPr>
          <w:i/>
          <w:sz w:val="20"/>
          <w:szCs w:val="20"/>
          <w:lang w:val="en-US"/>
        </w:rPr>
        <w:t xml:space="preserve"> (mln. USD)</w:t>
      </w:r>
    </w:p>
    <w:tbl>
      <w:tblPr>
        <w:tblW w:w="14992" w:type="dxa"/>
        <w:tblInd w:w="27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30"/>
        <w:gridCol w:w="1833"/>
        <w:gridCol w:w="1565"/>
        <w:gridCol w:w="1576"/>
        <w:gridCol w:w="1556"/>
        <w:gridCol w:w="1765"/>
        <w:gridCol w:w="1765"/>
        <w:gridCol w:w="1702"/>
      </w:tblGrid>
      <w:tr w:rsidR="009304D9" w:rsidRPr="00F45A80" w:rsidTr="00832C1D">
        <w:trPr>
          <w:trHeight w:val="255"/>
        </w:trPr>
        <w:tc>
          <w:tcPr>
            <w:tcW w:w="3230" w:type="dxa"/>
            <w:vMerge w:val="restart"/>
            <w:shd w:val="clear" w:color="auto" w:fill="BDD6EE" w:themeFill="accent1" w:themeFillTint="66"/>
            <w:vAlign w:val="center"/>
            <w:hideMark/>
          </w:tcPr>
          <w:p w:rsidR="009304D9" w:rsidRPr="00F45A80" w:rsidRDefault="009304D9" w:rsidP="006F7BE3">
            <w:pPr>
              <w:jc w:val="center"/>
              <w:rPr>
                <w:b/>
                <w:lang w:val="en-US"/>
              </w:rPr>
            </w:pPr>
            <w:r w:rsidRPr="00F45A80">
              <w:rPr>
                <w:rFonts w:cs="Calibri"/>
                <w:b/>
                <w:lang w:val="en-US"/>
              </w:rPr>
              <w:t>Type of creditor</w:t>
            </w:r>
          </w:p>
        </w:tc>
        <w:tc>
          <w:tcPr>
            <w:tcW w:w="1833" w:type="dxa"/>
            <w:shd w:val="clear" w:color="auto" w:fill="BDD6EE" w:themeFill="accent1" w:themeFillTint="66"/>
            <w:vAlign w:val="center"/>
            <w:hideMark/>
          </w:tcPr>
          <w:p w:rsidR="009304D9" w:rsidRPr="00F45A80" w:rsidRDefault="009304D9" w:rsidP="006F7BE3">
            <w:pPr>
              <w:jc w:val="center"/>
              <w:rPr>
                <w:rFonts w:cs="Calibri"/>
                <w:b/>
                <w:lang w:val="en-US"/>
              </w:rPr>
            </w:pPr>
            <w:r w:rsidRPr="00F45A80">
              <w:rPr>
                <w:rFonts w:cs="Calibri"/>
                <w:b/>
                <w:lang w:val="en-US"/>
              </w:rPr>
              <w:t xml:space="preserve">Beginning of </w:t>
            </w:r>
          </w:p>
          <w:p w:rsidR="009304D9" w:rsidRPr="00F45A80" w:rsidRDefault="009304D9" w:rsidP="006F7BE3">
            <w:pPr>
              <w:jc w:val="center"/>
              <w:rPr>
                <w:b/>
                <w:lang w:val="en-US"/>
              </w:rPr>
            </w:pPr>
            <w:r w:rsidRPr="00F45A80">
              <w:rPr>
                <w:rFonts w:cs="Calibri"/>
                <w:b/>
                <w:lang w:val="en-US"/>
              </w:rPr>
              <w:t>period</w:t>
            </w:r>
          </w:p>
        </w:tc>
        <w:tc>
          <w:tcPr>
            <w:tcW w:w="8227" w:type="dxa"/>
            <w:gridSpan w:val="5"/>
            <w:shd w:val="clear" w:color="auto" w:fill="BDD6EE" w:themeFill="accent1" w:themeFillTint="66"/>
            <w:noWrap/>
            <w:vAlign w:val="center"/>
            <w:hideMark/>
          </w:tcPr>
          <w:p w:rsidR="009304D9" w:rsidRPr="00F45A80" w:rsidRDefault="009304D9" w:rsidP="006F7BE3">
            <w:pPr>
              <w:jc w:val="center"/>
              <w:rPr>
                <w:b/>
                <w:lang w:val="en-US"/>
              </w:rPr>
            </w:pPr>
            <w:r w:rsidRPr="00F45A80">
              <w:rPr>
                <w:rFonts w:cs="Calibri"/>
                <w:b/>
                <w:lang w:val="en-US"/>
              </w:rPr>
              <w:t>Dynamics during the period.</w:t>
            </w:r>
          </w:p>
        </w:tc>
        <w:tc>
          <w:tcPr>
            <w:tcW w:w="1702" w:type="dxa"/>
            <w:shd w:val="clear" w:color="auto" w:fill="BDD6EE" w:themeFill="accent1" w:themeFillTint="66"/>
            <w:vAlign w:val="center"/>
            <w:hideMark/>
          </w:tcPr>
          <w:p w:rsidR="009304D9" w:rsidRPr="00F45A80" w:rsidRDefault="009304D9" w:rsidP="006F7BE3">
            <w:pPr>
              <w:jc w:val="center"/>
              <w:rPr>
                <w:rFonts w:cs="Calibri"/>
                <w:b/>
                <w:lang w:val="en-US"/>
              </w:rPr>
            </w:pPr>
            <w:r w:rsidRPr="00F45A80">
              <w:rPr>
                <w:rFonts w:cs="Calibri"/>
                <w:b/>
                <w:lang w:val="en-US"/>
              </w:rPr>
              <w:t>End of period</w:t>
            </w:r>
          </w:p>
        </w:tc>
      </w:tr>
      <w:tr w:rsidR="0046749D" w:rsidRPr="00F45A80" w:rsidTr="00832C1D">
        <w:trPr>
          <w:trHeight w:val="510"/>
        </w:trPr>
        <w:tc>
          <w:tcPr>
            <w:tcW w:w="3230" w:type="dxa"/>
            <w:vMerge/>
            <w:shd w:val="clear" w:color="auto" w:fill="BDD6EE" w:themeFill="accent1" w:themeFillTint="66"/>
            <w:vAlign w:val="center"/>
            <w:hideMark/>
          </w:tcPr>
          <w:p w:rsidR="0046749D" w:rsidRPr="00F45A80" w:rsidRDefault="0046749D" w:rsidP="0046749D">
            <w:pPr>
              <w:rPr>
                <w:b/>
                <w:lang w:val="en-US"/>
              </w:rPr>
            </w:pPr>
          </w:p>
        </w:tc>
        <w:tc>
          <w:tcPr>
            <w:tcW w:w="1833" w:type="dxa"/>
            <w:shd w:val="clear" w:color="auto" w:fill="BDD6EE" w:themeFill="accent1" w:themeFillTint="66"/>
            <w:vAlign w:val="center"/>
            <w:hideMark/>
          </w:tcPr>
          <w:p w:rsidR="0046749D" w:rsidRPr="00F45A80" w:rsidRDefault="0046749D" w:rsidP="0046749D">
            <w:pPr>
              <w:jc w:val="center"/>
              <w:rPr>
                <w:rFonts w:cs="Calibri"/>
                <w:b/>
                <w:lang w:val="en-US"/>
              </w:rPr>
            </w:pPr>
            <w:r w:rsidRPr="00F45A80">
              <w:rPr>
                <w:rFonts w:cs="Calibri"/>
                <w:b/>
                <w:lang w:val="en-US"/>
              </w:rPr>
              <w:t>Actual debt</w:t>
            </w:r>
          </w:p>
        </w:tc>
        <w:tc>
          <w:tcPr>
            <w:tcW w:w="1565" w:type="dxa"/>
            <w:shd w:val="clear" w:color="auto" w:fill="BDD6EE" w:themeFill="accent1" w:themeFillTint="66"/>
            <w:vAlign w:val="center"/>
            <w:hideMark/>
          </w:tcPr>
          <w:p w:rsidR="0046749D" w:rsidRPr="00F45A80" w:rsidRDefault="0046749D" w:rsidP="0046749D">
            <w:pPr>
              <w:jc w:val="center"/>
              <w:rPr>
                <w:rFonts w:cs="Calibri"/>
                <w:b/>
                <w:lang w:val="en-US"/>
              </w:rPr>
            </w:pPr>
            <w:r w:rsidRPr="00F45A80">
              <w:rPr>
                <w:rFonts w:cs="Calibri"/>
                <w:b/>
                <w:lang w:val="en-US"/>
              </w:rPr>
              <w:t>Receipts</w:t>
            </w:r>
          </w:p>
        </w:tc>
        <w:tc>
          <w:tcPr>
            <w:tcW w:w="1576" w:type="dxa"/>
            <w:shd w:val="clear" w:color="auto" w:fill="BDD6EE" w:themeFill="accent1" w:themeFillTint="66"/>
            <w:vAlign w:val="center"/>
            <w:hideMark/>
          </w:tcPr>
          <w:p w:rsidR="0046749D" w:rsidRPr="00F45A80" w:rsidRDefault="0046749D" w:rsidP="0046749D">
            <w:pPr>
              <w:jc w:val="center"/>
              <w:rPr>
                <w:rFonts w:cs="Calibri"/>
                <w:b/>
                <w:lang w:val="en-US"/>
              </w:rPr>
            </w:pPr>
            <w:r w:rsidRPr="00F45A80">
              <w:rPr>
                <w:rFonts w:cs="Calibri"/>
                <w:b/>
                <w:lang w:val="en-US"/>
              </w:rPr>
              <w:t>Repayment of</w:t>
            </w:r>
          </w:p>
          <w:p w:rsidR="0046749D" w:rsidRPr="00F45A80" w:rsidRDefault="0046749D" w:rsidP="0046749D">
            <w:pPr>
              <w:jc w:val="center"/>
              <w:rPr>
                <w:rFonts w:cs="Calibri"/>
                <w:b/>
                <w:lang w:val="en-US"/>
              </w:rPr>
            </w:pPr>
            <w:r w:rsidRPr="00F45A80">
              <w:rPr>
                <w:rFonts w:cs="Calibri"/>
                <w:b/>
                <w:lang w:val="en-US"/>
              </w:rPr>
              <w:t>principal debt.</w:t>
            </w:r>
          </w:p>
        </w:tc>
        <w:tc>
          <w:tcPr>
            <w:tcW w:w="1556" w:type="dxa"/>
            <w:shd w:val="clear" w:color="auto" w:fill="BDD6EE" w:themeFill="accent1" w:themeFillTint="66"/>
            <w:vAlign w:val="center"/>
            <w:hideMark/>
          </w:tcPr>
          <w:p w:rsidR="0046749D" w:rsidRPr="00F45A80" w:rsidRDefault="0046749D" w:rsidP="0046749D">
            <w:pPr>
              <w:jc w:val="center"/>
              <w:rPr>
                <w:rFonts w:cs="Calibri"/>
                <w:b/>
                <w:lang w:val="en-US"/>
              </w:rPr>
            </w:pPr>
            <w:r w:rsidRPr="00F45A80">
              <w:rPr>
                <w:rFonts w:cs="Calibri"/>
                <w:b/>
                <w:lang w:val="en-US"/>
              </w:rPr>
              <w:t xml:space="preserve">Interest </w:t>
            </w:r>
          </w:p>
          <w:p w:rsidR="0046749D" w:rsidRPr="00F45A80" w:rsidRDefault="0046749D" w:rsidP="0046749D">
            <w:pPr>
              <w:jc w:val="center"/>
              <w:rPr>
                <w:rFonts w:cs="Calibri"/>
                <w:b/>
                <w:lang w:val="en-US"/>
              </w:rPr>
            </w:pPr>
            <w:r w:rsidRPr="00F45A80">
              <w:rPr>
                <w:rFonts w:cs="Calibri"/>
                <w:b/>
                <w:lang w:val="en-US"/>
              </w:rPr>
              <w:t>payments</w:t>
            </w:r>
          </w:p>
        </w:tc>
        <w:tc>
          <w:tcPr>
            <w:tcW w:w="1765" w:type="dxa"/>
            <w:shd w:val="clear" w:color="auto" w:fill="BDD6EE" w:themeFill="accent1" w:themeFillTint="66"/>
            <w:vAlign w:val="center"/>
            <w:hideMark/>
          </w:tcPr>
          <w:p w:rsidR="0046749D" w:rsidRPr="00F45A80" w:rsidRDefault="0046749D" w:rsidP="0046749D">
            <w:pPr>
              <w:jc w:val="center"/>
              <w:rPr>
                <w:rFonts w:cs="Calibri"/>
                <w:b/>
                <w:lang w:val="en-US"/>
              </w:rPr>
            </w:pPr>
            <w:r w:rsidRPr="00F45A80">
              <w:rPr>
                <w:rFonts w:cs="Calibri"/>
                <w:b/>
                <w:lang w:val="en-US"/>
              </w:rPr>
              <w:t>Rescheduled</w:t>
            </w:r>
          </w:p>
          <w:p w:rsidR="0046749D" w:rsidRPr="00F45A80" w:rsidRDefault="0046749D" w:rsidP="0046749D">
            <w:pPr>
              <w:jc w:val="center"/>
              <w:rPr>
                <w:rFonts w:cs="Calibri"/>
                <w:b/>
                <w:lang w:val="en-US"/>
              </w:rPr>
            </w:pPr>
            <w:r w:rsidRPr="00F45A80">
              <w:rPr>
                <w:rFonts w:cs="Calibri"/>
                <w:b/>
                <w:lang w:val="en-US"/>
              </w:rPr>
              <w:t xml:space="preserve">principal debt </w:t>
            </w:r>
          </w:p>
          <w:p w:rsidR="0046749D" w:rsidRPr="00F45A80" w:rsidRDefault="0046749D" w:rsidP="0046749D">
            <w:pPr>
              <w:jc w:val="center"/>
              <w:rPr>
                <w:rFonts w:cs="Calibri"/>
                <w:b/>
                <w:lang w:val="en-US"/>
              </w:rPr>
            </w:pPr>
            <w:r w:rsidRPr="00F45A80">
              <w:rPr>
                <w:rFonts w:cs="Calibri"/>
                <w:b/>
                <w:lang w:val="en-US"/>
              </w:rPr>
              <w:t>payments</w:t>
            </w:r>
          </w:p>
        </w:tc>
        <w:tc>
          <w:tcPr>
            <w:tcW w:w="1765" w:type="dxa"/>
            <w:shd w:val="clear" w:color="auto" w:fill="BDD6EE" w:themeFill="accent1" w:themeFillTint="66"/>
            <w:vAlign w:val="center"/>
            <w:hideMark/>
          </w:tcPr>
          <w:p w:rsidR="0046749D" w:rsidRPr="00F45A80" w:rsidRDefault="0046749D" w:rsidP="0046749D">
            <w:pPr>
              <w:jc w:val="center"/>
              <w:rPr>
                <w:rFonts w:cs="Calibri"/>
                <w:b/>
                <w:lang w:val="en-US"/>
              </w:rPr>
            </w:pPr>
            <w:r w:rsidRPr="00F45A80">
              <w:rPr>
                <w:rFonts w:cs="Calibri"/>
                <w:b/>
                <w:lang w:val="en-US"/>
              </w:rPr>
              <w:t>Rescheduled</w:t>
            </w:r>
          </w:p>
          <w:p w:rsidR="0046749D" w:rsidRPr="00F45A80" w:rsidRDefault="0046749D" w:rsidP="0046749D">
            <w:pPr>
              <w:jc w:val="center"/>
              <w:rPr>
                <w:rFonts w:cs="Calibri"/>
                <w:b/>
                <w:lang w:val="en-US"/>
              </w:rPr>
            </w:pPr>
            <w:r w:rsidRPr="00F45A80">
              <w:rPr>
                <w:rFonts w:cs="Calibri"/>
                <w:b/>
                <w:lang w:val="en-US"/>
              </w:rPr>
              <w:t xml:space="preserve">interest </w:t>
            </w:r>
          </w:p>
          <w:p w:rsidR="0046749D" w:rsidRPr="00F45A80" w:rsidRDefault="0046749D" w:rsidP="0046749D">
            <w:pPr>
              <w:jc w:val="center"/>
              <w:rPr>
                <w:rFonts w:cs="Calibri"/>
                <w:b/>
                <w:lang w:val="en-US"/>
              </w:rPr>
            </w:pPr>
            <w:r w:rsidRPr="00F45A80">
              <w:rPr>
                <w:rFonts w:cs="Calibri"/>
                <w:b/>
                <w:lang w:val="en-US"/>
              </w:rPr>
              <w:t>payments</w:t>
            </w:r>
          </w:p>
        </w:tc>
        <w:tc>
          <w:tcPr>
            <w:tcW w:w="1702" w:type="dxa"/>
            <w:shd w:val="clear" w:color="auto" w:fill="BDD6EE" w:themeFill="accent1" w:themeFillTint="66"/>
            <w:vAlign w:val="center"/>
            <w:hideMark/>
          </w:tcPr>
          <w:p w:rsidR="0046749D" w:rsidRPr="00F45A80" w:rsidRDefault="0046749D" w:rsidP="0046749D">
            <w:pPr>
              <w:jc w:val="center"/>
              <w:rPr>
                <w:rFonts w:cs="Calibri"/>
                <w:b/>
                <w:lang w:val="en-US"/>
              </w:rPr>
            </w:pPr>
            <w:r w:rsidRPr="00F45A80">
              <w:rPr>
                <w:rFonts w:cs="Calibri"/>
                <w:b/>
                <w:lang w:val="en-US"/>
              </w:rPr>
              <w:t>Actual debt</w:t>
            </w:r>
          </w:p>
        </w:tc>
      </w:tr>
      <w:tr w:rsidR="009304D9" w:rsidRPr="00F45A80" w:rsidTr="004817AF">
        <w:trPr>
          <w:trHeight w:val="255"/>
        </w:trPr>
        <w:tc>
          <w:tcPr>
            <w:tcW w:w="3230" w:type="dxa"/>
            <w:shd w:val="clear" w:color="auto" w:fill="auto"/>
            <w:noWrap/>
            <w:vAlign w:val="center"/>
            <w:hideMark/>
          </w:tcPr>
          <w:p w:rsidR="009304D9" w:rsidRPr="00F45A80" w:rsidRDefault="009304D9" w:rsidP="006F7BE3">
            <w:pPr>
              <w:jc w:val="center"/>
              <w:rPr>
                <w:lang w:val="en-US"/>
              </w:rPr>
            </w:pPr>
            <w:r w:rsidRPr="00F45A80">
              <w:rPr>
                <w:lang w:val="en-US"/>
              </w:rPr>
              <w:t>1</w:t>
            </w:r>
          </w:p>
        </w:tc>
        <w:tc>
          <w:tcPr>
            <w:tcW w:w="1833" w:type="dxa"/>
            <w:shd w:val="clear" w:color="auto" w:fill="auto"/>
            <w:noWrap/>
            <w:vAlign w:val="center"/>
            <w:hideMark/>
          </w:tcPr>
          <w:p w:rsidR="009304D9" w:rsidRPr="00F45A80" w:rsidRDefault="009304D9" w:rsidP="006F7BE3">
            <w:pPr>
              <w:jc w:val="center"/>
              <w:rPr>
                <w:lang w:val="en-US"/>
              </w:rPr>
            </w:pPr>
            <w:r w:rsidRPr="00F45A80">
              <w:rPr>
                <w:lang w:val="en-US"/>
              </w:rPr>
              <w:t>2</w:t>
            </w:r>
          </w:p>
        </w:tc>
        <w:tc>
          <w:tcPr>
            <w:tcW w:w="1565" w:type="dxa"/>
            <w:shd w:val="clear" w:color="auto" w:fill="auto"/>
            <w:noWrap/>
            <w:vAlign w:val="center"/>
            <w:hideMark/>
          </w:tcPr>
          <w:p w:rsidR="009304D9" w:rsidRPr="00F45A80" w:rsidRDefault="009304D9" w:rsidP="006F7BE3">
            <w:pPr>
              <w:jc w:val="center"/>
              <w:rPr>
                <w:lang w:val="en-US"/>
              </w:rPr>
            </w:pPr>
            <w:r w:rsidRPr="00F45A80">
              <w:rPr>
                <w:lang w:val="en-US"/>
              </w:rPr>
              <w:t>3</w:t>
            </w:r>
          </w:p>
        </w:tc>
        <w:tc>
          <w:tcPr>
            <w:tcW w:w="1576" w:type="dxa"/>
            <w:shd w:val="clear" w:color="auto" w:fill="auto"/>
            <w:noWrap/>
            <w:vAlign w:val="center"/>
            <w:hideMark/>
          </w:tcPr>
          <w:p w:rsidR="009304D9" w:rsidRPr="00F45A80" w:rsidRDefault="009304D9" w:rsidP="006F7BE3">
            <w:pPr>
              <w:jc w:val="center"/>
              <w:rPr>
                <w:lang w:val="en-US"/>
              </w:rPr>
            </w:pPr>
            <w:r w:rsidRPr="00F45A80">
              <w:rPr>
                <w:lang w:val="en-US"/>
              </w:rPr>
              <w:t>4</w:t>
            </w:r>
          </w:p>
        </w:tc>
        <w:tc>
          <w:tcPr>
            <w:tcW w:w="1556" w:type="dxa"/>
            <w:shd w:val="clear" w:color="auto" w:fill="auto"/>
            <w:noWrap/>
            <w:vAlign w:val="center"/>
            <w:hideMark/>
          </w:tcPr>
          <w:p w:rsidR="009304D9" w:rsidRPr="00F45A80" w:rsidRDefault="009304D9" w:rsidP="006F7BE3">
            <w:pPr>
              <w:jc w:val="center"/>
              <w:rPr>
                <w:lang w:val="en-US"/>
              </w:rPr>
            </w:pPr>
            <w:r w:rsidRPr="00F45A80">
              <w:rPr>
                <w:lang w:val="en-US"/>
              </w:rPr>
              <w:t>5</w:t>
            </w:r>
          </w:p>
        </w:tc>
        <w:tc>
          <w:tcPr>
            <w:tcW w:w="1765" w:type="dxa"/>
            <w:shd w:val="clear" w:color="auto" w:fill="auto"/>
            <w:noWrap/>
            <w:vAlign w:val="center"/>
            <w:hideMark/>
          </w:tcPr>
          <w:p w:rsidR="009304D9" w:rsidRPr="00F45A80" w:rsidRDefault="009304D9" w:rsidP="006F7BE3">
            <w:pPr>
              <w:jc w:val="center"/>
              <w:rPr>
                <w:lang w:val="en-US"/>
              </w:rPr>
            </w:pPr>
            <w:r w:rsidRPr="00F45A80">
              <w:rPr>
                <w:lang w:val="en-US"/>
              </w:rPr>
              <w:t>6</w:t>
            </w:r>
          </w:p>
        </w:tc>
        <w:tc>
          <w:tcPr>
            <w:tcW w:w="1765" w:type="dxa"/>
            <w:shd w:val="clear" w:color="auto" w:fill="auto"/>
            <w:noWrap/>
            <w:vAlign w:val="center"/>
            <w:hideMark/>
          </w:tcPr>
          <w:p w:rsidR="009304D9" w:rsidRPr="00F45A80" w:rsidRDefault="009304D9" w:rsidP="006F7BE3">
            <w:pPr>
              <w:jc w:val="center"/>
              <w:rPr>
                <w:lang w:val="en-US"/>
              </w:rPr>
            </w:pPr>
            <w:r w:rsidRPr="00F45A80">
              <w:rPr>
                <w:lang w:val="en-US"/>
              </w:rPr>
              <w:t>7</w:t>
            </w:r>
          </w:p>
        </w:tc>
        <w:tc>
          <w:tcPr>
            <w:tcW w:w="1702" w:type="dxa"/>
            <w:shd w:val="clear" w:color="auto" w:fill="auto"/>
            <w:noWrap/>
            <w:vAlign w:val="center"/>
            <w:hideMark/>
          </w:tcPr>
          <w:p w:rsidR="009304D9" w:rsidRPr="00F45A80" w:rsidRDefault="009304D9" w:rsidP="006F7BE3">
            <w:pPr>
              <w:jc w:val="center"/>
              <w:rPr>
                <w:lang w:val="en-US"/>
              </w:rPr>
            </w:pPr>
            <w:r w:rsidRPr="00F45A80">
              <w:rPr>
                <w:lang w:val="en-US"/>
              </w:rPr>
              <w:t>8</w:t>
            </w:r>
          </w:p>
        </w:tc>
      </w:tr>
      <w:tr w:rsidR="007F6743" w:rsidRPr="00F45A80" w:rsidTr="004817AF">
        <w:trPr>
          <w:trHeight w:val="765"/>
        </w:trPr>
        <w:tc>
          <w:tcPr>
            <w:tcW w:w="3230" w:type="dxa"/>
            <w:shd w:val="clear" w:color="auto" w:fill="auto"/>
            <w:vAlign w:val="center"/>
            <w:hideMark/>
          </w:tcPr>
          <w:p w:rsidR="007F6743" w:rsidRPr="00F45A80" w:rsidRDefault="007F6743" w:rsidP="007F6743">
            <w:pPr>
              <w:rPr>
                <w:rFonts w:cs="Calibri"/>
                <w:lang w:val="en-US"/>
              </w:rPr>
            </w:pPr>
            <w:r w:rsidRPr="00F45A80">
              <w:rPr>
                <w:rFonts w:cs="Calibri"/>
                <w:lang w:val="en-US"/>
              </w:rPr>
              <w:t>Foreign banks and other financial institutions</w:t>
            </w:r>
          </w:p>
        </w:tc>
        <w:tc>
          <w:tcPr>
            <w:tcW w:w="1833"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2 214,7</w:t>
            </w:r>
          </w:p>
        </w:tc>
        <w:tc>
          <w:tcPr>
            <w:tcW w:w="1565"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3 434,4</w:t>
            </w:r>
          </w:p>
        </w:tc>
        <w:tc>
          <w:tcPr>
            <w:tcW w:w="1576"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1 051,7</w:t>
            </w:r>
          </w:p>
        </w:tc>
        <w:tc>
          <w:tcPr>
            <w:tcW w:w="1556"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134,4</w:t>
            </w:r>
          </w:p>
        </w:tc>
        <w:tc>
          <w:tcPr>
            <w:tcW w:w="1765"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765"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702"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4 753,0</w:t>
            </w:r>
          </w:p>
        </w:tc>
      </w:tr>
      <w:tr w:rsidR="007F6743" w:rsidRPr="00F45A80" w:rsidTr="004817AF">
        <w:trPr>
          <w:trHeight w:val="510"/>
        </w:trPr>
        <w:tc>
          <w:tcPr>
            <w:tcW w:w="3230" w:type="dxa"/>
            <w:shd w:val="clear" w:color="auto" w:fill="auto"/>
            <w:vAlign w:val="center"/>
            <w:hideMark/>
          </w:tcPr>
          <w:p w:rsidR="007F6743" w:rsidRPr="00F45A80" w:rsidRDefault="007F6743" w:rsidP="007F6743">
            <w:pPr>
              <w:rPr>
                <w:rFonts w:cs="Calibri"/>
                <w:lang w:val="en-US"/>
              </w:rPr>
            </w:pPr>
            <w:r w:rsidRPr="00F45A80">
              <w:rPr>
                <w:rFonts w:cs="Calibri"/>
                <w:lang w:val="en-US"/>
              </w:rPr>
              <w:t>Foreign parent companies and branches</w:t>
            </w:r>
          </w:p>
        </w:tc>
        <w:tc>
          <w:tcPr>
            <w:tcW w:w="1833"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565"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576"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556"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765"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765"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702"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r>
      <w:tr w:rsidR="007F6743" w:rsidRPr="00F45A80" w:rsidTr="004817AF">
        <w:trPr>
          <w:trHeight w:val="510"/>
        </w:trPr>
        <w:tc>
          <w:tcPr>
            <w:tcW w:w="3230" w:type="dxa"/>
            <w:shd w:val="clear" w:color="auto" w:fill="auto"/>
            <w:vAlign w:val="center"/>
            <w:hideMark/>
          </w:tcPr>
          <w:p w:rsidR="007F6743" w:rsidRPr="00F45A80" w:rsidRDefault="007F6743" w:rsidP="007F6743">
            <w:pPr>
              <w:rPr>
                <w:rFonts w:cs="Calibri"/>
                <w:lang w:val="en-US"/>
              </w:rPr>
            </w:pPr>
            <w:r w:rsidRPr="00F45A80">
              <w:rPr>
                <w:rFonts w:cs="Calibri"/>
                <w:lang w:val="en-US"/>
              </w:rPr>
              <w:t>Exporters and other private sources</w:t>
            </w:r>
          </w:p>
        </w:tc>
        <w:tc>
          <w:tcPr>
            <w:tcW w:w="1833"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108,6</w:t>
            </w:r>
          </w:p>
        </w:tc>
        <w:tc>
          <w:tcPr>
            <w:tcW w:w="1565"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79,6</w:t>
            </w:r>
          </w:p>
        </w:tc>
        <w:tc>
          <w:tcPr>
            <w:tcW w:w="1576"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5,2</w:t>
            </w:r>
          </w:p>
        </w:tc>
        <w:tc>
          <w:tcPr>
            <w:tcW w:w="1556"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9,5</w:t>
            </w:r>
          </w:p>
        </w:tc>
        <w:tc>
          <w:tcPr>
            <w:tcW w:w="1765"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765"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702"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189,9</w:t>
            </w:r>
          </w:p>
        </w:tc>
      </w:tr>
      <w:tr w:rsidR="007F6743" w:rsidRPr="00F45A80" w:rsidTr="004817AF">
        <w:trPr>
          <w:trHeight w:val="874"/>
        </w:trPr>
        <w:tc>
          <w:tcPr>
            <w:tcW w:w="3230" w:type="dxa"/>
            <w:shd w:val="clear" w:color="auto" w:fill="auto"/>
            <w:vAlign w:val="center"/>
            <w:hideMark/>
          </w:tcPr>
          <w:p w:rsidR="007F6743" w:rsidRPr="00F45A80" w:rsidRDefault="007F6743" w:rsidP="007F6743">
            <w:pPr>
              <w:rPr>
                <w:rFonts w:cs="Calibri"/>
                <w:lang w:val="en-US"/>
              </w:rPr>
            </w:pPr>
            <w:r w:rsidRPr="00F45A80">
              <w:rPr>
                <w:rFonts w:cs="Calibri"/>
                <w:lang w:val="en-US"/>
              </w:rPr>
              <w:t>Official sources (Governments and international institutions)</w:t>
            </w:r>
          </w:p>
        </w:tc>
        <w:tc>
          <w:tcPr>
            <w:tcW w:w="1833"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255,1</w:t>
            </w:r>
          </w:p>
        </w:tc>
        <w:tc>
          <w:tcPr>
            <w:tcW w:w="1565"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213,7</w:t>
            </w:r>
          </w:p>
        </w:tc>
        <w:tc>
          <w:tcPr>
            <w:tcW w:w="1576"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89,9</w:t>
            </w:r>
          </w:p>
        </w:tc>
        <w:tc>
          <w:tcPr>
            <w:tcW w:w="1556"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17,8</w:t>
            </w:r>
          </w:p>
        </w:tc>
        <w:tc>
          <w:tcPr>
            <w:tcW w:w="1765"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765"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702"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349,1</w:t>
            </w:r>
          </w:p>
        </w:tc>
      </w:tr>
      <w:tr w:rsidR="007F6743" w:rsidRPr="00F45A80" w:rsidTr="004817AF">
        <w:trPr>
          <w:trHeight w:val="691"/>
        </w:trPr>
        <w:tc>
          <w:tcPr>
            <w:tcW w:w="3230" w:type="dxa"/>
            <w:shd w:val="clear" w:color="auto" w:fill="auto"/>
            <w:vAlign w:val="center"/>
          </w:tcPr>
          <w:p w:rsidR="007F6743" w:rsidRPr="00F45A80" w:rsidRDefault="007F6743" w:rsidP="007F6743">
            <w:pPr>
              <w:rPr>
                <w:rFonts w:cs="Calibri"/>
                <w:lang w:val="en-US"/>
              </w:rPr>
            </w:pPr>
            <w:r>
              <w:rPr>
                <w:rFonts w:cs="Calibri"/>
                <w:lang w:val="en-US"/>
              </w:rPr>
              <w:t>International Bonds</w:t>
            </w:r>
          </w:p>
        </w:tc>
        <w:tc>
          <w:tcPr>
            <w:tcW w:w="1833" w:type="dxa"/>
            <w:shd w:val="clear" w:color="auto" w:fill="auto"/>
            <w:noWrap/>
            <w:vAlign w:val="center"/>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307,4</w:t>
            </w:r>
          </w:p>
        </w:tc>
        <w:tc>
          <w:tcPr>
            <w:tcW w:w="1565" w:type="dxa"/>
            <w:shd w:val="clear" w:color="auto" w:fill="auto"/>
            <w:noWrap/>
            <w:vAlign w:val="center"/>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600,0</w:t>
            </w:r>
          </w:p>
        </w:tc>
        <w:tc>
          <w:tcPr>
            <w:tcW w:w="1576" w:type="dxa"/>
            <w:shd w:val="clear" w:color="auto" w:fill="auto"/>
            <w:noWrap/>
            <w:vAlign w:val="center"/>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556" w:type="dxa"/>
            <w:shd w:val="clear" w:color="auto" w:fill="auto"/>
            <w:noWrap/>
            <w:vAlign w:val="center"/>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17,3</w:t>
            </w:r>
          </w:p>
        </w:tc>
        <w:tc>
          <w:tcPr>
            <w:tcW w:w="1765" w:type="dxa"/>
            <w:shd w:val="clear" w:color="auto" w:fill="auto"/>
            <w:noWrap/>
            <w:vAlign w:val="center"/>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765" w:type="dxa"/>
            <w:shd w:val="clear" w:color="auto" w:fill="auto"/>
            <w:noWrap/>
            <w:vAlign w:val="center"/>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702" w:type="dxa"/>
            <w:shd w:val="clear" w:color="auto" w:fill="auto"/>
            <w:noWrap/>
            <w:vAlign w:val="center"/>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937,5</w:t>
            </w:r>
          </w:p>
        </w:tc>
      </w:tr>
      <w:tr w:rsidR="007F6743" w:rsidRPr="00F45A80" w:rsidTr="00832C1D">
        <w:trPr>
          <w:trHeight w:val="255"/>
        </w:trPr>
        <w:tc>
          <w:tcPr>
            <w:tcW w:w="3230" w:type="dxa"/>
            <w:shd w:val="clear" w:color="auto" w:fill="BDD6EE" w:themeFill="accent1" w:themeFillTint="66"/>
            <w:noWrap/>
            <w:vAlign w:val="center"/>
            <w:hideMark/>
          </w:tcPr>
          <w:p w:rsidR="007F6743" w:rsidRPr="00945122" w:rsidRDefault="007F6743" w:rsidP="007F6743">
            <w:pPr>
              <w:jc w:val="center"/>
              <w:rPr>
                <w:rFonts w:cs="Calibri"/>
                <w:lang w:val="en-US"/>
              </w:rPr>
            </w:pPr>
            <w:r w:rsidRPr="00945122">
              <w:rPr>
                <w:rFonts w:cs="Calibri"/>
                <w:lang w:val="en-US"/>
              </w:rPr>
              <w:t>TOTAL</w:t>
            </w:r>
          </w:p>
        </w:tc>
        <w:tc>
          <w:tcPr>
            <w:tcW w:w="1833" w:type="dxa"/>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2 885,7</w:t>
            </w:r>
          </w:p>
        </w:tc>
        <w:tc>
          <w:tcPr>
            <w:tcW w:w="1565" w:type="dxa"/>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4 327,7</w:t>
            </w:r>
          </w:p>
        </w:tc>
        <w:tc>
          <w:tcPr>
            <w:tcW w:w="1576" w:type="dxa"/>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1 146,8</w:t>
            </w:r>
          </w:p>
        </w:tc>
        <w:tc>
          <w:tcPr>
            <w:tcW w:w="1556" w:type="dxa"/>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178,9</w:t>
            </w:r>
          </w:p>
        </w:tc>
        <w:tc>
          <w:tcPr>
            <w:tcW w:w="1765" w:type="dxa"/>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w:t>
            </w:r>
          </w:p>
        </w:tc>
        <w:tc>
          <w:tcPr>
            <w:tcW w:w="1765" w:type="dxa"/>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w:t>
            </w:r>
          </w:p>
        </w:tc>
        <w:tc>
          <w:tcPr>
            <w:tcW w:w="1702" w:type="dxa"/>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6 229,5</w:t>
            </w:r>
          </w:p>
        </w:tc>
      </w:tr>
    </w:tbl>
    <w:p w:rsidR="009304D9" w:rsidRPr="00F45A80" w:rsidRDefault="009304D9" w:rsidP="009304D9">
      <w:pPr>
        <w:tabs>
          <w:tab w:val="left" w:pos="6255"/>
        </w:tabs>
        <w:ind w:right="-456"/>
        <w:rPr>
          <w:i/>
          <w:lang w:val="en-US"/>
        </w:rPr>
      </w:pPr>
    </w:p>
    <w:p w:rsidR="009304D9" w:rsidRPr="00F45A80" w:rsidRDefault="009304D9" w:rsidP="009304D9">
      <w:pPr>
        <w:tabs>
          <w:tab w:val="left" w:pos="6255"/>
        </w:tabs>
        <w:ind w:right="-456"/>
        <w:rPr>
          <w:i/>
          <w:lang w:val="en-US"/>
        </w:rPr>
      </w:pPr>
    </w:p>
    <w:p w:rsidR="009304D9" w:rsidRPr="00F45A80" w:rsidRDefault="009304D9" w:rsidP="009304D9">
      <w:pPr>
        <w:rPr>
          <w:b/>
          <w:lang w:val="en-US"/>
        </w:rPr>
      </w:pPr>
    </w:p>
    <w:p w:rsidR="009304D9" w:rsidRPr="00B30F70" w:rsidRDefault="009304D9" w:rsidP="009304D9">
      <w:pPr>
        <w:jc w:val="right"/>
        <w:rPr>
          <w:i/>
          <w:sz w:val="22"/>
          <w:szCs w:val="22"/>
          <w:lang w:val="en-US"/>
        </w:rPr>
      </w:pPr>
      <w:r w:rsidRPr="00F45A80">
        <w:rPr>
          <w:b/>
          <w:lang w:val="en-US"/>
        </w:rPr>
        <w:br w:type="page"/>
      </w:r>
      <w:r w:rsidR="00A11907" w:rsidRPr="00B30F70">
        <w:rPr>
          <w:i/>
          <w:sz w:val="22"/>
          <w:szCs w:val="22"/>
          <w:lang w:val="en-US"/>
        </w:rPr>
        <w:lastRenderedPageBreak/>
        <w:t>Addenda 1</w:t>
      </w:r>
      <w:r w:rsidR="007F6743">
        <w:rPr>
          <w:i/>
          <w:sz w:val="22"/>
          <w:szCs w:val="22"/>
          <w:lang w:val="en-US"/>
        </w:rPr>
        <w:t>4</w:t>
      </w:r>
      <w:r w:rsidR="00A11907" w:rsidRPr="00B30F70">
        <w:rPr>
          <w:i/>
          <w:sz w:val="22"/>
          <w:szCs w:val="22"/>
          <w:lang w:val="en-US"/>
        </w:rPr>
        <w:t>.4</w:t>
      </w:r>
    </w:p>
    <w:p w:rsidR="009304D9" w:rsidRPr="00F45A80" w:rsidRDefault="009304D9" w:rsidP="009304D9">
      <w:pPr>
        <w:jc w:val="center"/>
        <w:rPr>
          <w:lang w:val="en-US"/>
        </w:rPr>
      </w:pPr>
      <w:r w:rsidRPr="00B30F70">
        <w:rPr>
          <w:rFonts w:cs="Calibri"/>
          <w:b/>
          <w:sz w:val="26"/>
          <w:szCs w:val="26"/>
          <w:lang w:val="en-US"/>
        </w:rPr>
        <w:t>FORECAST OF FUTURE PAYMENTS OF PRINCIPAL DEBT AND INTEREST</w:t>
      </w:r>
      <w:r w:rsidRPr="00F45A80">
        <w:rPr>
          <w:rFonts w:cs="Calibri"/>
          <w:b/>
          <w:sz w:val="26"/>
          <w:szCs w:val="26"/>
          <w:lang w:val="en-US"/>
        </w:rPr>
        <w:br/>
      </w:r>
      <w:r w:rsidRPr="00F45A80">
        <w:rPr>
          <w:rFonts w:cs="Calibri"/>
          <w:i/>
          <w:lang w:val="en-US"/>
        </w:rPr>
        <w:t>(</w:t>
      </w:r>
      <w:r w:rsidR="004679FF" w:rsidRPr="00F45A80">
        <w:rPr>
          <w:rFonts w:cs="Calibri"/>
          <w:i/>
          <w:lang w:val="en-US"/>
        </w:rPr>
        <w:t>Type of borrower</w:t>
      </w:r>
      <w:r w:rsidRPr="00F45A80">
        <w:rPr>
          <w:rFonts w:cs="Calibri"/>
          <w:i/>
          <w:lang w:val="en-US"/>
        </w:rPr>
        <w:t xml:space="preserve">: </w:t>
      </w:r>
      <w:r w:rsidR="004679FF" w:rsidRPr="00F45A80">
        <w:rPr>
          <w:rFonts w:cs="Calibri"/>
          <w:i/>
          <w:lang w:val="en-US"/>
        </w:rPr>
        <w:t>banks</w:t>
      </w:r>
      <w:r w:rsidRPr="00F45A80">
        <w:rPr>
          <w:rFonts w:cs="Calibri"/>
          <w:i/>
          <w:lang w:val="en-US"/>
        </w:rPr>
        <w:t>)</w:t>
      </w:r>
    </w:p>
    <w:tbl>
      <w:tblPr>
        <w:tblW w:w="15112" w:type="dxa"/>
        <w:tblInd w:w="28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961"/>
        <w:gridCol w:w="962"/>
        <w:gridCol w:w="171"/>
        <w:gridCol w:w="173"/>
        <w:gridCol w:w="961"/>
        <w:gridCol w:w="1134"/>
        <w:gridCol w:w="705"/>
        <w:gridCol w:w="429"/>
        <w:gridCol w:w="643"/>
        <w:gridCol w:w="491"/>
        <w:gridCol w:w="587"/>
        <w:gridCol w:w="547"/>
        <w:gridCol w:w="524"/>
        <w:gridCol w:w="610"/>
        <w:gridCol w:w="466"/>
        <w:gridCol w:w="668"/>
        <w:gridCol w:w="1035"/>
        <w:gridCol w:w="45"/>
      </w:tblGrid>
      <w:tr w:rsidR="007F6743" w:rsidRPr="00F45A80" w:rsidTr="007F6743">
        <w:trPr>
          <w:trHeight w:val="80"/>
        </w:trPr>
        <w:tc>
          <w:tcPr>
            <w:tcW w:w="4961" w:type="dxa"/>
            <w:vMerge w:val="restart"/>
            <w:tcBorders>
              <w:top w:val="nil"/>
              <w:left w:val="nil"/>
              <w:bottom w:val="nil"/>
              <w:right w:val="nil"/>
            </w:tcBorders>
            <w:shd w:val="clear" w:color="auto" w:fill="auto"/>
            <w:vAlign w:val="bottom"/>
            <w:hideMark/>
          </w:tcPr>
          <w:p w:rsidR="007F6743" w:rsidRPr="00F45A80" w:rsidRDefault="007F6743" w:rsidP="006F7BE3">
            <w:pPr>
              <w:rPr>
                <w:b/>
                <w:lang w:val="en-US"/>
              </w:rPr>
            </w:pPr>
            <w:r w:rsidRPr="00F45A80">
              <w:rPr>
                <w:rFonts w:cs="Calibri"/>
                <w:b/>
                <w:lang w:val="en-US"/>
              </w:rPr>
              <w:t>Principal debt</w:t>
            </w:r>
          </w:p>
        </w:tc>
        <w:tc>
          <w:tcPr>
            <w:tcW w:w="962" w:type="dxa"/>
            <w:tcBorders>
              <w:top w:val="nil"/>
              <w:left w:val="nil"/>
              <w:bottom w:val="nil"/>
              <w:right w:val="nil"/>
            </w:tcBorders>
            <w:shd w:val="clear" w:color="auto" w:fill="auto"/>
            <w:noWrap/>
            <w:vAlign w:val="bottom"/>
            <w:hideMark/>
          </w:tcPr>
          <w:p w:rsidR="007F6743" w:rsidRPr="00F45A80" w:rsidRDefault="007F6743" w:rsidP="006F7BE3">
            <w:pPr>
              <w:jc w:val="center"/>
              <w:rPr>
                <w:b/>
                <w:lang w:val="en-US"/>
              </w:rPr>
            </w:pPr>
          </w:p>
        </w:tc>
        <w:tc>
          <w:tcPr>
            <w:tcW w:w="344" w:type="dxa"/>
            <w:gridSpan w:val="2"/>
            <w:tcBorders>
              <w:top w:val="nil"/>
              <w:left w:val="nil"/>
              <w:bottom w:val="nil"/>
              <w:right w:val="nil"/>
            </w:tcBorders>
            <w:shd w:val="clear" w:color="auto" w:fill="auto"/>
            <w:noWrap/>
            <w:vAlign w:val="bottom"/>
            <w:hideMark/>
          </w:tcPr>
          <w:p w:rsidR="007F6743" w:rsidRPr="00F45A80" w:rsidRDefault="007F6743" w:rsidP="006F7BE3">
            <w:pPr>
              <w:rPr>
                <w:b/>
                <w:lang w:val="en-US"/>
              </w:rPr>
            </w:pPr>
          </w:p>
        </w:tc>
        <w:tc>
          <w:tcPr>
            <w:tcW w:w="961" w:type="dxa"/>
            <w:tcBorders>
              <w:top w:val="nil"/>
              <w:left w:val="nil"/>
              <w:bottom w:val="nil"/>
              <w:right w:val="nil"/>
            </w:tcBorders>
            <w:shd w:val="clear" w:color="auto" w:fill="auto"/>
            <w:noWrap/>
            <w:vAlign w:val="bottom"/>
            <w:hideMark/>
          </w:tcPr>
          <w:p w:rsidR="007F6743" w:rsidRPr="00F45A80" w:rsidRDefault="007F6743" w:rsidP="006F7BE3">
            <w:pPr>
              <w:rPr>
                <w:b/>
                <w:lang w:val="en-US"/>
              </w:rPr>
            </w:pPr>
          </w:p>
        </w:tc>
        <w:tc>
          <w:tcPr>
            <w:tcW w:w="1839" w:type="dxa"/>
            <w:gridSpan w:val="2"/>
            <w:tcBorders>
              <w:top w:val="nil"/>
              <w:left w:val="nil"/>
              <w:bottom w:val="nil"/>
              <w:right w:val="nil"/>
            </w:tcBorders>
            <w:shd w:val="clear" w:color="auto" w:fill="auto"/>
            <w:noWrap/>
            <w:vAlign w:val="bottom"/>
            <w:hideMark/>
          </w:tcPr>
          <w:p w:rsidR="007F6743" w:rsidRPr="00F45A80" w:rsidRDefault="007F6743" w:rsidP="006F7BE3">
            <w:pPr>
              <w:rPr>
                <w:b/>
                <w:lang w:val="en-US"/>
              </w:rPr>
            </w:pPr>
          </w:p>
        </w:tc>
        <w:tc>
          <w:tcPr>
            <w:tcW w:w="1072" w:type="dxa"/>
            <w:gridSpan w:val="2"/>
            <w:tcBorders>
              <w:top w:val="nil"/>
              <w:left w:val="nil"/>
              <w:bottom w:val="nil"/>
              <w:right w:val="nil"/>
            </w:tcBorders>
            <w:shd w:val="clear" w:color="auto" w:fill="auto"/>
            <w:noWrap/>
            <w:vAlign w:val="bottom"/>
            <w:hideMark/>
          </w:tcPr>
          <w:p w:rsidR="007F6743" w:rsidRPr="00F45A80" w:rsidRDefault="007F6743" w:rsidP="006F7BE3">
            <w:pPr>
              <w:rPr>
                <w:b/>
                <w:lang w:val="en-US"/>
              </w:rPr>
            </w:pPr>
          </w:p>
        </w:tc>
        <w:tc>
          <w:tcPr>
            <w:tcW w:w="1078" w:type="dxa"/>
            <w:gridSpan w:val="2"/>
            <w:tcBorders>
              <w:top w:val="nil"/>
              <w:left w:val="nil"/>
              <w:bottom w:val="nil"/>
              <w:right w:val="nil"/>
            </w:tcBorders>
            <w:shd w:val="clear" w:color="auto" w:fill="auto"/>
            <w:noWrap/>
            <w:vAlign w:val="bottom"/>
            <w:hideMark/>
          </w:tcPr>
          <w:p w:rsidR="007F6743" w:rsidRPr="00F45A80" w:rsidRDefault="007F6743" w:rsidP="006F7BE3">
            <w:pPr>
              <w:rPr>
                <w:b/>
                <w:lang w:val="en-US"/>
              </w:rPr>
            </w:pPr>
          </w:p>
        </w:tc>
        <w:tc>
          <w:tcPr>
            <w:tcW w:w="1071" w:type="dxa"/>
            <w:gridSpan w:val="2"/>
            <w:tcBorders>
              <w:top w:val="nil"/>
              <w:left w:val="nil"/>
              <w:bottom w:val="nil"/>
              <w:right w:val="nil"/>
            </w:tcBorders>
            <w:shd w:val="clear" w:color="auto" w:fill="auto"/>
            <w:noWrap/>
            <w:vAlign w:val="bottom"/>
            <w:hideMark/>
          </w:tcPr>
          <w:p w:rsidR="007F6743" w:rsidRPr="00F45A80" w:rsidRDefault="007F6743" w:rsidP="006F7BE3">
            <w:pPr>
              <w:rPr>
                <w:b/>
                <w:lang w:val="en-US"/>
              </w:rPr>
            </w:pPr>
          </w:p>
        </w:tc>
        <w:tc>
          <w:tcPr>
            <w:tcW w:w="1076" w:type="dxa"/>
            <w:gridSpan w:val="2"/>
            <w:tcBorders>
              <w:top w:val="nil"/>
              <w:left w:val="nil"/>
              <w:bottom w:val="nil"/>
              <w:right w:val="nil"/>
            </w:tcBorders>
            <w:shd w:val="clear" w:color="auto" w:fill="auto"/>
            <w:noWrap/>
            <w:vAlign w:val="bottom"/>
            <w:hideMark/>
          </w:tcPr>
          <w:p w:rsidR="007F6743" w:rsidRPr="00F45A80" w:rsidRDefault="007F6743" w:rsidP="006F7BE3">
            <w:pPr>
              <w:rPr>
                <w:b/>
                <w:lang w:val="en-US"/>
              </w:rPr>
            </w:pPr>
          </w:p>
        </w:tc>
        <w:tc>
          <w:tcPr>
            <w:tcW w:w="1748" w:type="dxa"/>
            <w:gridSpan w:val="3"/>
            <w:tcBorders>
              <w:top w:val="nil"/>
              <w:left w:val="nil"/>
              <w:bottom w:val="nil"/>
              <w:right w:val="nil"/>
            </w:tcBorders>
            <w:shd w:val="clear" w:color="auto" w:fill="auto"/>
            <w:noWrap/>
            <w:vAlign w:val="bottom"/>
            <w:hideMark/>
          </w:tcPr>
          <w:p w:rsidR="007F6743" w:rsidRPr="00F45A80" w:rsidRDefault="007F6743" w:rsidP="006F7BE3">
            <w:pPr>
              <w:rPr>
                <w:b/>
                <w:lang w:val="en-US"/>
              </w:rPr>
            </w:pPr>
          </w:p>
        </w:tc>
      </w:tr>
      <w:tr w:rsidR="007F6743" w:rsidRPr="00F45A80" w:rsidTr="007F6743">
        <w:trPr>
          <w:trHeight w:val="70"/>
        </w:trPr>
        <w:tc>
          <w:tcPr>
            <w:tcW w:w="4961" w:type="dxa"/>
            <w:vMerge/>
            <w:tcBorders>
              <w:top w:val="nil"/>
              <w:left w:val="nil"/>
              <w:bottom w:val="single" w:sz="4" w:space="0" w:color="5B9BD5" w:themeColor="accent1"/>
              <w:right w:val="nil"/>
            </w:tcBorders>
            <w:vAlign w:val="center"/>
            <w:hideMark/>
          </w:tcPr>
          <w:p w:rsidR="007F6743" w:rsidRPr="00F45A80" w:rsidRDefault="007F6743" w:rsidP="006F7BE3">
            <w:pPr>
              <w:rPr>
                <w:b/>
                <w:lang w:val="en-US"/>
              </w:rPr>
            </w:pPr>
          </w:p>
        </w:tc>
        <w:tc>
          <w:tcPr>
            <w:tcW w:w="962" w:type="dxa"/>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b/>
                <w:lang w:val="en-US"/>
              </w:rPr>
            </w:pPr>
          </w:p>
        </w:tc>
        <w:tc>
          <w:tcPr>
            <w:tcW w:w="344"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b/>
                <w:lang w:val="en-US"/>
              </w:rPr>
            </w:pPr>
          </w:p>
        </w:tc>
        <w:tc>
          <w:tcPr>
            <w:tcW w:w="961" w:type="dxa"/>
            <w:tcBorders>
              <w:top w:val="nil"/>
              <w:left w:val="nil"/>
              <w:bottom w:val="nil"/>
              <w:right w:val="nil"/>
            </w:tcBorders>
            <w:shd w:val="clear" w:color="auto" w:fill="auto"/>
            <w:noWrap/>
            <w:vAlign w:val="bottom"/>
            <w:hideMark/>
          </w:tcPr>
          <w:p w:rsidR="007F6743" w:rsidRPr="00F45A80" w:rsidRDefault="007F6743" w:rsidP="006F7BE3">
            <w:pPr>
              <w:rPr>
                <w:b/>
                <w:lang w:val="en-US"/>
              </w:rPr>
            </w:pPr>
          </w:p>
        </w:tc>
        <w:tc>
          <w:tcPr>
            <w:tcW w:w="1839"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b/>
                <w:lang w:val="en-US"/>
              </w:rPr>
            </w:pPr>
          </w:p>
        </w:tc>
        <w:tc>
          <w:tcPr>
            <w:tcW w:w="1072"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b/>
                <w:lang w:val="en-US"/>
              </w:rPr>
            </w:pPr>
          </w:p>
        </w:tc>
        <w:tc>
          <w:tcPr>
            <w:tcW w:w="1078"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b/>
                <w:lang w:val="en-US"/>
              </w:rPr>
            </w:pPr>
          </w:p>
        </w:tc>
        <w:tc>
          <w:tcPr>
            <w:tcW w:w="1071"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b/>
                <w:lang w:val="en-US"/>
              </w:rPr>
            </w:pPr>
          </w:p>
        </w:tc>
        <w:tc>
          <w:tcPr>
            <w:tcW w:w="1076"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b/>
                <w:lang w:val="en-US"/>
              </w:rPr>
            </w:pPr>
          </w:p>
        </w:tc>
        <w:tc>
          <w:tcPr>
            <w:tcW w:w="1748" w:type="dxa"/>
            <w:gridSpan w:val="3"/>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jc w:val="right"/>
              <w:rPr>
                <w:i/>
                <w:sz w:val="20"/>
                <w:szCs w:val="20"/>
                <w:lang w:val="en-US"/>
              </w:rPr>
            </w:pPr>
            <w:r w:rsidRPr="00F45A80">
              <w:rPr>
                <w:i/>
                <w:sz w:val="20"/>
                <w:szCs w:val="20"/>
                <w:lang w:val="en-US"/>
              </w:rPr>
              <w:t>(mln. USD)</w:t>
            </w:r>
          </w:p>
        </w:tc>
      </w:tr>
      <w:tr w:rsidR="007F6743" w:rsidRPr="00F45A80" w:rsidTr="007F6743">
        <w:trPr>
          <w:gridAfter w:val="1"/>
          <w:wAfter w:w="45" w:type="dxa"/>
          <w:trHeight w:val="255"/>
        </w:trPr>
        <w:tc>
          <w:tcPr>
            <w:tcW w:w="4961" w:type="dxa"/>
            <w:tcBorders>
              <w:top w:val="single" w:sz="4" w:space="0" w:color="5B9BD5" w:themeColor="accent1"/>
            </w:tcBorders>
            <w:shd w:val="clear" w:color="auto" w:fill="BDD6EE" w:themeFill="accent1" w:themeFillTint="66"/>
            <w:noWrap/>
            <w:vAlign w:val="center"/>
            <w:hideMark/>
          </w:tcPr>
          <w:p w:rsidR="007F6743" w:rsidRPr="00F45A80" w:rsidRDefault="007F6743" w:rsidP="007F6743">
            <w:pPr>
              <w:rPr>
                <w:rFonts w:cs="Calibri"/>
                <w:b/>
                <w:lang w:val="en-US"/>
              </w:rPr>
            </w:pPr>
            <w:r w:rsidRPr="00F45A80">
              <w:rPr>
                <w:rFonts w:cs="Calibri"/>
                <w:b/>
                <w:lang w:val="en-US"/>
              </w:rPr>
              <w:t>Type of creditor</w:t>
            </w:r>
          </w:p>
        </w:tc>
        <w:tc>
          <w:tcPr>
            <w:tcW w:w="1133" w:type="dxa"/>
            <w:gridSpan w:val="2"/>
            <w:tcBorders>
              <w:top w:val="single" w:sz="4" w:space="0" w:color="5B9BD5" w:themeColor="accent1"/>
              <w:right w:val="single" w:sz="4" w:space="0" w:color="5B9BD5"/>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2021</w:t>
            </w:r>
          </w:p>
        </w:tc>
        <w:tc>
          <w:tcPr>
            <w:tcW w:w="1134" w:type="dxa"/>
            <w:gridSpan w:val="2"/>
            <w:tcBorders>
              <w:top w:val="single" w:sz="4" w:space="0" w:color="5B9BD5"/>
              <w:left w:val="single" w:sz="4" w:space="0" w:color="5B9BD5"/>
              <w:bottom w:val="single" w:sz="4" w:space="0" w:color="5B9BD5"/>
              <w:right w:val="single" w:sz="4" w:space="0" w:color="5B9BD5"/>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2022</w:t>
            </w:r>
          </w:p>
        </w:tc>
        <w:tc>
          <w:tcPr>
            <w:tcW w:w="1134" w:type="dxa"/>
            <w:tcBorders>
              <w:top w:val="single" w:sz="4" w:space="0" w:color="5B9BD5" w:themeColor="accent1"/>
              <w:left w:val="single" w:sz="4" w:space="0" w:color="5B9BD5"/>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2023</w:t>
            </w:r>
          </w:p>
        </w:tc>
        <w:tc>
          <w:tcPr>
            <w:tcW w:w="1134" w:type="dxa"/>
            <w:gridSpan w:val="2"/>
            <w:tcBorders>
              <w:top w:val="single" w:sz="4" w:space="0" w:color="5B9BD5" w:themeColor="accent1"/>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2024</w:t>
            </w:r>
          </w:p>
        </w:tc>
        <w:tc>
          <w:tcPr>
            <w:tcW w:w="1134" w:type="dxa"/>
            <w:gridSpan w:val="2"/>
            <w:tcBorders>
              <w:top w:val="single" w:sz="4" w:space="0" w:color="5B9BD5" w:themeColor="accent1"/>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2025</w:t>
            </w:r>
          </w:p>
        </w:tc>
        <w:tc>
          <w:tcPr>
            <w:tcW w:w="1134" w:type="dxa"/>
            <w:gridSpan w:val="2"/>
            <w:tcBorders>
              <w:top w:val="single" w:sz="4" w:space="0" w:color="5B9BD5" w:themeColor="accent1"/>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2026</w:t>
            </w:r>
          </w:p>
        </w:tc>
        <w:tc>
          <w:tcPr>
            <w:tcW w:w="1134" w:type="dxa"/>
            <w:gridSpan w:val="2"/>
            <w:tcBorders>
              <w:top w:val="single" w:sz="4" w:space="0" w:color="5B9BD5" w:themeColor="accent1"/>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2027</w:t>
            </w:r>
          </w:p>
        </w:tc>
        <w:tc>
          <w:tcPr>
            <w:tcW w:w="1134" w:type="dxa"/>
            <w:gridSpan w:val="2"/>
            <w:tcBorders>
              <w:top w:val="single" w:sz="4" w:space="0" w:color="5B9BD5" w:themeColor="accent1"/>
            </w:tcBorders>
            <w:shd w:val="clear" w:color="auto" w:fill="BDD6EE" w:themeFill="accent1" w:themeFillTint="66"/>
            <w:noWrap/>
            <w:vAlign w:val="center"/>
            <w:hideMark/>
          </w:tcPr>
          <w:p w:rsidR="007F6743" w:rsidRPr="00F45A80" w:rsidRDefault="007F6743" w:rsidP="007F6743">
            <w:pPr>
              <w:jc w:val="center"/>
              <w:rPr>
                <w:b/>
                <w:lang w:val="en-US"/>
              </w:rPr>
            </w:pPr>
            <w:r>
              <w:rPr>
                <w:rFonts w:cs="Calibri"/>
                <w:b/>
                <w:lang w:val="en-US"/>
              </w:rPr>
              <w:t>after 2027</w:t>
            </w:r>
          </w:p>
        </w:tc>
        <w:tc>
          <w:tcPr>
            <w:tcW w:w="1035" w:type="dxa"/>
            <w:tcBorders>
              <w:top w:val="single" w:sz="4" w:space="0" w:color="5B9BD5" w:themeColor="accent1"/>
            </w:tcBorders>
            <w:shd w:val="clear" w:color="auto" w:fill="BDD6EE" w:themeFill="accent1" w:themeFillTint="66"/>
            <w:vAlign w:val="center"/>
            <w:hideMark/>
          </w:tcPr>
          <w:p w:rsidR="007F6743" w:rsidRPr="00F45A80" w:rsidRDefault="007F6743" w:rsidP="007F6743">
            <w:pPr>
              <w:jc w:val="center"/>
              <w:rPr>
                <w:b/>
                <w:lang w:val="en-US"/>
              </w:rPr>
            </w:pPr>
            <w:r>
              <w:rPr>
                <w:b/>
                <w:lang w:val="en-US"/>
              </w:rPr>
              <w:t>TOTAL</w:t>
            </w:r>
          </w:p>
        </w:tc>
      </w:tr>
      <w:tr w:rsidR="007F6743" w:rsidRPr="00F45A80" w:rsidTr="007F6743">
        <w:trPr>
          <w:gridAfter w:val="1"/>
          <w:wAfter w:w="45" w:type="dxa"/>
          <w:trHeight w:val="399"/>
        </w:trPr>
        <w:tc>
          <w:tcPr>
            <w:tcW w:w="4961" w:type="dxa"/>
            <w:shd w:val="clear" w:color="auto" w:fill="auto"/>
            <w:vAlign w:val="center"/>
            <w:hideMark/>
          </w:tcPr>
          <w:p w:rsidR="007F6743" w:rsidRPr="00F45A80" w:rsidRDefault="007F6743" w:rsidP="007F6743">
            <w:pPr>
              <w:rPr>
                <w:rFonts w:cs="Calibri"/>
                <w:lang w:val="en-US"/>
              </w:rPr>
            </w:pPr>
            <w:r w:rsidRPr="00F45A80">
              <w:rPr>
                <w:rFonts w:cs="Calibri"/>
                <w:lang w:val="en-US"/>
              </w:rPr>
              <w:t>Foreign banks and other financial institutions</w:t>
            </w:r>
          </w:p>
        </w:tc>
        <w:tc>
          <w:tcPr>
            <w:tcW w:w="1133" w:type="dxa"/>
            <w:gridSpan w:val="2"/>
            <w:tcBorders>
              <w:right w:val="single" w:sz="4" w:space="0" w:color="5B9BD5"/>
            </w:tcBorders>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2 077,1</w:t>
            </w:r>
          </w:p>
        </w:tc>
        <w:tc>
          <w:tcPr>
            <w:tcW w:w="1134" w:type="dxa"/>
            <w:gridSpan w:val="2"/>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705,6</w:t>
            </w:r>
          </w:p>
        </w:tc>
        <w:tc>
          <w:tcPr>
            <w:tcW w:w="1134" w:type="dxa"/>
            <w:tcBorders>
              <w:left w:val="single" w:sz="4" w:space="0" w:color="5B9BD5"/>
            </w:tcBorders>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751,3</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442,3</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246,7</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176,2</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163,0</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190,6</w:t>
            </w:r>
          </w:p>
        </w:tc>
        <w:tc>
          <w:tcPr>
            <w:tcW w:w="1035" w:type="dxa"/>
            <w:shd w:val="clear" w:color="auto" w:fill="auto"/>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4 753,0</w:t>
            </w:r>
          </w:p>
        </w:tc>
      </w:tr>
      <w:tr w:rsidR="007F6743" w:rsidRPr="00F45A80" w:rsidTr="007F6743">
        <w:trPr>
          <w:gridAfter w:val="1"/>
          <w:wAfter w:w="45" w:type="dxa"/>
          <w:trHeight w:val="349"/>
        </w:trPr>
        <w:tc>
          <w:tcPr>
            <w:tcW w:w="4961" w:type="dxa"/>
            <w:shd w:val="clear" w:color="auto" w:fill="auto"/>
            <w:vAlign w:val="center"/>
            <w:hideMark/>
          </w:tcPr>
          <w:p w:rsidR="007F6743" w:rsidRPr="00F45A80" w:rsidRDefault="007F6743" w:rsidP="007F6743">
            <w:pPr>
              <w:rPr>
                <w:rFonts w:cs="Calibri"/>
                <w:lang w:val="en-US"/>
              </w:rPr>
            </w:pPr>
            <w:r w:rsidRPr="00F45A80">
              <w:rPr>
                <w:rFonts w:cs="Calibri"/>
                <w:lang w:val="en-US"/>
              </w:rPr>
              <w:t>Foreign parent companies and branches</w:t>
            </w:r>
          </w:p>
        </w:tc>
        <w:tc>
          <w:tcPr>
            <w:tcW w:w="1133" w:type="dxa"/>
            <w:gridSpan w:val="2"/>
            <w:tcBorders>
              <w:right w:val="single" w:sz="4" w:space="0" w:color="5B9BD5"/>
            </w:tcBorders>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tcBorders>
              <w:left w:val="single" w:sz="4" w:space="0" w:color="5B9BD5"/>
            </w:tcBorders>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035" w:type="dxa"/>
            <w:shd w:val="clear" w:color="auto" w:fill="auto"/>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r>
      <w:tr w:rsidR="007F6743" w:rsidRPr="00F45A80" w:rsidTr="007F6743">
        <w:trPr>
          <w:gridAfter w:val="1"/>
          <w:wAfter w:w="45" w:type="dxa"/>
          <w:trHeight w:val="314"/>
        </w:trPr>
        <w:tc>
          <w:tcPr>
            <w:tcW w:w="4961" w:type="dxa"/>
            <w:shd w:val="clear" w:color="auto" w:fill="auto"/>
            <w:vAlign w:val="center"/>
            <w:hideMark/>
          </w:tcPr>
          <w:p w:rsidR="007F6743" w:rsidRPr="00F45A80" w:rsidRDefault="007F6743" w:rsidP="007F6743">
            <w:pPr>
              <w:rPr>
                <w:rFonts w:cs="Calibri"/>
                <w:lang w:val="en-US"/>
              </w:rPr>
            </w:pPr>
            <w:r w:rsidRPr="00F45A80">
              <w:rPr>
                <w:rFonts w:cs="Calibri"/>
                <w:lang w:val="en-US"/>
              </w:rPr>
              <w:t>Exporters and other private sources</w:t>
            </w:r>
          </w:p>
        </w:tc>
        <w:tc>
          <w:tcPr>
            <w:tcW w:w="1133" w:type="dxa"/>
            <w:gridSpan w:val="2"/>
            <w:tcBorders>
              <w:right w:val="single" w:sz="4" w:space="0" w:color="5B9BD5"/>
            </w:tcBorders>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78,9</w:t>
            </w:r>
          </w:p>
        </w:tc>
        <w:tc>
          <w:tcPr>
            <w:tcW w:w="1134" w:type="dxa"/>
            <w:gridSpan w:val="2"/>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61,3</w:t>
            </w:r>
          </w:p>
        </w:tc>
        <w:tc>
          <w:tcPr>
            <w:tcW w:w="1134" w:type="dxa"/>
            <w:tcBorders>
              <w:left w:val="single" w:sz="4" w:space="0" w:color="5B9BD5"/>
            </w:tcBorders>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49,8</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035" w:type="dxa"/>
            <w:shd w:val="clear" w:color="auto" w:fill="auto"/>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189,9</w:t>
            </w:r>
          </w:p>
        </w:tc>
      </w:tr>
      <w:tr w:rsidR="007F6743" w:rsidRPr="00F45A80" w:rsidTr="007F6743">
        <w:trPr>
          <w:gridAfter w:val="1"/>
          <w:wAfter w:w="45" w:type="dxa"/>
          <w:trHeight w:val="545"/>
        </w:trPr>
        <w:tc>
          <w:tcPr>
            <w:tcW w:w="4961" w:type="dxa"/>
            <w:shd w:val="clear" w:color="auto" w:fill="auto"/>
            <w:vAlign w:val="center"/>
            <w:hideMark/>
          </w:tcPr>
          <w:p w:rsidR="007F6743" w:rsidRPr="00F45A80" w:rsidRDefault="007F6743" w:rsidP="007F6743">
            <w:pPr>
              <w:rPr>
                <w:rFonts w:cs="Calibri"/>
                <w:lang w:val="en-US"/>
              </w:rPr>
            </w:pPr>
            <w:r w:rsidRPr="00F45A80">
              <w:rPr>
                <w:rFonts w:cs="Calibri"/>
                <w:lang w:val="en-US"/>
              </w:rPr>
              <w:t>Official sources (Governments and international institutions)</w:t>
            </w:r>
          </w:p>
        </w:tc>
        <w:tc>
          <w:tcPr>
            <w:tcW w:w="1133" w:type="dxa"/>
            <w:gridSpan w:val="2"/>
            <w:tcBorders>
              <w:right w:val="single" w:sz="4" w:space="0" w:color="5B9BD5"/>
            </w:tcBorders>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150,8</w:t>
            </w:r>
          </w:p>
        </w:tc>
        <w:tc>
          <w:tcPr>
            <w:tcW w:w="1134" w:type="dxa"/>
            <w:gridSpan w:val="2"/>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92,1</w:t>
            </w:r>
          </w:p>
        </w:tc>
        <w:tc>
          <w:tcPr>
            <w:tcW w:w="1134" w:type="dxa"/>
            <w:tcBorders>
              <w:left w:val="single" w:sz="4" w:space="0" w:color="5B9BD5"/>
            </w:tcBorders>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74,5</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13,7</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4,5</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3,5</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3,5</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6,5</w:t>
            </w:r>
          </w:p>
        </w:tc>
        <w:tc>
          <w:tcPr>
            <w:tcW w:w="1035" w:type="dxa"/>
            <w:shd w:val="clear" w:color="auto" w:fill="auto"/>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349,1</w:t>
            </w:r>
          </w:p>
        </w:tc>
      </w:tr>
      <w:tr w:rsidR="007F6743" w:rsidRPr="00F45A80" w:rsidTr="007F6743">
        <w:trPr>
          <w:gridAfter w:val="1"/>
          <w:wAfter w:w="45" w:type="dxa"/>
          <w:trHeight w:val="545"/>
        </w:trPr>
        <w:tc>
          <w:tcPr>
            <w:tcW w:w="4961" w:type="dxa"/>
            <w:shd w:val="clear" w:color="auto" w:fill="auto"/>
            <w:vAlign w:val="center"/>
          </w:tcPr>
          <w:p w:rsidR="007F6743" w:rsidRPr="00F45A80" w:rsidRDefault="007F6743" w:rsidP="007F6743">
            <w:pPr>
              <w:rPr>
                <w:rFonts w:cs="Calibri"/>
                <w:lang w:val="en-US"/>
              </w:rPr>
            </w:pPr>
            <w:r>
              <w:rPr>
                <w:rFonts w:cs="Calibri"/>
                <w:lang w:val="en-US"/>
              </w:rPr>
              <w:t>International Bonds</w:t>
            </w:r>
          </w:p>
        </w:tc>
        <w:tc>
          <w:tcPr>
            <w:tcW w:w="1133" w:type="dxa"/>
            <w:gridSpan w:val="2"/>
            <w:tcBorders>
              <w:right w:val="single" w:sz="4" w:space="0" w:color="5B9BD5"/>
            </w:tcBorders>
            <w:shd w:val="clear" w:color="auto" w:fill="auto"/>
            <w:noWrap/>
            <w:vAlign w:val="center"/>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tcBorders>
              <w:top w:val="single" w:sz="4" w:space="0" w:color="5B9BD5"/>
              <w:left w:val="single" w:sz="4" w:space="0" w:color="5B9BD5"/>
              <w:bottom w:val="single" w:sz="4" w:space="0" w:color="5B9BD5"/>
              <w:right w:val="single" w:sz="4" w:space="0" w:color="5B9BD5"/>
            </w:tcBorders>
            <w:shd w:val="clear" w:color="auto" w:fill="auto"/>
            <w:noWrap/>
            <w:vAlign w:val="center"/>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tcBorders>
              <w:left w:val="single" w:sz="4" w:space="0" w:color="5B9BD5"/>
            </w:tcBorders>
            <w:shd w:val="clear" w:color="auto" w:fill="auto"/>
            <w:noWrap/>
            <w:vAlign w:val="center"/>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300,0</w:t>
            </w:r>
          </w:p>
        </w:tc>
        <w:tc>
          <w:tcPr>
            <w:tcW w:w="1134" w:type="dxa"/>
            <w:gridSpan w:val="2"/>
            <w:shd w:val="clear" w:color="auto" w:fill="auto"/>
            <w:noWrap/>
            <w:vAlign w:val="center"/>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600,0</w:t>
            </w:r>
          </w:p>
        </w:tc>
        <w:tc>
          <w:tcPr>
            <w:tcW w:w="1134" w:type="dxa"/>
            <w:gridSpan w:val="2"/>
            <w:shd w:val="clear" w:color="auto" w:fill="auto"/>
            <w:noWrap/>
            <w:vAlign w:val="center"/>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035" w:type="dxa"/>
            <w:shd w:val="clear" w:color="auto" w:fill="auto"/>
            <w:vAlign w:val="center"/>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900,0</w:t>
            </w:r>
          </w:p>
        </w:tc>
      </w:tr>
      <w:tr w:rsidR="007F6743" w:rsidRPr="00F45A80" w:rsidTr="007F6743">
        <w:trPr>
          <w:gridAfter w:val="1"/>
          <w:wAfter w:w="45" w:type="dxa"/>
          <w:trHeight w:val="255"/>
        </w:trPr>
        <w:tc>
          <w:tcPr>
            <w:tcW w:w="4961" w:type="dxa"/>
            <w:tcBorders>
              <w:bottom w:val="single" w:sz="4" w:space="0" w:color="5B9BD5" w:themeColor="accent1"/>
            </w:tcBorders>
            <w:shd w:val="clear" w:color="auto" w:fill="BDD6EE" w:themeFill="accent1" w:themeFillTint="66"/>
            <w:noWrap/>
            <w:vAlign w:val="center"/>
            <w:hideMark/>
          </w:tcPr>
          <w:p w:rsidR="007F6743" w:rsidRPr="00945122" w:rsidRDefault="007F6743" w:rsidP="007F6743">
            <w:pPr>
              <w:jc w:val="center"/>
              <w:rPr>
                <w:rFonts w:cs="Calibri"/>
                <w:lang w:val="en-US"/>
              </w:rPr>
            </w:pPr>
            <w:r w:rsidRPr="00945122">
              <w:rPr>
                <w:rFonts w:cs="Calibri"/>
                <w:lang w:val="en-US"/>
              </w:rPr>
              <w:t>TOTAL</w:t>
            </w:r>
          </w:p>
        </w:tc>
        <w:tc>
          <w:tcPr>
            <w:tcW w:w="1133" w:type="dxa"/>
            <w:gridSpan w:val="2"/>
            <w:tcBorders>
              <w:bottom w:val="single" w:sz="4" w:space="0" w:color="5B9BD5" w:themeColor="accent1"/>
              <w:right w:val="single" w:sz="4" w:space="0" w:color="5B9BD5"/>
            </w:tcBorders>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2 306,8</w:t>
            </w:r>
          </w:p>
        </w:tc>
        <w:tc>
          <w:tcPr>
            <w:tcW w:w="1134" w:type="dxa"/>
            <w:gridSpan w:val="2"/>
            <w:tcBorders>
              <w:top w:val="single" w:sz="4" w:space="0" w:color="5B9BD5"/>
              <w:left w:val="single" w:sz="4" w:space="0" w:color="5B9BD5"/>
              <w:bottom w:val="single" w:sz="4" w:space="0" w:color="5B9BD5"/>
              <w:right w:val="single" w:sz="4" w:space="0" w:color="5B9BD5"/>
            </w:tcBorders>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859,0</w:t>
            </w:r>
          </w:p>
        </w:tc>
        <w:tc>
          <w:tcPr>
            <w:tcW w:w="1134" w:type="dxa"/>
            <w:tcBorders>
              <w:left w:val="single" w:sz="4" w:space="0" w:color="5B9BD5"/>
              <w:bottom w:val="single" w:sz="4" w:space="0" w:color="5B9BD5" w:themeColor="accent1"/>
            </w:tcBorders>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875,6</w:t>
            </w:r>
          </w:p>
        </w:tc>
        <w:tc>
          <w:tcPr>
            <w:tcW w:w="1134" w:type="dxa"/>
            <w:gridSpan w:val="2"/>
            <w:tcBorders>
              <w:bottom w:val="single" w:sz="4" w:space="0" w:color="5B9BD5" w:themeColor="accent1"/>
            </w:tcBorders>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756,0</w:t>
            </w:r>
          </w:p>
        </w:tc>
        <w:tc>
          <w:tcPr>
            <w:tcW w:w="1134" w:type="dxa"/>
            <w:gridSpan w:val="2"/>
            <w:tcBorders>
              <w:bottom w:val="single" w:sz="4" w:space="0" w:color="5B9BD5" w:themeColor="accent1"/>
            </w:tcBorders>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851,2</w:t>
            </w:r>
          </w:p>
        </w:tc>
        <w:tc>
          <w:tcPr>
            <w:tcW w:w="1134" w:type="dxa"/>
            <w:gridSpan w:val="2"/>
            <w:tcBorders>
              <w:bottom w:val="single" w:sz="4" w:space="0" w:color="5B9BD5" w:themeColor="accent1"/>
            </w:tcBorders>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179,7</w:t>
            </w:r>
          </w:p>
        </w:tc>
        <w:tc>
          <w:tcPr>
            <w:tcW w:w="1134" w:type="dxa"/>
            <w:gridSpan w:val="2"/>
            <w:tcBorders>
              <w:bottom w:val="single" w:sz="4" w:space="0" w:color="5B9BD5" w:themeColor="accent1"/>
            </w:tcBorders>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166,5</w:t>
            </w:r>
          </w:p>
        </w:tc>
        <w:tc>
          <w:tcPr>
            <w:tcW w:w="1134" w:type="dxa"/>
            <w:gridSpan w:val="2"/>
            <w:tcBorders>
              <w:bottom w:val="single" w:sz="4" w:space="0" w:color="5B9BD5" w:themeColor="accent1"/>
            </w:tcBorders>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197,1</w:t>
            </w:r>
          </w:p>
        </w:tc>
        <w:tc>
          <w:tcPr>
            <w:tcW w:w="1035" w:type="dxa"/>
            <w:tcBorders>
              <w:bottom w:val="single" w:sz="4" w:space="0" w:color="5B9BD5" w:themeColor="accent1"/>
            </w:tcBorders>
            <w:shd w:val="clear" w:color="auto" w:fill="BDD6EE" w:themeFill="accent1" w:themeFillTint="66"/>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6 192,0</w:t>
            </w:r>
          </w:p>
        </w:tc>
      </w:tr>
      <w:tr w:rsidR="007F6743" w:rsidRPr="00F45A80" w:rsidTr="007F6743">
        <w:trPr>
          <w:gridAfter w:val="1"/>
          <w:wAfter w:w="45" w:type="dxa"/>
          <w:trHeight w:val="429"/>
        </w:trPr>
        <w:tc>
          <w:tcPr>
            <w:tcW w:w="4961" w:type="dxa"/>
            <w:vMerge w:val="restart"/>
            <w:tcBorders>
              <w:top w:val="single" w:sz="4" w:space="0" w:color="5B9BD5" w:themeColor="accent1"/>
              <w:left w:val="nil"/>
              <w:bottom w:val="nil"/>
              <w:right w:val="nil"/>
            </w:tcBorders>
            <w:shd w:val="clear" w:color="auto" w:fill="auto"/>
            <w:vAlign w:val="bottom"/>
            <w:hideMark/>
          </w:tcPr>
          <w:p w:rsidR="007F6743" w:rsidRPr="00F45A80" w:rsidRDefault="007F6743" w:rsidP="006F7BE3">
            <w:pPr>
              <w:rPr>
                <w:b/>
                <w:lang w:val="en-US"/>
              </w:rPr>
            </w:pPr>
            <w:r w:rsidRPr="00F45A80">
              <w:rPr>
                <w:rFonts w:cs="Calibri"/>
                <w:b/>
                <w:lang w:val="en-US"/>
              </w:rPr>
              <w:t>Interest</w:t>
            </w:r>
          </w:p>
        </w:tc>
        <w:tc>
          <w:tcPr>
            <w:tcW w:w="1133" w:type="dxa"/>
            <w:gridSpan w:val="2"/>
            <w:tcBorders>
              <w:top w:val="single" w:sz="4" w:space="0" w:color="5B9BD5" w:themeColor="accent1"/>
              <w:left w:val="nil"/>
              <w:bottom w:val="nil"/>
              <w:right w:val="nil"/>
            </w:tcBorders>
            <w:shd w:val="clear" w:color="auto" w:fill="auto"/>
            <w:noWrap/>
            <w:vAlign w:val="bottom"/>
            <w:hideMark/>
          </w:tcPr>
          <w:p w:rsidR="007F6743" w:rsidRPr="00F45A80" w:rsidRDefault="007F6743" w:rsidP="006F7BE3">
            <w:pPr>
              <w:jc w:val="center"/>
              <w:rPr>
                <w:b/>
                <w:lang w:val="en-US"/>
              </w:rPr>
            </w:pPr>
          </w:p>
        </w:tc>
        <w:tc>
          <w:tcPr>
            <w:tcW w:w="1134" w:type="dxa"/>
            <w:gridSpan w:val="2"/>
            <w:tcBorders>
              <w:top w:val="single" w:sz="4" w:space="0" w:color="5B9BD5"/>
              <w:left w:val="nil"/>
              <w:bottom w:val="nil"/>
              <w:right w:val="nil"/>
            </w:tcBorders>
            <w:shd w:val="clear" w:color="auto" w:fill="auto"/>
            <w:noWrap/>
            <w:vAlign w:val="bottom"/>
            <w:hideMark/>
          </w:tcPr>
          <w:p w:rsidR="007F6743" w:rsidRPr="00F45A80" w:rsidRDefault="007F6743" w:rsidP="006F7BE3">
            <w:pPr>
              <w:rPr>
                <w:b/>
                <w:lang w:val="en-US"/>
              </w:rPr>
            </w:pPr>
          </w:p>
        </w:tc>
        <w:tc>
          <w:tcPr>
            <w:tcW w:w="1134" w:type="dxa"/>
            <w:tcBorders>
              <w:top w:val="single" w:sz="4" w:space="0" w:color="5B9BD5" w:themeColor="accent1"/>
              <w:left w:val="nil"/>
              <w:bottom w:val="nil"/>
              <w:right w:val="nil"/>
            </w:tcBorders>
            <w:shd w:val="clear" w:color="auto" w:fill="auto"/>
            <w:noWrap/>
            <w:vAlign w:val="bottom"/>
            <w:hideMark/>
          </w:tcPr>
          <w:p w:rsidR="007F6743" w:rsidRPr="00F45A80" w:rsidRDefault="007F6743" w:rsidP="006F7BE3">
            <w:pPr>
              <w:rPr>
                <w:b/>
                <w:lang w:val="en-US"/>
              </w:rPr>
            </w:pPr>
          </w:p>
        </w:tc>
        <w:tc>
          <w:tcPr>
            <w:tcW w:w="1134" w:type="dxa"/>
            <w:gridSpan w:val="2"/>
            <w:tcBorders>
              <w:top w:val="single" w:sz="4" w:space="0" w:color="5B9BD5" w:themeColor="accent1"/>
              <w:left w:val="nil"/>
              <w:bottom w:val="nil"/>
              <w:right w:val="nil"/>
            </w:tcBorders>
            <w:shd w:val="clear" w:color="auto" w:fill="auto"/>
            <w:noWrap/>
            <w:vAlign w:val="bottom"/>
            <w:hideMark/>
          </w:tcPr>
          <w:p w:rsidR="007F6743" w:rsidRPr="00F45A80" w:rsidRDefault="007F6743" w:rsidP="006F7BE3">
            <w:pPr>
              <w:rPr>
                <w:b/>
                <w:lang w:val="en-US"/>
              </w:rPr>
            </w:pPr>
          </w:p>
        </w:tc>
        <w:tc>
          <w:tcPr>
            <w:tcW w:w="1134" w:type="dxa"/>
            <w:gridSpan w:val="2"/>
            <w:tcBorders>
              <w:top w:val="single" w:sz="4" w:space="0" w:color="5B9BD5" w:themeColor="accent1"/>
              <w:left w:val="nil"/>
              <w:bottom w:val="nil"/>
              <w:right w:val="nil"/>
            </w:tcBorders>
            <w:shd w:val="clear" w:color="auto" w:fill="auto"/>
            <w:noWrap/>
            <w:vAlign w:val="bottom"/>
            <w:hideMark/>
          </w:tcPr>
          <w:p w:rsidR="007F6743" w:rsidRPr="00F45A80" w:rsidRDefault="007F6743" w:rsidP="006F7BE3">
            <w:pPr>
              <w:rPr>
                <w:b/>
                <w:lang w:val="en-US"/>
              </w:rPr>
            </w:pPr>
          </w:p>
        </w:tc>
        <w:tc>
          <w:tcPr>
            <w:tcW w:w="1134" w:type="dxa"/>
            <w:gridSpan w:val="2"/>
            <w:tcBorders>
              <w:top w:val="single" w:sz="4" w:space="0" w:color="5B9BD5" w:themeColor="accent1"/>
              <w:left w:val="nil"/>
              <w:bottom w:val="nil"/>
              <w:right w:val="nil"/>
            </w:tcBorders>
            <w:shd w:val="clear" w:color="auto" w:fill="auto"/>
            <w:noWrap/>
            <w:vAlign w:val="bottom"/>
            <w:hideMark/>
          </w:tcPr>
          <w:p w:rsidR="007F6743" w:rsidRPr="00F45A80" w:rsidRDefault="007F6743" w:rsidP="006F7BE3">
            <w:pPr>
              <w:rPr>
                <w:b/>
                <w:lang w:val="en-US"/>
              </w:rPr>
            </w:pPr>
          </w:p>
        </w:tc>
        <w:tc>
          <w:tcPr>
            <w:tcW w:w="1134" w:type="dxa"/>
            <w:gridSpan w:val="2"/>
            <w:tcBorders>
              <w:top w:val="single" w:sz="4" w:space="0" w:color="5B9BD5" w:themeColor="accent1"/>
              <w:left w:val="nil"/>
              <w:bottom w:val="nil"/>
              <w:right w:val="nil"/>
            </w:tcBorders>
            <w:shd w:val="clear" w:color="auto" w:fill="auto"/>
            <w:noWrap/>
            <w:vAlign w:val="bottom"/>
            <w:hideMark/>
          </w:tcPr>
          <w:p w:rsidR="007F6743" w:rsidRPr="00F45A80" w:rsidRDefault="007F6743" w:rsidP="006F7BE3">
            <w:pPr>
              <w:rPr>
                <w:b/>
                <w:lang w:val="en-US"/>
              </w:rPr>
            </w:pPr>
          </w:p>
        </w:tc>
        <w:tc>
          <w:tcPr>
            <w:tcW w:w="1134" w:type="dxa"/>
            <w:gridSpan w:val="2"/>
            <w:tcBorders>
              <w:top w:val="single" w:sz="4" w:space="0" w:color="5B9BD5" w:themeColor="accent1"/>
              <w:left w:val="nil"/>
              <w:bottom w:val="nil"/>
              <w:right w:val="nil"/>
            </w:tcBorders>
            <w:shd w:val="clear" w:color="auto" w:fill="auto"/>
            <w:noWrap/>
            <w:vAlign w:val="bottom"/>
            <w:hideMark/>
          </w:tcPr>
          <w:p w:rsidR="007F6743" w:rsidRPr="00F45A80" w:rsidRDefault="007F6743" w:rsidP="006F7BE3">
            <w:pPr>
              <w:rPr>
                <w:b/>
                <w:lang w:val="en-US"/>
              </w:rPr>
            </w:pPr>
          </w:p>
        </w:tc>
        <w:tc>
          <w:tcPr>
            <w:tcW w:w="1035" w:type="dxa"/>
            <w:tcBorders>
              <w:top w:val="single" w:sz="4" w:space="0" w:color="5B9BD5" w:themeColor="accent1"/>
              <w:left w:val="nil"/>
              <w:bottom w:val="nil"/>
              <w:right w:val="nil"/>
            </w:tcBorders>
            <w:shd w:val="clear" w:color="auto" w:fill="auto"/>
            <w:noWrap/>
            <w:vAlign w:val="bottom"/>
            <w:hideMark/>
          </w:tcPr>
          <w:p w:rsidR="007F6743" w:rsidRPr="00F45A80" w:rsidRDefault="007F6743" w:rsidP="006F7BE3">
            <w:pPr>
              <w:rPr>
                <w:b/>
                <w:lang w:val="en-US"/>
              </w:rPr>
            </w:pPr>
          </w:p>
        </w:tc>
      </w:tr>
      <w:tr w:rsidR="007F6743" w:rsidRPr="00F45A80" w:rsidTr="007F6743">
        <w:trPr>
          <w:gridAfter w:val="1"/>
          <w:wAfter w:w="45" w:type="dxa"/>
          <w:trHeight w:val="80"/>
        </w:trPr>
        <w:tc>
          <w:tcPr>
            <w:tcW w:w="4961" w:type="dxa"/>
            <w:vMerge/>
            <w:tcBorders>
              <w:top w:val="nil"/>
              <w:left w:val="nil"/>
              <w:bottom w:val="single" w:sz="4" w:space="0" w:color="5B9BD5" w:themeColor="accent1"/>
              <w:right w:val="nil"/>
            </w:tcBorders>
            <w:vAlign w:val="center"/>
            <w:hideMark/>
          </w:tcPr>
          <w:p w:rsidR="007F6743" w:rsidRPr="00F45A80" w:rsidRDefault="007F6743" w:rsidP="006F7BE3">
            <w:pPr>
              <w:rPr>
                <w:b/>
                <w:lang w:val="en-US"/>
              </w:rPr>
            </w:pPr>
          </w:p>
        </w:tc>
        <w:tc>
          <w:tcPr>
            <w:tcW w:w="1133"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b/>
                <w:lang w:val="en-US"/>
              </w:rPr>
            </w:pPr>
          </w:p>
        </w:tc>
        <w:tc>
          <w:tcPr>
            <w:tcW w:w="1134" w:type="dxa"/>
            <w:gridSpan w:val="2"/>
            <w:tcBorders>
              <w:top w:val="nil"/>
              <w:left w:val="nil"/>
              <w:bottom w:val="single" w:sz="4" w:space="0" w:color="5B9BD5"/>
              <w:right w:val="nil"/>
            </w:tcBorders>
            <w:shd w:val="clear" w:color="auto" w:fill="auto"/>
            <w:noWrap/>
            <w:vAlign w:val="bottom"/>
            <w:hideMark/>
          </w:tcPr>
          <w:p w:rsidR="007F6743" w:rsidRPr="00F45A80" w:rsidRDefault="007F6743" w:rsidP="006F7BE3">
            <w:pPr>
              <w:rPr>
                <w:b/>
                <w:lang w:val="en-US"/>
              </w:rPr>
            </w:pPr>
          </w:p>
        </w:tc>
        <w:tc>
          <w:tcPr>
            <w:tcW w:w="1134" w:type="dxa"/>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b/>
                <w:lang w:val="en-US"/>
              </w:rPr>
            </w:pPr>
          </w:p>
        </w:tc>
        <w:tc>
          <w:tcPr>
            <w:tcW w:w="1134"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b/>
                <w:lang w:val="en-US"/>
              </w:rPr>
            </w:pPr>
          </w:p>
        </w:tc>
        <w:tc>
          <w:tcPr>
            <w:tcW w:w="1134"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b/>
                <w:lang w:val="en-US"/>
              </w:rPr>
            </w:pPr>
          </w:p>
        </w:tc>
        <w:tc>
          <w:tcPr>
            <w:tcW w:w="1134"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b/>
                <w:lang w:val="en-US"/>
              </w:rPr>
            </w:pPr>
          </w:p>
        </w:tc>
        <w:tc>
          <w:tcPr>
            <w:tcW w:w="1134"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b/>
                <w:lang w:val="en-US"/>
              </w:rPr>
            </w:pPr>
          </w:p>
        </w:tc>
        <w:tc>
          <w:tcPr>
            <w:tcW w:w="2169" w:type="dxa"/>
            <w:gridSpan w:val="3"/>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jc w:val="right"/>
              <w:rPr>
                <w:i/>
                <w:sz w:val="20"/>
                <w:szCs w:val="20"/>
                <w:lang w:val="en-US"/>
              </w:rPr>
            </w:pPr>
            <w:r w:rsidRPr="00F45A80">
              <w:rPr>
                <w:i/>
                <w:sz w:val="20"/>
                <w:szCs w:val="20"/>
                <w:lang w:val="en-US"/>
              </w:rPr>
              <w:t>(mln. USD)</w:t>
            </w:r>
          </w:p>
        </w:tc>
      </w:tr>
      <w:tr w:rsidR="007F6743" w:rsidRPr="00F45A80" w:rsidTr="007F6743">
        <w:trPr>
          <w:gridAfter w:val="1"/>
          <w:wAfter w:w="45" w:type="dxa"/>
          <w:trHeight w:val="380"/>
        </w:trPr>
        <w:tc>
          <w:tcPr>
            <w:tcW w:w="4961" w:type="dxa"/>
            <w:tcBorders>
              <w:top w:val="single" w:sz="4" w:space="0" w:color="5B9BD5" w:themeColor="accent1"/>
            </w:tcBorders>
            <w:shd w:val="clear" w:color="auto" w:fill="BDD6EE" w:themeFill="accent1" w:themeFillTint="66"/>
            <w:noWrap/>
            <w:vAlign w:val="center"/>
            <w:hideMark/>
          </w:tcPr>
          <w:p w:rsidR="007F6743" w:rsidRPr="00F45A80" w:rsidRDefault="007F6743" w:rsidP="007F6743">
            <w:pPr>
              <w:rPr>
                <w:rFonts w:cs="Calibri"/>
                <w:b/>
                <w:lang w:val="en-US"/>
              </w:rPr>
            </w:pPr>
            <w:r w:rsidRPr="00F45A80">
              <w:rPr>
                <w:rFonts w:cs="Calibri"/>
                <w:b/>
                <w:lang w:val="en-US"/>
              </w:rPr>
              <w:t>Type of creditor</w:t>
            </w:r>
          </w:p>
        </w:tc>
        <w:tc>
          <w:tcPr>
            <w:tcW w:w="1133" w:type="dxa"/>
            <w:gridSpan w:val="2"/>
            <w:tcBorders>
              <w:top w:val="single" w:sz="4" w:space="0" w:color="5B9BD5" w:themeColor="accent1"/>
              <w:right w:val="single" w:sz="4" w:space="0" w:color="5B9BD5"/>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2021</w:t>
            </w:r>
          </w:p>
        </w:tc>
        <w:tc>
          <w:tcPr>
            <w:tcW w:w="1134" w:type="dxa"/>
            <w:gridSpan w:val="2"/>
            <w:tcBorders>
              <w:top w:val="single" w:sz="4" w:space="0" w:color="5B9BD5"/>
              <w:left w:val="single" w:sz="4" w:space="0" w:color="5B9BD5"/>
              <w:bottom w:val="single" w:sz="4" w:space="0" w:color="5B9BD5"/>
              <w:right w:val="single" w:sz="4" w:space="0" w:color="5B9BD5"/>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2022</w:t>
            </w:r>
          </w:p>
        </w:tc>
        <w:tc>
          <w:tcPr>
            <w:tcW w:w="1134" w:type="dxa"/>
            <w:tcBorders>
              <w:top w:val="single" w:sz="4" w:space="0" w:color="5B9BD5" w:themeColor="accent1"/>
              <w:left w:val="single" w:sz="4" w:space="0" w:color="5B9BD5"/>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2023</w:t>
            </w:r>
          </w:p>
        </w:tc>
        <w:tc>
          <w:tcPr>
            <w:tcW w:w="1134" w:type="dxa"/>
            <w:gridSpan w:val="2"/>
            <w:tcBorders>
              <w:top w:val="single" w:sz="4" w:space="0" w:color="5B9BD5" w:themeColor="accent1"/>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2024</w:t>
            </w:r>
          </w:p>
        </w:tc>
        <w:tc>
          <w:tcPr>
            <w:tcW w:w="1134" w:type="dxa"/>
            <w:gridSpan w:val="2"/>
            <w:tcBorders>
              <w:top w:val="single" w:sz="4" w:space="0" w:color="5B9BD5" w:themeColor="accent1"/>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2025</w:t>
            </w:r>
          </w:p>
        </w:tc>
        <w:tc>
          <w:tcPr>
            <w:tcW w:w="1134" w:type="dxa"/>
            <w:gridSpan w:val="2"/>
            <w:tcBorders>
              <w:top w:val="single" w:sz="4" w:space="0" w:color="5B9BD5" w:themeColor="accent1"/>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2026</w:t>
            </w:r>
          </w:p>
        </w:tc>
        <w:tc>
          <w:tcPr>
            <w:tcW w:w="1134" w:type="dxa"/>
            <w:gridSpan w:val="2"/>
            <w:tcBorders>
              <w:top w:val="single" w:sz="4" w:space="0" w:color="5B9BD5" w:themeColor="accent1"/>
            </w:tcBorders>
            <w:shd w:val="clear" w:color="auto" w:fill="BDD6EE" w:themeFill="accent1" w:themeFillTint="66"/>
            <w:noWrap/>
            <w:vAlign w:val="center"/>
            <w:hideMark/>
          </w:tcPr>
          <w:p w:rsidR="007F6743" w:rsidRPr="00C92486" w:rsidRDefault="007F6743" w:rsidP="007F6743">
            <w:pPr>
              <w:jc w:val="center"/>
              <w:rPr>
                <w:rFonts w:asciiTheme="minorHAnsi" w:hAnsiTheme="minorHAnsi" w:cstheme="minorHAnsi"/>
                <w:b/>
              </w:rPr>
            </w:pPr>
            <w:r w:rsidRPr="00C92486">
              <w:rPr>
                <w:rFonts w:asciiTheme="minorHAnsi" w:hAnsiTheme="minorHAnsi" w:cstheme="minorHAnsi"/>
                <w:b/>
              </w:rPr>
              <w:t>2027</w:t>
            </w:r>
          </w:p>
        </w:tc>
        <w:tc>
          <w:tcPr>
            <w:tcW w:w="1134" w:type="dxa"/>
            <w:gridSpan w:val="2"/>
            <w:tcBorders>
              <w:top w:val="single" w:sz="4" w:space="0" w:color="5B9BD5" w:themeColor="accent1"/>
            </w:tcBorders>
            <w:shd w:val="clear" w:color="auto" w:fill="BDD6EE" w:themeFill="accent1" w:themeFillTint="66"/>
            <w:noWrap/>
            <w:vAlign w:val="center"/>
            <w:hideMark/>
          </w:tcPr>
          <w:p w:rsidR="007F6743" w:rsidRPr="00F45A80" w:rsidRDefault="007F6743" w:rsidP="007F6743">
            <w:pPr>
              <w:jc w:val="center"/>
              <w:rPr>
                <w:b/>
                <w:lang w:val="en-US"/>
              </w:rPr>
            </w:pPr>
            <w:r>
              <w:rPr>
                <w:rFonts w:cs="Calibri"/>
                <w:b/>
                <w:lang w:val="en-US"/>
              </w:rPr>
              <w:t>after 2027</w:t>
            </w:r>
          </w:p>
        </w:tc>
        <w:tc>
          <w:tcPr>
            <w:tcW w:w="1035" w:type="dxa"/>
            <w:tcBorders>
              <w:top w:val="single" w:sz="4" w:space="0" w:color="5B9BD5" w:themeColor="accent1"/>
            </w:tcBorders>
            <w:shd w:val="clear" w:color="auto" w:fill="BDD6EE" w:themeFill="accent1" w:themeFillTint="66"/>
            <w:vAlign w:val="center"/>
            <w:hideMark/>
          </w:tcPr>
          <w:p w:rsidR="007F6743" w:rsidRPr="00F45A80" w:rsidRDefault="007F6743" w:rsidP="007F6743">
            <w:pPr>
              <w:jc w:val="center"/>
              <w:rPr>
                <w:b/>
                <w:lang w:val="en-US"/>
              </w:rPr>
            </w:pPr>
            <w:r>
              <w:rPr>
                <w:b/>
                <w:lang w:val="en-US"/>
              </w:rPr>
              <w:t>TOTAL</w:t>
            </w:r>
          </w:p>
        </w:tc>
      </w:tr>
      <w:tr w:rsidR="007F6743" w:rsidRPr="00F45A80" w:rsidTr="007F6743">
        <w:trPr>
          <w:gridAfter w:val="1"/>
          <w:wAfter w:w="45" w:type="dxa"/>
          <w:trHeight w:val="627"/>
        </w:trPr>
        <w:tc>
          <w:tcPr>
            <w:tcW w:w="4961" w:type="dxa"/>
            <w:shd w:val="clear" w:color="auto" w:fill="auto"/>
            <w:vAlign w:val="center"/>
            <w:hideMark/>
          </w:tcPr>
          <w:p w:rsidR="007F6743" w:rsidRPr="00F45A80" w:rsidRDefault="007F6743" w:rsidP="007F6743">
            <w:pPr>
              <w:rPr>
                <w:rFonts w:cs="Calibri"/>
                <w:lang w:val="en-US"/>
              </w:rPr>
            </w:pPr>
            <w:r w:rsidRPr="00F45A80">
              <w:rPr>
                <w:rFonts w:cs="Calibri"/>
                <w:lang w:val="en-US"/>
              </w:rPr>
              <w:t>Foreign banks and other financial institutions</w:t>
            </w:r>
          </w:p>
        </w:tc>
        <w:tc>
          <w:tcPr>
            <w:tcW w:w="1133"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36,3</w:t>
            </w:r>
          </w:p>
        </w:tc>
        <w:tc>
          <w:tcPr>
            <w:tcW w:w="1134" w:type="dxa"/>
            <w:gridSpan w:val="2"/>
            <w:tcBorders>
              <w:top w:val="single" w:sz="4" w:space="0" w:color="5B9BD5"/>
            </w:tcBorders>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3,2</w:t>
            </w:r>
          </w:p>
        </w:tc>
        <w:tc>
          <w:tcPr>
            <w:tcW w:w="1134"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3,8</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0,1</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0,1</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0,0</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0,1</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035" w:type="dxa"/>
            <w:shd w:val="clear" w:color="auto" w:fill="auto"/>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43,6</w:t>
            </w:r>
          </w:p>
        </w:tc>
      </w:tr>
      <w:tr w:rsidR="007F6743" w:rsidRPr="00F45A80" w:rsidTr="007F6743">
        <w:trPr>
          <w:gridAfter w:val="1"/>
          <w:wAfter w:w="45" w:type="dxa"/>
          <w:trHeight w:val="510"/>
        </w:trPr>
        <w:tc>
          <w:tcPr>
            <w:tcW w:w="4961" w:type="dxa"/>
            <w:shd w:val="clear" w:color="auto" w:fill="auto"/>
            <w:vAlign w:val="center"/>
            <w:hideMark/>
          </w:tcPr>
          <w:p w:rsidR="007F6743" w:rsidRPr="00F45A80" w:rsidRDefault="007F6743" w:rsidP="007F6743">
            <w:pPr>
              <w:rPr>
                <w:rFonts w:cs="Calibri"/>
                <w:lang w:val="en-US"/>
              </w:rPr>
            </w:pPr>
            <w:r w:rsidRPr="00F45A80">
              <w:rPr>
                <w:rFonts w:cs="Calibri"/>
                <w:lang w:val="en-US"/>
              </w:rPr>
              <w:t>Foreign parent companies and branches</w:t>
            </w:r>
          </w:p>
        </w:tc>
        <w:tc>
          <w:tcPr>
            <w:tcW w:w="1133"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035" w:type="dxa"/>
            <w:shd w:val="clear" w:color="auto" w:fill="auto"/>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r>
      <w:tr w:rsidR="007F6743" w:rsidRPr="00F45A80" w:rsidTr="007F6743">
        <w:trPr>
          <w:gridAfter w:val="1"/>
          <w:wAfter w:w="45" w:type="dxa"/>
          <w:trHeight w:val="317"/>
        </w:trPr>
        <w:tc>
          <w:tcPr>
            <w:tcW w:w="4961" w:type="dxa"/>
            <w:shd w:val="clear" w:color="auto" w:fill="auto"/>
            <w:vAlign w:val="center"/>
            <w:hideMark/>
          </w:tcPr>
          <w:p w:rsidR="007F6743" w:rsidRPr="00F45A80" w:rsidRDefault="007F6743" w:rsidP="007F6743">
            <w:pPr>
              <w:rPr>
                <w:rFonts w:cs="Calibri"/>
                <w:lang w:val="en-US"/>
              </w:rPr>
            </w:pPr>
            <w:r w:rsidRPr="00F45A80">
              <w:rPr>
                <w:rFonts w:cs="Calibri"/>
                <w:lang w:val="en-US"/>
              </w:rPr>
              <w:t>Exporters and other private sources</w:t>
            </w:r>
          </w:p>
        </w:tc>
        <w:tc>
          <w:tcPr>
            <w:tcW w:w="1133"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2,5</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035" w:type="dxa"/>
            <w:shd w:val="clear" w:color="auto" w:fill="auto"/>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2,5</w:t>
            </w:r>
          </w:p>
        </w:tc>
      </w:tr>
      <w:tr w:rsidR="007F6743" w:rsidRPr="00F45A80" w:rsidTr="007F6743">
        <w:trPr>
          <w:gridAfter w:val="1"/>
          <w:wAfter w:w="45" w:type="dxa"/>
          <w:trHeight w:val="691"/>
        </w:trPr>
        <w:tc>
          <w:tcPr>
            <w:tcW w:w="4961" w:type="dxa"/>
            <w:shd w:val="clear" w:color="auto" w:fill="auto"/>
            <w:vAlign w:val="center"/>
            <w:hideMark/>
          </w:tcPr>
          <w:p w:rsidR="007F6743" w:rsidRPr="00F45A80" w:rsidRDefault="007F6743" w:rsidP="007F6743">
            <w:pPr>
              <w:rPr>
                <w:rFonts w:cs="Calibri"/>
                <w:lang w:val="en-US"/>
              </w:rPr>
            </w:pPr>
            <w:r w:rsidRPr="00F45A80">
              <w:rPr>
                <w:rFonts w:cs="Calibri"/>
                <w:lang w:val="en-US"/>
              </w:rPr>
              <w:t>Official sources (Governments and international institutions)</w:t>
            </w:r>
          </w:p>
        </w:tc>
        <w:tc>
          <w:tcPr>
            <w:tcW w:w="1133"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4,4</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0,9</w:t>
            </w:r>
          </w:p>
        </w:tc>
        <w:tc>
          <w:tcPr>
            <w:tcW w:w="1134"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035" w:type="dxa"/>
            <w:shd w:val="clear" w:color="auto" w:fill="auto"/>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5,3</w:t>
            </w:r>
          </w:p>
        </w:tc>
      </w:tr>
      <w:tr w:rsidR="007F6743" w:rsidRPr="00F45A80" w:rsidTr="007F6743">
        <w:trPr>
          <w:gridAfter w:val="1"/>
          <w:wAfter w:w="45" w:type="dxa"/>
          <w:trHeight w:val="255"/>
        </w:trPr>
        <w:tc>
          <w:tcPr>
            <w:tcW w:w="4961" w:type="dxa"/>
            <w:shd w:val="clear" w:color="auto" w:fill="BDD6EE" w:themeFill="accent1" w:themeFillTint="66"/>
            <w:noWrap/>
            <w:vAlign w:val="center"/>
            <w:hideMark/>
          </w:tcPr>
          <w:p w:rsidR="007F6743" w:rsidRPr="00945122" w:rsidRDefault="007F6743" w:rsidP="007F6743">
            <w:pPr>
              <w:jc w:val="center"/>
              <w:rPr>
                <w:rFonts w:cs="Calibri"/>
                <w:lang w:val="en-US"/>
              </w:rPr>
            </w:pPr>
            <w:r w:rsidRPr="00945122">
              <w:rPr>
                <w:rFonts w:cs="Calibri"/>
                <w:lang w:val="en-US"/>
              </w:rPr>
              <w:t>TOTAL</w:t>
            </w:r>
          </w:p>
        </w:tc>
        <w:tc>
          <w:tcPr>
            <w:tcW w:w="1133" w:type="dxa"/>
            <w:gridSpan w:val="2"/>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43,2</w:t>
            </w:r>
          </w:p>
        </w:tc>
        <w:tc>
          <w:tcPr>
            <w:tcW w:w="1134" w:type="dxa"/>
            <w:gridSpan w:val="2"/>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4,1</w:t>
            </w:r>
          </w:p>
        </w:tc>
        <w:tc>
          <w:tcPr>
            <w:tcW w:w="1134" w:type="dxa"/>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3,8</w:t>
            </w:r>
          </w:p>
        </w:tc>
        <w:tc>
          <w:tcPr>
            <w:tcW w:w="1134" w:type="dxa"/>
            <w:gridSpan w:val="2"/>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0,1</w:t>
            </w:r>
          </w:p>
        </w:tc>
        <w:tc>
          <w:tcPr>
            <w:tcW w:w="1134" w:type="dxa"/>
            <w:gridSpan w:val="2"/>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0,1</w:t>
            </w:r>
          </w:p>
        </w:tc>
        <w:tc>
          <w:tcPr>
            <w:tcW w:w="1134" w:type="dxa"/>
            <w:gridSpan w:val="2"/>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0,0</w:t>
            </w:r>
          </w:p>
        </w:tc>
        <w:tc>
          <w:tcPr>
            <w:tcW w:w="1134" w:type="dxa"/>
            <w:gridSpan w:val="2"/>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0,1</w:t>
            </w:r>
          </w:p>
        </w:tc>
        <w:tc>
          <w:tcPr>
            <w:tcW w:w="1134" w:type="dxa"/>
            <w:gridSpan w:val="2"/>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w:t>
            </w:r>
          </w:p>
        </w:tc>
        <w:tc>
          <w:tcPr>
            <w:tcW w:w="1035" w:type="dxa"/>
            <w:shd w:val="clear" w:color="auto" w:fill="BDD6EE" w:themeFill="accent1" w:themeFillTint="66"/>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51,4</w:t>
            </w:r>
          </w:p>
        </w:tc>
      </w:tr>
    </w:tbl>
    <w:p w:rsidR="009304D9" w:rsidRPr="00B30F70" w:rsidRDefault="009304D9" w:rsidP="009304D9">
      <w:pPr>
        <w:pStyle w:val="af2"/>
        <w:keepNext/>
        <w:ind w:right="-31"/>
        <w:jc w:val="right"/>
        <w:rPr>
          <w:iCs w:val="0"/>
          <w:color w:val="auto"/>
          <w:sz w:val="22"/>
          <w:szCs w:val="22"/>
          <w:lang w:val="en-US"/>
        </w:rPr>
      </w:pPr>
      <w:r w:rsidRPr="00B30F70">
        <w:rPr>
          <w:sz w:val="22"/>
          <w:szCs w:val="22"/>
          <w:lang w:val="en-US"/>
        </w:rPr>
        <w:br w:type="page"/>
      </w:r>
      <w:r w:rsidR="00A11907" w:rsidRPr="00B30F70">
        <w:rPr>
          <w:iCs w:val="0"/>
          <w:color w:val="auto"/>
          <w:sz w:val="22"/>
          <w:szCs w:val="22"/>
          <w:lang w:val="en-US"/>
        </w:rPr>
        <w:lastRenderedPageBreak/>
        <w:t>Addenda 1</w:t>
      </w:r>
      <w:r w:rsidR="007F6743">
        <w:rPr>
          <w:iCs w:val="0"/>
          <w:color w:val="auto"/>
          <w:sz w:val="22"/>
          <w:szCs w:val="22"/>
          <w:lang w:val="en-US"/>
        </w:rPr>
        <w:t>4</w:t>
      </w:r>
      <w:r w:rsidR="00A11907" w:rsidRPr="00B30F70">
        <w:rPr>
          <w:iCs w:val="0"/>
          <w:color w:val="auto"/>
          <w:sz w:val="22"/>
          <w:szCs w:val="22"/>
          <w:lang w:val="en-US"/>
        </w:rPr>
        <w:t>.5</w:t>
      </w:r>
    </w:p>
    <w:p w:rsidR="009304D9" w:rsidRPr="00F45A80" w:rsidRDefault="009304D9" w:rsidP="009304D9">
      <w:pPr>
        <w:jc w:val="center"/>
        <w:rPr>
          <w:b/>
          <w:lang w:val="en-US"/>
        </w:rPr>
      </w:pPr>
    </w:p>
    <w:p w:rsidR="009304D9" w:rsidRPr="00F45A80" w:rsidRDefault="009304D9" w:rsidP="009304D9">
      <w:pPr>
        <w:jc w:val="center"/>
        <w:rPr>
          <w:b/>
          <w:lang w:val="en-US"/>
        </w:rPr>
      </w:pPr>
      <w:r w:rsidRPr="00B30F70">
        <w:rPr>
          <w:rFonts w:cs="Calibri"/>
          <w:b/>
          <w:sz w:val="26"/>
          <w:szCs w:val="26"/>
          <w:lang w:val="en-US"/>
        </w:rPr>
        <w:t xml:space="preserve">INFORMATION ON RECEIPTS AND PAYMENTS OF PRIVATE EXTERNAL DEBT </w:t>
      </w:r>
      <w:r w:rsidR="00752542">
        <w:rPr>
          <w:rFonts w:cs="Calibri"/>
          <w:b/>
          <w:sz w:val="26"/>
          <w:szCs w:val="26"/>
          <w:lang w:val="en-US"/>
        </w:rPr>
        <w:t>FOR</w:t>
      </w:r>
      <w:r w:rsidRPr="00B30F70">
        <w:rPr>
          <w:rFonts w:cs="Calibri"/>
          <w:b/>
          <w:sz w:val="26"/>
          <w:szCs w:val="26"/>
          <w:lang w:val="en-US"/>
        </w:rPr>
        <w:t xml:space="preserve"> 20</w:t>
      </w:r>
      <w:r w:rsidR="00C0577E">
        <w:rPr>
          <w:rFonts w:cs="Calibri"/>
          <w:b/>
          <w:sz w:val="26"/>
          <w:szCs w:val="26"/>
          <w:lang w:val="en-US"/>
        </w:rPr>
        <w:t>20</w:t>
      </w:r>
      <w:r w:rsidRPr="00BD3E98">
        <w:rPr>
          <w:rFonts w:cs="Calibri"/>
          <w:b/>
          <w:sz w:val="26"/>
          <w:szCs w:val="26"/>
          <w:lang w:val="en-US"/>
        </w:rPr>
        <w:br/>
      </w:r>
      <w:r w:rsidRPr="00F45A80">
        <w:rPr>
          <w:rFonts w:cs="Calibri"/>
          <w:i/>
          <w:lang w:val="en-US"/>
        </w:rPr>
        <w:t>(Type of borrower: enterprises with direct investments)</w:t>
      </w:r>
    </w:p>
    <w:p w:rsidR="009304D9" w:rsidRPr="00F45A80" w:rsidRDefault="009304D9" w:rsidP="009304D9">
      <w:pPr>
        <w:ind w:right="111"/>
        <w:jc w:val="right"/>
        <w:rPr>
          <w:i/>
          <w:sz w:val="20"/>
          <w:szCs w:val="20"/>
          <w:lang w:val="en-US"/>
        </w:rPr>
      </w:pPr>
      <w:r w:rsidRPr="00F45A80">
        <w:rPr>
          <w:i/>
          <w:sz w:val="20"/>
          <w:szCs w:val="20"/>
          <w:lang w:val="en-US"/>
        </w:rPr>
        <w:t xml:space="preserve"> (mln. USD)</w:t>
      </w:r>
    </w:p>
    <w:tbl>
      <w:tblPr>
        <w:tblW w:w="14992" w:type="dxa"/>
        <w:tblInd w:w="27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369"/>
        <w:gridCol w:w="1701"/>
        <w:gridCol w:w="1577"/>
        <w:gridCol w:w="1487"/>
        <w:gridCol w:w="1613"/>
        <w:gridCol w:w="1701"/>
        <w:gridCol w:w="1843"/>
        <w:gridCol w:w="1701"/>
      </w:tblGrid>
      <w:tr w:rsidR="009304D9" w:rsidRPr="00F45A80" w:rsidTr="00832C1D">
        <w:trPr>
          <w:trHeight w:val="255"/>
        </w:trPr>
        <w:tc>
          <w:tcPr>
            <w:tcW w:w="3369" w:type="dxa"/>
            <w:vMerge w:val="restart"/>
            <w:shd w:val="clear" w:color="auto" w:fill="BDD6EE" w:themeFill="accent1" w:themeFillTint="66"/>
            <w:vAlign w:val="center"/>
            <w:hideMark/>
          </w:tcPr>
          <w:p w:rsidR="009304D9" w:rsidRPr="00F45A80" w:rsidRDefault="009304D9" w:rsidP="006F7BE3">
            <w:pPr>
              <w:jc w:val="center"/>
              <w:rPr>
                <w:b/>
                <w:lang w:val="en-US"/>
              </w:rPr>
            </w:pPr>
            <w:r w:rsidRPr="00F45A80">
              <w:rPr>
                <w:rFonts w:cs="Calibri"/>
                <w:b/>
                <w:lang w:val="en-US"/>
              </w:rPr>
              <w:t>Type of creditor</w:t>
            </w:r>
          </w:p>
        </w:tc>
        <w:tc>
          <w:tcPr>
            <w:tcW w:w="1701" w:type="dxa"/>
            <w:shd w:val="clear" w:color="auto" w:fill="BDD6EE" w:themeFill="accent1" w:themeFillTint="66"/>
            <w:vAlign w:val="center"/>
            <w:hideMark/>
          </w:tcPr>
          <w:p w:rsidR="009304D9" w:rsidRPr="00F45A80" w:rsidRDefault="009304D9" w:rsidP="006F7BE3">
            <w:pPr>
              <w:jc w:val="center"/>
              <w:rPr>
                <w:rFonts w:cs="Calibri"/>
                <w:b/>
                <w:lang w:val="en-US"/>
              </w:rPr>
            </w:pPr>
            <w:r w:rsidRPr="00F45A80">
              <w:rPr>
                <w:rFonts w:cs="Calibri"/>
                <w:b/>
                <w:lang w:val="en-US"/>
              </w:rPr>
              <w:t xml:space="preserve">Beginning of </w:t>
            </w:r>
          </w:p>
          <w:p w:rsidR="009304D9" w:rsidRPr="00F45A80" w:rsidRDefault="009304D9" w:rsidP="006F7BE3">
            <w:pPr>
              <w:jc w:val="center"/>
              <w:rPr>
                <w:rFonts w:cs="Calibri"/>
                <w:b/>
                <w:lang w:val="en-US"/>
              </w:rPr>
            </w:pPr>
            <w:r w:rsidRPr="00F45A80">
              <w:rPr>
                <w:rFonts w:cs="Calibri"/>
                <w:b/>
                <w:lang w:val="en-US"/>
              </w:rPr>
              <w:t>period</w:t>
            </w:r>
          </w:p>
        </w:tc>
        <w:tc>
          <w:tcPr>
            <w:tcW w:w="8221" w:type="dxa"/>
            <w:gridSpan w:val="5"/>
            <w:shd w:val="clear" w:color="auto" w:fill="BDD6EE" w:themeFill="accent1" w:themeFillTint="66"/>
            <w:noWrap/>
            <w:vAlign w:val="center"/>
            <w:hideMark/>
          </w:tcPr>
          <w:p w:rsidR="009304D9" w:rsidRPr="00F45A80" w:rsidRDefault="009304D9" w:rsidP="006F7BE3">
            <w:pPr>
              <w:jc w:val="center"/>
              <w:rPr>
                <w:rFonts w:cs="Calibri"/>
                <w:b/>
                <w:lang w:val="en-US"/>
              </w:rPr>
            </w:pPr>
            <w:r w:rsidRPr="00F45A80">
              <w:rPr>
                <w:rFonts w:cs="Calibri"/>
                <w:b/>
                <w:lang w:val="en-US"/>
              </w:rPr>
              <w:t>Dynamics during the period</w:t>
            </w:r>
          </w:p>
        </w:tc>
        <w:tc>
          <w:tcPr>
            <w:tcW w:w="1701" w:type="dxa"/>
            <w:shd w:val="clear" w:color="auto" w:fill="BDD6EE" w:themeFill="accent1" w:themeFillTint="66"/>
            <w:vAlign w:val="center"/>
            <w:hideMark/>
          </w:tcPr>
          <w:p w:rsidR="009304D9" w:rsidRPr="00F45A80" w:rsidRDefault="009304D9" w:rsidP="006F7BE3">
            <w:pPr>
              <w:jc w:val="center"/>
              <w:rPr>
                <w:rFonts w:cs="Calibri"/>
                <w:b/>
                <w:lang w:val="en-US"/>
              </w:rPr>
            </w:pPr>
            <w:r w:rsidRPr="00F45A80">
              <w:rPr>
                <w:rFonts w:cs="Calibri"/>
                <w:b/>
                <w:lang w:val="en-US"/>
              </w:rPr>
              <w:t>End of period</w:t>
            </w:r>
          </w:p>
        </w:tc>
      </w:tr>
      <w:tr w:rsidR="009304D9" w:rsidRPr="00F45A80" w:rsidTr="00832C1D">
        <w:trPr>
          <w:trHeight w:val="510"/>
        </w:trPr>
        <w:tc>
          <w:tcPr>
            <w:tcW w:w="3369" w:type="dxa"/>
            <w:vMerge/>
            <w:shd w:val="clear" w:color="auto" w:fill="BDD6EE" w:themeFill="accent1" w:themeFillTint="66"/>
            <w:vAlign w:val="center"/>
            <w:hideMark/>
          </w:tcPr>
          <w:p w:rsidR="009304D9" w:rsidRPr="00F45A80" w:rsidRDefault="009304D9" w:rsidP="006F7BE3">
            <w:pPr>
              <w:rPr>
                <w:b/>
                <w:lang w:val="en-US"/>
              </w:rPr>
            </w:pPr>
          </w:p>
        </w:tc>
        <w:tc>
          <w:tcPr>
            <w:tcW w:w="1701" w:type="dxa"/>
            <w:shd w:val="clear" w:color="auto" w:fill="BDD6EE" w:themeFill="accent1" w:themeFillTint="66"/>
            <w:vAlign w:val="center"/>
            <w:hideMark/>
          </w:tcPr>
          <w:p w:rsidR="009304D9" w:rsidRPr="00F45A80" w:rsidRDefault="009304D9" w:rsidP="006F7BE3">
            <w:pPr>
              <w:jc w:val="center"/>
              <w:rPr>
                <w:rFonts w:cs="Calibri"/>
                <w:b/>
                <w:lang w:val="en-US"/>
              </w:rPr>
            </w:pPr>
            <w:r w:rsidRPr="00F45A80">
              <w:rPr>
                <w:rFonts w:cs="Calibri"/>
                <w:b/>
                <w:lang w:val="en-US"/>
              </w:rPr>
              <w:t>Actual debt</w:t>
            </w:r>
          </w:p>
        </w:tc>
        <w:tc>
          <w:tcPr>
            <w:tcW w:w="1577" w:type="dxa"/>
            <w:shd w:val="clear" w:color="auto" w:fill="BDD6EE" w:themeFill="accent1" w:themeFillTint="66"/>
            <w:vAlign w:val="center"/>
            <w:hideMark/>
          </w:tcPr>
          <w:p w:rsidR="009304D9" w:rsidRPr="00F45A80" w:rsidRDefault="009304D9" w:rsidP="006F7BE3">
            <w:pPr>
              <w:jc w:val="center"/>
              <w:rPr>
                <w:rFonts w:cs="Calibri"/>
                <w:b/>
                <w:lang w:val="en-US"/>
              </w:rPr>
            </w:pPr>
            <w:r w:rsidRPr="00F45A80">
              <w:rPr>
                <w:rFonts w:cs="Calibri"/>
                <w:b/>
                <w:lang w:val="en-US"/>
              </w:rPr>
              <w:t>Receipts</w:t>
            </w:r>
          </w:p>
        </w:tc>
        <w:tc>
          <w:tcPr>
            <w:tcW w:w="1487" w:type="dxa"/>
            <w:shd w:val="clear" w:color="auto" w:fill="BDD6EE" w:themeFill="accent1" w:themeFillTint="66"/>
            <w:vAlign w:val="center"/>
            <w:hideMark/>
          </w:tcPr>
          <w:p w:rsidR="009304D9" w:rsidRPr="00F45A80" w:rsidRDefault="009304D9" w:rsidP="006F7BE3">
            <w:pPr>
              <w:jc w:val="center"/>
              <w:rPr>
                <w:rFonts w:cs="Calibri"/>
                <w:b/>
                <w:lang w:val="en-US"/>
              </w:rPr>
            </w:pPr>
            <w:r w:rsidRPr="00F45A80">
              <w:rPr>
                <w:rFonts w:cs="Calibri"/>
                <w:b/>
                <w:lang w:val="en-US"/>
              </w:rPr>
              <w:t>Repayment of</w:t>
            </w:r>
          </w:p>
          <w:p w:rsidR="009304D9" w:rsidRPr="00F45A80" w:rsidRDefault="009304D9" w:rsidP="006F7BE3">
            <w:pPr>
              <w:jc w:val="center"/>
              <w:rPr>
                <w:rFonts w:cs="Calibri"/>
                <w:b/>
                <w:lang w:val="en-US"/>
              </w:rPr>
            </w:pPr>
            <w:r w:rsidRPr="00F45A80">
              <w:rPr>
                <w:rFonts w:cs="Calibri"/>
                <w:b/>
                <w:lang w:val="en-US"/>
              </w:rPr>
              <w:t>principal debt</w:t>
            </w:r>
          </w:p>
        </w:tc>
        <w:tc>
          <w:tcPr>
            <w:tcW w:w="1613" w:type="dxa"/>
            <w:shd w:val="clear" w:color="auto" w:fill="BDD6EE" w:themeFill="accent1" w:themeFillTint="66"/>
            <w:vAlign w:val="center"/>
            <w:hideMark/>
          </w:tcPr>
          <w:p w:rsidR="009304D9" w:rsidRPr="00F45A80" w:rsidRDefault="009304D9" w:rsidP="006F7BE3">
            <w:pPr>
              <w:jc w:val="center"/>
              <w:rPr>
                <w:rFonts w:cs="Calibri"/>
                <w:b/>
                <w:lang w:val="en-US"/>
              </w:rPr>
            </w:pPr>
            <w:r w:rsidRPr="00F45A80">
              <w:rPr>
                <w:rFonts w:cs="Calibri"/>
                <w:b/>
                <w:lang w:val="en-US"/>
              </w:rPr>
              <w:t xml:space="preserve">Interest </w:t>
            </w:r>
          </w:p>
          <w:p w:rsidR="009304D9" w:rsidRPr="00F45A80" w:rsidRDefault="009304D9" w:rsidP="006F7BE3">
            <w:pPr>
              <w:jc w:val="center"/>
              <w:rPr>
                <w:rFonts w:cs="Calibri"/>
                <w:b/>
                <w:lang w:val="en-US"/>
              </w:rPr>
            </w:pPr>
            <w:r w:rsidRPr="00F45A80">
              <w:rPr>
                <w:rFonts w:cs="Calibri"/>
                <w:b/>
                <w:lang w:val="en-US"/>
              </w:rPr>
              <w:t>payments</w:t>
            </w:r>
          </w:p>
        </w:tc>
        <w:tc>
          <w:tcPr>
            <w:tcW w:w="1701" w:type="dxa"/>
            <w:shd w:val="clear" w:color="auto" w:fill="BDD6EE" w:themeFill="accent1" w:themeFillTint="66"/>
            <w:vAlign w:val="center"/>
            <w:hideMark/>
          </w:tcPr>
          <w:p w:rsidR="009304D9" w:rsidRPr="00F45A80" w:rsidRDefault="009304D9" w:rsidP="006F7BE3">
            <w:pPr>
              <w:jc w:val="center"/>
              <w:rPr>
                <w:rFonts w:cs="Calibri"/>
                <w:b/>
                <w:lang w:val="en-US"/>
              </w:rPr>
            </w:pPr>
            <w:r w:rsidRPr="00F45A80">
              <w:rPr>
                <w:rFonts w:cs="Calibri"/>
                <w:b/>
                <w:lang w:val="en-US"/>
              </w:rPr>
              <w:t>Rescheduled</w:t>
            </w:r>
          </w:p>
          <w:p w:rsidR="009304D9" w:rsidRPr="00F45A80" w:rsidRDefault="009304D9" w:rsidP="006F7BE3">
            <w:pPr>
              <w:jc w:val="center"/>
              <w:rPr>
                <w:rFonts w:cs="Calibri"/>
                <w:b/>
                <w:lang w:val="en-US"/>
              </w:rPr>
            </w:pPr>
            <w:r w:rsidRPr="00F45A80">
              <w:rPr>
                <w:rFonts w:cs="Calibri"/>
                <w:b/>
                <w:lang w:val="en-US"/>
              </w:rPr>
              <w:t xml:space="preserve">principal debt </w:t>
            </w:r>
          </w:p>
          <w:p w:rsidR="009304D9" w:rsidRPr="00F45A80" w:rsidRDefault="009304D9" w:rsidP="006F7BE3">
            <w:pPr>
              <w:jc w:val="center"/>
              <w:rPr>
                <w:rFonts w:cs="Calibri"/>
                <w:b/>
                <w:lang w:val="en-US"/>
              </w:rPr>
            </w:pPr>
            <w:r w:rsidRPr="00F45A80">
              <w:rPr>
                <w:rFonts w:cs="Calibri"/>
                <w:b/>
                <w:lang w:val="en-US"/>
              </w:rPr>
              <w:t>payments</w:t>
            </w:r>
          </w:p>
        </w:tc>
        <w:tc>
          <w:tcPr>
            <w:tcW w:w="1843" w:type="dxa"/>
            <w:shd w:val="clear" w:color="auto" w:fill="BDD6EE" w:themeFill="accent1" w:themeFillTint="66"/>
            <w:vAlign w:val="center"/>
            <w:hideMark/>
          </w:tcPr>
          <w:p w:rsidR="009304D9" w:rsidRPr="00F45A80" w:rsidRDefault="009304D9" w:rsidP="006F7BE3">
            <w:pPr>
              <w:jc w:val="center"/>
              <w:rPr>
                <w:rFonts w:cs="Calibri"/>
                <w:b/>
                <w:lang w:val="en-US"/>
              </w:rPr>
            </w:pPr>
            <w:r w:rsidRPr="00F45A80">
              <w:rPr>
                <w:rFonts w:cs="Calibri"/>
                <w:b/>
                <w:lang w:val="en-US"/>
              </w:rPr>
              <w:t>Rescheduled</w:t>
            </w:r>
          </w:p>
          <w:p w:rsidR="009304D9" w:rsidRPr="00F45A80" w:rsidRDefault="009304D9" w:rsidP="006F7BE3">
            <w:pPr>
              <w:jc w:val="center"/>
              <w:rPr>
                <w:rFonts w:cs="Calibri"/>
                <w:b/>
                <w:lang w:val="en-US"/>
              </w:rPr>
            </w:pPr>
            <w:r w:rsidRPr="00F45A80">
              <w:rPr>
                <w:rFonts w:cs="Calibri"/>
                <w:b/>
                <w:lang w:val="en-US"/>
              </w:rPr>
              <w:t xml:space="preserve">interest </w:t>
            </w:r>
          </w:p>
          <w:p w:rsidR="009304D9" w:rsidRPr="00F45A80" w:rsidRDefault="009304D9" w:rsidP="006F7BE3">
            <w:pPr>
              <w:jc w:val="center"/>
              <w:rPr>
                <w:rFonts w:cs="Calibri"/>
                <w:b/>
                <w:lang w:val="en-US"/>
              </w:rPr>
            </w:pPr>
            <w:r w:rsidRPr="00F45A80">
              <w:rPr>
                <w:rFonts w:cs="Calibri"/>
                <w:b/>
                <w:lang w:val="en-US"/>
              </w:rPr>
              <w:t>payments</w:t>
            </w:r>
          </w:p>
        </w:tc>
        <w:tc>
          <w:tcPr>
            <w:tcW w:w="1701" w:type="dxa"/>
            <w:shd w:val="clear" w:color="auto" w:fill="BDD6EE" w:themeFill="accent1" w:themeFillTint="66"/>
            <w:vAlign w:val="center"/>
            <w:hideMark/>
          </w:tcPr>
          <w:p w:rsidR="009304D9" w:rsidRPr="00F45A80" w:rsidRDefault="009304D9" w:rsidP="006F7BE3">
            <w:pPr>
              <w:jc w:val="center"/>
              <w:rPr>
                <w:rFonts w:cs="Calibri"/>
                <w:b/>
                <w:lang w:val="en-US"/>
              </w:rPr>
            </w:pPr>
            <w:r w:rsidRPr="00F45A80">
              <w:rPr>
                <w:rFonts w:cs="Calibri"/>
                <w:b/>
                <w:lang w:val="en-US"/>
              </w:rPr>
              <w:t>Actual debt</w:t>
            </w:r>
          </w:p>
        </w:tc>
      </w:tr>
      <w:tr w:rsidR="009304D9" w:rsidRPr="00F45A80" w:rsidTr="004817AF">
        <w:trPr>
          <w:trHeight w:val="255"/>
        </w:trPr>
        <w:tc>
          <w:tcPr>
            <w:tcW w:w="3369" w:type="dxa"/>
            <w:shd w:val="clear" w:color="auto" w:fill="auto"/>
            <w:noWrap/>
            <w:vAlign w:val="center"/>
            <w:hideMark/>
          </w:tcPr>
          <w:p w:rsidR="009304D9" w:rsidRPr="00F45A80" w:rsidRDefault="009304D9" w:rsidP="006F7BE3">
            <w:pPr>
              <w:jc w:val="center"/>
              <w:rPr>
                <w:lang w:val="en-US"/>
              </w:rPr>
            </w:pPr>
            <w:r w:rsidRPr="00F45A80">
              <w:rPr>
                <w:lang w:val="en-US"/>
              </w:rPr>
              <w:t>1</w:t>
            </w:r>
          </w:p>
        </w:tc>
        <w:tc>
          <w:tcPr>
            <w:tcW w:w="1701" w:type="dxa"/>
            <w:shd w:val="clear" w:color="auto" w:fill="auto"/>
            <w:noWrap/>
            <w:vAlign w:val="center"/>
            <w:hideMark/>
          </w:tcPr>
          <w:p w:rsidR="009304D9" w:rsidRPr="00F45A80" w:rsidRDefault="009304D9" w:rsidP="006F7BE3">
            <w:pPr>
              <w:jc w:val="center"/>
              <w:rPr>
                <w:lang w:val="en-US"/>
              </w:rPr>
            </w:pPr>
            <w:r w:rsidRPr="00F45A80">
              <w:rPr>
                <w:lang w:val="en-US"/>
              </w:rPr>
              <w:t>2</w:t>
            </w:r>
          </w:p>
        </w:tc>
        <w:tc>
          <w:tcPr>
            <w:tcW w:w="1577" w:type="dxa"/>
            <w:shd w:val="clear" w:color="auto" w:fill="auto"/>
            <w:noWrap/>
            <w:vAlign w:val="center"/>
            <w:hideMark/>
          </w:tcPr>
          <w:p w:rsidR="009304D9" w:rsidRPr="00F45A80" w:rsidRDefault="009304D9" w:rsidP="006F7BE3">
            <w:pPr>
              <w:jc w:val="center"/>
              <w:rPr>
                <w:lang w:val="en-US"/>
              </w:rPr>
            </w:pPr>
            <w:r w:rsidRPr="00F45A80">
              <w:rPr>
                <w:lang w:val="en-US"/>
              </w:rPr>
              <w:t>3</w:t>
            </w:r>
          </w:p>
        </w:tc>
        <w:tc>
          <w:tcPr>
            <w:tcW w:w="1487" w:type="dxa"/>
            <w:shd w:val="clear" w:color="auto" w:fill="auto"/>
            <w:noWrap/>
            <w:vAlign w:val="center"/>
            <w:hideMark/>
          </w:tcPr>
          <w:p w:rsidR="009304D9" w:rsidRPr="00F45A80" w:rsidRDefault="009304D9" w:rsidP="006F7BE3">
            <w:pPr>
              <w:jc w:val="center"/>
              <w:rPr>
                <w:lang w:val="en-US"/>
              </w:rPr>
            </w:pPr>
            <w:r w:rsidRPr="00F45A80">
              <w:rPr>
                <w:lang w:val="en-US"/>
              </w:rPr>
              <w:t>4</w:t>
            </w:r>
          </w:p>
        </w:tc>
        <w:tc>
          <w:tcPr>
            <w:tcW w:w="1613" w:type="dxa"/>
            <w:shd w:val="clear" w:color="auto" w:fill="auto"/>
            <w:noWrap/>
            <w:vAlign w:val="center"/>
            <w:hideMark/>
          </w:tcPr>
          <w:p w:rsidR="009304D9" w:rsidRPr="00F45A80" w:rsidRDefault="009304D9" w:rsidP="006F7BE3">
            <w:pPr>
              <w:jc w:val="center"/>
              <w:rPr>
                <w:lang w:val="en-US"/>
              </w:rPr>
            </w:pPr>
            <w:r w:rsidRPr="00F45A80">
              <w:rPr>
                <w:lang w:val="en-US"/>
              </w:rPr>
              <w:t>5</w:t>
            </w:r>
          </w:p>
        </w:tc>
        <w:tc>
          <w:tcPr>
            <w:tcW w:w="1701" w:type="dxa"/>
            <w:shd w:val="clear" w:color="auto" w:fill="auto"/>
            <w:noWrap/>
            <w:vAlign w:val="center"/>
            <w:hideMark/>
          </w:tcPr>
          <w:p w:rsidR="009304D9" w:rsidRPr="00F45A80" w:rsidRDefault="009304D9" w:rsidP="006F7BE3">
            <w:pPr>
              <w:jc w:val="center"/>
              <w:rPr>
                <w:lang w:val="en-US"/>
              </w:rPr>
            </w:pPr>
            <w:r w:rsidRPr="00F45A80">
              <w:rPr>
                <w:lang w:val="en-US"/>
              </w:rPr>
              <w:t>6</w:t>
            </w:r>
          </w:p>
        </w:tc>
        <w:tc>
          <w:tcPr>
            <w:tcW w:w="1843" w:type="dxa"/>
            <w:shd w:val="clear" w:color="auto" w:fill="auto"/>
            <w:noWrap/>
            <w:vAlign w:val="center"/>
            <w:hideMark/>
          </w:tcPr>
          <w:p w:rsidR="009304D9" w:rsidRPr="00F45A80" w:rsidRDefault="009304D9" w:rsidP="006F7BE3">
            <w:pPr>
              <w:jc w:val="center"/>
              <w:rPr>
                <w:lang w:val="en-US"/>
              </w:rPr>
            </w:pPr>
            <w:r w:rsidRPr="00F45A80">
              <w:rPr>
                <w:lang w:val="en-US"/>
              </w:rPr>
              <w:t>7</w:t>
            </w:r>
          </w:p>
        </w:tc>
        <w:tc>
          <w:tcPr>
            <w:tcW w:w="1701" w:type="dxa"/>
            <w:shd w:val="clear" w:color="auto" w:fill="auto"/>
            <w:noWrap/>
            <w:vAlign w:val="center"/>
            <w:hideMark/>
          </w:tcPr>
          <w:p w:rsidR="009304D9" w:rsidRPr="00F45A80" w:rsidRDefault="009304D9" w:rsidP="006F7BE3">
            <w:pPr>
              <w:jc w:val="center"/>
              <w:rPr>
                <w:lang w:val="en-US"/>
              </w:rPr>
            </w:pPr>
            <w:r w:rsidRPr="00F45A80">
              <w:rPr>
                <w:lang w:val="en-US"/>
              </w:rPr>
              <w:t>8</w:t>
            </w:r>
          </w:p>
        </w:tc>
      </w:tr>
      <w:tr w:rsidR="007F6743" w:rsidRPr="00F45A80" w:rsidTr="004817AF">
        <w:trPr>
          <w:trHeight w:val="765"/>
        </w:trPr>
        <w:tc>
          <w:tcPr>
            <w:tcW w:w="3369" w:type="dxa"/>
            <w:shd w:val="clear" w:color="auto" w:fill="auto"/>
            <w:vAlign w:val="center"/>
            <w:hideMark/>
          </w:tcPr>
          <w:p w:rsidR="007F6743" w:rsidRPr="00F45A80" w:rsidRDefault="007F6743" w:rsidP="007F6743">
            <w:pPr>
              <w:rPr>
                <w:rFonts w:cs="Calibri"/>
                <w:lang w:val="en-US"/>
              </w:rPr>
            </w:pPr>
            <w:r w:rsidRPr="00F45A80">
              <w:rPr>
                <w:rFonts w:cs="Calibri"/>
                <w:lang w:val="en-US"/>
              </w:rPr>
              <w:t>Foreign banks and other financial institutions</w:t>
            </w:r>
          </w:p>
        </w:tc>
        <w:tc>
          <w:tcPr>
            <w:tcW w:w="1701"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3 977,0</w:t>
            </w:r>
          </w:p>
        </w:tc>
        <w:tc>
          <w:tcPr>
            <w:tcW w:w="1577"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94,3</w:t>
            </w:r>
          </w:p>
        </w:tc>
        <w:tc>
          <w:tcPr>
            <w:tcW w:w="1487"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662,1</w:t>
            </w:r>
          </w:p>
        </w:tc>
        <w:tc>
          <w:tcPr>
            <w:tcW w:w="1613"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159,3</w:t>
            </w:r>
          </w:p>
        </w:tc>
        <w:tc>
          <w:tcPr>
            <w:tcW w:w="1701"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843"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701"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3 423,4</w:t>
            </w:r>
          </w:p>
        </w:tc>
      </w:tr>
      <w:tr w:rsidR="007F6743" w:rsidRPr="00F45A80" w:rsidTr="004817AF">
        <w:trPr>
          <w:trHeight w:val="510"/>
        </w:trPr>
        <w:tc>
          <w:tcPr>
            <w:tcW w:w="3369" w:type="dxa"/>
            <w:shd w:val="clear" w:color="auto" w:fill="auto"/>
            <w:vAlign w:val="center"/>
            <w:hideMark/>
          </w:tcPr>
          <w:p w:rsidR="007F6743" w:rsidRPr="00F45A80" w:rsidRDefault="007F6743" w:rsidP="007F6743">
            <w:pPr>
              <w:rPr>
                <w:rFonts w:cs="Calibri"/>
                <w:lang w:val="en-US"/>
              </w:rPr>
            </w:pPr>
            <w:r w:rsidRPr="00F45A80">
              <w:rPr>
                <w:rFonts w:cs="Calibri"/>
                <w:lang w:val="en-US"/>
              </w:rPr>
              <w:t>Foreign parent companies and branches</w:t>
            </w:r>
          </w:p>
        </w:tc>
        <w:tc>
          <w:tcPr>
            <w:tcW w:w="1701"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794,8</w:t>
            </w:r>
          </w:p>
        </w:tc>
        <w:tc>
          <w:tcPr>
            <w:tcW w:w="1577"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211,9</w:t>
            </w:r>
          </w:p>
        </w:tc>
        <w:tc>
          <w:tcPr>
            <w:tcW w:w="1487"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40,3</w:t>
            </w:r>
          </w:p>
        </w:tc>
        <w:tc>
          <w:tcPr>
            <w:tcW w:w="1613"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2,8</w:t>
            </w:r>
          </w:p>
        </w:tc>
        <w:tc>
          <w:tcPr>
            <w:tcW w:w="1701"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843"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701"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919,1</w:t>
            </w:r>
          </w:p>
        </w:tc>
      </w:tr>
      <w:tr w:rsidR="007F6743" w:rsidRPr="00F45A80" w:rsidTr="004817AF">
        <w:trPr>
          <w:trHeight w:val="510"/>
        </w:trPr>
        <w:tc>
          <w:tcPr>
            <w:tcW w:w="3369" w:type="dxa"/>
            <w:shd w:val="clear" w:color="auto" w:fill="auto"/>
            <w:vAlign w:val="center"/>
            <w:hideMark/>
          </w:tcPr>
          <w:p w:rsidR="007F6743" w:rsidRPr="00F45A80" w:rsidRDefault="007F6743" w:rsidP="007F6743">
            <w:pPr>
              <w:rPr>
                <w:rFonts w:cs="Calibri"/>
                <w:lang w:val="en-US"/>
              </w:rPr>
            </w:pPr>
            <w:r w:rsidRPr="00F45A80">
              <w:rPr>
                <w:rFonts w:cs="Calibri"/>
                <w:lang w:val="en-US"/>
              </w:rPr>
              <w:t>Exporters and other private sources</w:t>
            </w:r>
          </w:p>
        </w:tc>
        <w:tc>
          <w:tcPr>
            <w:tcW w:w="1701"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127,5</w:t>
            </w:r>
          </w:p>
        </w:tc>
        <w:tc>
          <w:tcPr>
            <w:tcW w:w="1577"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126,3</w:t>
            </w:r>
          </w:p>
        </w:tc>
        <w:tc>
          <w:tcPr>
            <w:tcW w:w="1487"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20,8</w:t>
            </w:r>
          </w:p>
        </w:tc>
        <w:tc>
          <w:tcPr>
            <w:tcW w:w="1613"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0,5</w:t>
            </w:r>
          </w:p>
        </w:tc>
        <w:tc>
          <w:tcPr>
            <w:tcW w:w="1701"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843"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701"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231,4</w:t>
            </w:r>
          </w:p>
        </w:tc>
      </w:tr>
      <w:tr w:rsidR="007F6743" w:rsidRPr="00F45A80" w:rsidTr="004817AF">
        <w:trPr>
          <w:trHeight w:val="1020"/>
        </w:trPr>
        <w:tc>
          <w:tcPr>
            <w:tcW w:w="3369" w:type="dxa"/>
            <w:shd w:val="clear" w:color="auto" w:fill="auto"/>
            <w:vAlign w:val="center"/>
            <w:hideMark/>
          </w:tcPr>
          <w:p w:rsidR="007F6743" w:rsidRPr="00F45A80" w:rsidRDefault="007F6743" w:rsidP="007F6743">
            <w:pPr>
              <w:rPr>
                <w:rFonts w:cs="Calibri"/>
                <w:lang w:val="en-US"/>
              </w:rPr>
            </w:pPr>
            <w:r w:rsidRPr="00F45A80">
              <w:rPr>
                <w:rFonts w:cs="Calibri"/>
                <w:lang w:val="en-US"/>
              </w:rPr>
              <w:t>Official sources (Governments and international institutions)</w:t>
            </w:r>
          </w:p>
        </w:tc>
        <w:tc>
          <w:tcPr>
            <w:tcW w:w="1701"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115,7</w:t>
            </w:r>
          </w:p>
        </w:tc>
        <w:tc>
          <w:tcPr>
            <w:tcW w:w="1577"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487"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27,4</w:t>
            </w:r>
          </w:p>
        </w:tc>
        <w:tc>
          <w:tcPr>
            <w:tcW w:w="1613"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8,4</w:t>
            </w:r>
          </w:p>
        </w:tc>
        <w:tc>
          <w:tcPr>
            <w:tcW w:w="1701"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843"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w:t>
            </w:r>
          </w:p>
        </w:tc>
        <w:tc>
          <w:tcPr>
            <w:tcW w:w="1701" w:type="dxa"/>
            <w:shd w:val="clear" w:color="auto" w:fill="auto"/>
            <w:noWrap/>
            <w:vAlign w:val="center"/>
            <w:hideMark/>
          </w:tcPr>
          <w:p w:rsidR="007F6743" w:rsidRPr="00C92486" w:rsidRDefault="007F6743" w:rsidP="007F6743">
            <w:pPr>
              <w:jc w:val="right"/>
              <w:rPr>
                <w:rFonts w:asciiTheme="minorHAnsi" w:hAnsiTheme="minorHAnsi" w:cstheme="minorHAnsi"/>
                <w:color w:val="000000"/>
              </w:rPr>
            </w:pPr>
            <w:r w:rsidRPr="00C92486">
              <w:rPr>
                <w:rFonts w:asciiTheme="minorHAnsi" w:hAnsiTheme="minorHAnsi" w:cstheme="minorHAnsi"/>
                <w:color w:val="000000"/>
              </w:rPr>
              <w:t>89,3</w:t>
            </w:r>
          </w:p>
        </w:tc>
      </w:tr>
      <w:tr w:rsidR="007F6743" w:rsidRPr="00F45A80" w:rsidTr="00832C1D">
        <w:trPr>
          <w:trHeight w:val="387"/>
        </w:trPr>
        <w:tc>
          <w:tcPr>
            <w:tcW w:w="3369" w:type="dxa"/>
            <w:shd w:val="clear" w:color="auto" w:fill="BDD6EE" w:themeFill="accent1" w:themeFillTint="66"/>
            <w:noWrap/>
            <w:vAlign w:val="center"/>
            <w:hideMark/>
          </w:tcPr>
          <w:p w:rsidR="007F6743" w:rsidRPr="00945122" w:rsidRDefault="007F6743" w:rsidP="007F6743">
            <w:pPr>
              <w:jc w:val="center"/>
              <w:rPr>
                <w:lang w:val="en-US"/>
              </w:rPr>
            </w:pPr>
            <w:r w:rsidRPr="00945122">
              <w:rPr>
                <w:rFonts w:cs="Calibri"/>
                <w:lang w:val="en-US"/>
              </w:rPr>
              <w:t>TOTAL</w:t>
            </w:r>
          </w:p>
        </w:tc>
        <w:tc>
          <w:tcPr>
            <w:tcW w:w="1701" w:type="dxa"/>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5 014,9</w:t>
            </w:r>
          </w:p>
        </w:tc>
        <w:tc>
          <w:tcPr>
            <w:tcW w:w="1577" w:type="dxa"/>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432,5</w:t>
            </w:r>
          </w:p>
        </w:tc>
        <w:tc>
          <w:tcPr>
            <w:tcW w:w="1487" w:type="dxa"/>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750,6</w:t>
            </w:r>
          </w:p>
        </w:tc>
        <w:tc>
          <w:tcPr>
            <w:tcW w:w="1613" w:type="dxa"/>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171,1</w:t>
            </w:r>
          </w:p>
        </w:tc>
        <w:tc>
          <w:tcPr>
            <w:tcW w:w="1701" w:type="dxa"/>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w:t>
            </w:r>
          </w:p>
        </w:tc>
        <w:tc>
          <w:tcPr>
            <w:tcW w:w="1843" w:type="dxa"/>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w:t>
            </w:r>
          </w:p>
        </w:tc>
        <w:tc>
          <w:tcPr>
            <w:tcW w:w="1701" w:type="dxa"/>
            <w:shd w:val="clear" w:color="auto" w:fill="BDD6EE" w:themeFill="accent1" w:themeFillTint="66"/>
            <w:noWrap/>
            <w:vAlign w:val="center"/>
            <w:hideMark/>
          </w:tcPr>
          <w:p w:rsidR="007F6743" w:rsidRPr="00C92486" w:rsidRDefault="007F6743" w:rsidP="007F6743">
            <w:pPr>
              <w:jc w:val="right"/>
              <w:rPr>
                <w:rFonts w:asciiTheme="minorHAnsi" w:hAnsiTheme="minorHAnsi" w:cstheme="minorHAnsi"/>
                <w:b/>
                <w:bCs/>
                <w:color w:val="000000"/>
              </w:rPr>
            </w:pPr>
            <w:r w:rsidRPr="00C92486">
              <w:rPr>
                <w:rFonts w:asciiTheme="minorHAnsi" w:hAnsiTheme="minorHAnsi" w:cstheme="minorHAnsi"/>
                <w:b/>
                <w:bCs/>
                <w:color w:val="000000"/>
              </w:rPr>
              <w:t>4 663,2</w:t>
            </w:r>
          </w:p>
        </w:tc>
      </w:tr>
    </w:tbl>
    <w:p w:rsidR="009304D9" w:rsidRPr="00F45A80" w:rsidRDefault="009304D9" w:rsidP="009304D9">
      <w:pPr>
        <w:tabs>
          <w:tab w:val="left" w:pos="6255"/>
        </w:tabs>
        <w:ind w:right="-456"/>
        <w:rPr>
          <w:i/>
          <w:lang w:val="en-US"/>
        </w:rPr>
      </w:pPr>
    </w:p>
    <w:p w:rsidR="009304D9" w:rsidRPr="00F45A80" w:rsidRDefault="009304D9" w:rsidP="009304D9">
      <w:pPr>
        <w:tabs>
          <w:tab w:val="left" w:pos="6255"/>
        </w:tabs>
        <w:ind w:right="-456"/>
        <w:rPr>
          <w:i/>
          <w:lang w:val="en-US"/>
        </w:rPr>
      </w:pPr>
    </w:p>
    <w:p w:rsidR="009304D9" w:rsidRPr="00F45A80" w:rsidRDefault="009304D9" w:rsidP="009304D9">
      <w:pPr>
        <w:rPr>
          <w:b/>
          <w:lang w:val="en-US"/>
        </w:rPr>
      </w:pPr>
    </w:p>
    <w:p w:rsidR="009304D9" w:rsidRPr="00B30F70" w:rsidRDefault="009304D9" w:rsidP="009304D9">
      <w:pPr>
        <w:ind w:right="-31"/>
        <w:jc w:val="right"/>
        <w:rPr>
          <w:i/>
          <w:sz w:val="22"/>
          <w:szCs w:val="22"/>
          <w:lang w:val="en-US"/>
        </w:rPr>
      </w:pPr>
      <w:r w:rsidRPr="00F45A80">
        <w:rPr>
          <w:lang w:val="en-US"/>
        </w:rPr>
        <w:br w:type="page"/>
      </w:r>
      <w:r w:rsidRPr="00B30F70">
        <w:rPr>
          <w:i/>
          <w:sz w:val="22"/>
          <w:szCs w:val="22"/>
          <w:lang w:val="en-US"/>
        </w:rPr>
        <w:lastRenderedPageBreak/>
        <w:t>Addenda 1</w:t>
      </w:r>
      <w:r w:rsidR="007F6743">
        <w:rPr>
          <w:i/>
          <w:sz w:val="22"/>
          <w:szCs w:val="22"/>
          <w:lang w:val="en-US"/>
        </w:rPr>
        <w:t>4</w:t>
      </w:r>
      <w:r w:rsidRPr="00B30F70">
        <w:rPr>
          <w:i/>
          <w:sz w:val="22"/>
          <w:szCs w:val="22"/>
          <w:lang w:val="en-US"/>
        </w:rPr>
        <w:t>.6</w:t>
      </w:r>
    </w:p>
    <w:p w:rsidR="009304D9" w:rsidRPr="00F45A80" w:rsidRDefault="009304D9" w:rsidP="009304D9">
      <w:pPr>
        <w:jc w:val="center"/>
        <w:rPr>
          <w:rFonts w:cs="Calibri"/>
          <w:lang w:val="en-US"/>
        </w:rPr>
      </w:pPr>
      <w:r w:rsidRPr="00B30F70">
        <w:rPr>
          <w:rFonts w:cs="Calibri"/>
          <w:b/>
          <w:sz w:val="26"/>
          <w:szCs w:val="26"/>
          <w:lang w:val="en-US"/>
        </w:rPr>
        <w:t>FORECAST OF FUTURE PAYMENTS OF PRINCIPAL DEBT AND INTEREST</w:t>
      </w:r>
      <w:r w:rsidRPr="00F45A80">
        <w:rPr>
          <w:rFonts w:cs="Calibri"/>
          <w:b/>
          <w:sz w:val="28"/>
          <w:lang w:val="en-US"/>
        </w:rPr>
        <w:br/>
      </w:r>
      <w:r w:rsidRPr="00F45A80">
        <w:rPr>
          <w:rFonts w:cs="Calibri"/>
          <w:i/>
          <w:lang w:val="en-US"/>
        </w:rPr>
        <w:t>(Type of borrower: enterprises with direct investments)</w:t>
      </w:r>
    </w:p>
    <w:tbl>
      <w:tblPr>
        <w:tblW w:w="14942" w:type="dxa"/>
        <w:tblInd w:w="28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111"/>
        <w:gridCol w:w="1023"/>
        <w:gridCol w:w="110"/>
        <w:gridCol w:w="942"/>
        <w:gridCol w:w="192"/>
        <w:gridCol w:w="854"/>
        <w:gridCol w:w="280"/>
        <w:gridCol w:w="77"/>
        <w:gridCol w:w="1109"/>
        <w:gridCol w:w="25"/>
        <w:gridCol w:w="1199"/>
        <w:gridCol w:w="503"/>
        <w:gridCol w:w="773"/>
        <w:gridCol w:w="416"/>
        <w:gridCol w:w="860"/>
        <w:gridCol w:w="326"/>
        <w:gridCol w:w="808"/>
        <w:gridCol w:w="1275"/>
        <w:gridCol w:w="59"/>
      </w:tblGrid>
      <w:tr w:rsidR="007F6743" w:rsidRPr="00F45A80" w:rsidTr="009733DE">
        <w:trPr>
          <w:trHeight w:val="262"/>
        </w:trPr>
        <w:tc>
          <w:tcPr>
            <w:tcW w:w="4111" w:type="dxa"/>
            <w:tcBorders>
              <w:top w:val="nil"/>
              <w:left w:val="nil"/>
              <w:bottom w:val="single" w:sz="4" w:space="0" w:color="5B9BD5" w:themeColor="accent1"/>
              <w:right w:val="nil"/>
            </w:tcBorders>
            <w:vAlign w:val="center"/>
            <w:hideMark/>
          </w:tcPr>
          <w:p w:rsidR="007F6743" w:rsidRPr="00F45A80" w:rsidRDefault="007F6743" w:rsidP="006F7BE3">
            <w:pPr>
              <w:rPr>
                <w:lang w:val="en-US"/>
              </w:rPr>
            </w:pPr>
            <w:r w:rsidRPr="00F45A80">
              <w:rPr>
                <w:rFonts w:cs="Calibri"/>
                <w:b/>
                <w:szCs w:val="20"/>
                <w:lang w:val="en-US"/>
              </w:rPr>
              <w:t>Principal debt</w:t>
            </w:r>
          </w:p>
        </w:tc>
        <w:tc>
          <w:tcPr>
            <w:tcW w:w="1023" w:type="dxa"/>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lang w:val="en-US"/>
              </w:rPr>
            </w:pPr>
          </w:p>
        </w:tc>
        <w:tc>
          <w:tcPr>
            <w:tcW w:w="1052"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lang w:val="en-US"/>
              </w:rPr>
            </w:pPr>
          </w:p>
        </w:tc>
        <w:tc>
          <w:tcPr>
            <w:tcW w:w="1046"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lang w:val="en-US"/>
              </w:rPr>
            </w:pPr>
          </w:p>
        </w:tc>
        <w:tc>
          <w:tcPr>
            <w:tcW w:w="357"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lang w:val="en-US"/>
              </w:rPr>
            </w:pPr>
          </w:p>
        </w:tc>
        <w:tc>
          <w:tcPr>
            <w:tcW w:w="1134" w:type="dxa"/>
            <w:gridSpan w:val="2"/>
            <w:tcBorders>
              <w:top w:val="nil"/>
              <w:left w:val="nil"/>
              <w:bottom w:val="nil"/>
              <w:right w:val="nil"/>
            </w:tcBorders>
            <w:shd w:val="clear" w:color="auto" w:fill="auto"/>
            <w:noWrap/>
            <w:vAlign w:val="bottom"/>
            <w:hideMark/>
          </w:tcPr>
          <w:p w:rsidR="007F6743" w:rsidRPr="00F45A80" w:rsidRDefault="007F6743" w:rsidP="006F7BE3">
            <w:pPr>
              <w:rPr>
                <w:lang w:val="en-US"/>
              </w:rPr>
            </w:pPr>
          </w:p>
        </w:tc>
        <w:tc>
          <w:tcPr>
            <w:tcW w:w="1702"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lang w:val="en-US"/>
              </w:rPr>
            </w:pPr>
          </w:p>
        </w:tc>
        <w:tc>
          <w:tcPr>
            <w:tcW w:w="1189"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lang w:val="en-US"/>
              </w:rPr>
            </w:pPr>
          </w:p>
        </w:tc>
        <w:tc>
          <w:tcPr>
            <w:tcW w:w="1186"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sz w:val="20"/>
                <w:szCs w:val="20"/>
                <w:lang w:val="en-US"/>
              </w:rPr>
            </w:pPr>
          </w:p>
        </w:tc>
        <w:tc>
          <w:tcPr>
            <w:tcW w:w="2142" w:type="dxa"/>
            <w:gridSpan w:val="3"/>
            <w:tcBorders>
              <w:top w:val="nil"/>
              <w:left w:val="nil"/>
              <w:bottom w:val="single" w:sz="4" w:space="0" w:color="5B9BD5" w:themeColor="accent1"/>
              <w:right w:val="nil"/>
            </w:tcBorders>
            <w:shd w:val="clear" w:color="auto" w:fill="auto"/>
            <w:noWrap/>
            <w:vAlign w:val="bottom"/>
            <w:hideMark/>
          </w:tcPr>
          <w:p w:rsidR="007F6743" w:rsidRPr="00F45A80" w:rsidRDefault="007F6743" w:rsidP="00B30F70">
            <w:pPr>
              <w:ind w:right="136"/>
              <w:jc w:val="right"/>
              <w:rPr>
                <w:sz w:val="20"/>
                <w:szCs w:val="20"/>
                <w:lang w:val="en-US"/>
              </w:rPr>
            </w:pPr>
            <w:r w:rsidRPr="00F45A80">
              <w:rPr>
                <w:i/>
                <w:sz w:val="20"/>
                <w:szCs w:val="20"/>
                <w:lang w:val="en-US"/>
              </w:rPr>
              <w:t>(mln. USD)</w:t>
            </w:r>
          </w:p>
        </w:tc>
      </w:tr>
      <w:tr w:rsidR="009733DE" w:rsidRPr="00F45A80" w:rsidTr="009733DE">
        <w:trPr>
          <w:gridAfter w:val="1"/>
          <w:wAfter w:w="59" w:type="dxa"/>
          <w:trHeight w:val="255"/>
        </w:trPr>
        <w:tc>
          <w:tcPr>
            <w:tcW w:w="4111" w:type="dxa"/>
            <w:tcBorders>
              <w:top w:val="single" w:sz="4" w:space="0" w:color="5B9BD5" w:themeColor="accent1"/>
            </w:tcBorders>
            <w:shd w:val="clear" w:color="auto" w:fill="BDD6EE" w:themeFill="accent1" w:themeFillTint="66"/>
            <w:noWrap/>
            <w:vAlign w:val="center"/>
            <w:hideMark/>
          </w:tcPr>
          <w:p w:rsidR="009733DE" w:rsidRPr="00F45A80" w:rsidRDefault="009733DE" w:rsidP="009733DE">
            <w:pPr>
              <w:jc w:val="center"/>
              <w:rPr>
                <w:rFonts w:cs="Calibri"/>
                <w:b/>
                <w:szCs w:val="20"/>
                <w:lang w:val="en-US"/>
              </w:rPr>
            </w:pPr>
            <w:r w:rsidRPr="00F45A80">
              <w:rPr>
                <w:rFonts w:cs="Calibri"/>
                <w:b/>
                <w:szCs w:val="20"/>
                <w:lang w:val="en-US"/>
              </w:rPr>
              <w:t>Type of creditor</w:t>
            </w:r>
          </w:p>
        </w:tc>
        <w:tc>
          <w:tcPr>
            <w:tcW w:w="1133" w:type="dxa"/>
            <w:gridSpan w:val="2"/>
            <w:tcBorders>
              <w:top w:val="single" w:sz="4" w:space="0" w:color="5B9BD5" w:themeColor="accent1"/>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2021</w:t>
            </w:r>
          </w:p>
        </w:tc>
        <w:tc>
          <w:tcPr>
            <w:tcW w:w="1134" w:type="dxa"/>
            <w:gridSpan w:val="2"/>
            <w:tcBorders>
              <w:top w:val="single" w:sz="4" w:space="0" w:color="5B9BD5" w:themeColor="accent1"/>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2022</w:t>
            </w:r>
          </w:p>
        </w:tc>
        <w:tc>
          <w:tcPr>
            <w:tcW w:w="1134" w:type="dxa"/>
            <w:gridSpan w:val="2"/>
            <w:tcBorders>
              <w:top w:val="single" w:sz="4" w:space="0" w:color="5B9BD5" w:themeColor="accent1"/>
              <w:right w:val="single" w:sz="4" w:space="0" w:color="5B9BD5"/>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2023</w:t>
            </w:r>
          </w:p>
        </w:tc>
        <w:tc>
          <w:tcPr>
            <w:tcW w:w="1186" w:type="dxa"/>
            <w:gridSpan w:val="2"/>
            <w:tcBorders>
              <w:top w:val="single" w:sz="4" w:space="0" w:color="5B9BD5"/>
              <w:left w:val="single" w:sz="4" w:space="0" w:color="5B9BD5"/>
              <w:bottom w:val="single" w:sz="4" w:space="0" w:color="5B9BD5"/>
              <w:right w:val="single" w:sz="4" w:space="0" w:color="5B9BD5"/>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2024</w:t>
            </w:r>
          </w:p>
        </w:tc>
        <w:tc>
          <w:tcPr>
            <w:tcW w:w="1224" w:type="dxa"/>
            <w:gridSpan w:val="2"/>
            <w:tcBorders>
              <w:top w:val="single" w:sz="4" w:space="0" w:color="5B9BD5" w:themeColor="accent1"/>
              <w:left w:val="single" w:sz="4" w:space="0" w:color="5B9BD5"/>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2025</w:t>
            </w:r>
          </w:p>
        </w:tc>
        <w:tc>
          <w:tcPr>
            <w:tcW w:w="1276" w:type="dxa"/>
            <w:gridSpan w:val="2"/>
            <w:tcBorders>
              <w:top w:val="single" w:sz="4" w:space="0" w:color="5B9BD5" w:themeColor="accent1"/>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2026</w:t>
            </w:r>
          </w:p>
        </w:tc>
        <w:tc>
          <w:tcPr>
            <w:tcW w:w="1276" w:type="dxa"/>
            <w:gridSpan w:val="2"/>
            <w:tcBorders>
              <w:top w:val="single" w:sz="4" w:space="0" w:color="5B9BD5" w:themeColor="accent1"/>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2027</w:t>
            </w:r>
          </w:p>
        </w:tc>
        <w:tc>
          <w:tcPr>
            <w:tcW w:w="1134" w:type="dxa"/>
            <w:gridSpan w:val="2"/>
            <w:tcBorders>
              <w:top w:val="single" w:sz="4" w:space="0" w:color="5B9BD5" w:themeColor="accent1"/>
            </w:tcBorders>
            <w:shd w:val="clear" w:color="auto" w:fill="BDD6EE" w:themeFill="accent1" w:themeFillTint="66"/>
            <w:noWrap/>
            <w:vAlign w:val="center"/>
            <w:hideMark/>
          </w:tcPr>
          <w:p w:rsidR="009733DE" w:rsidRPr="00F45A80" w:rsidRDefault="009733DE" w:rsidP="009733DE">
            <w:pPr>
              <w:jc w:val="center"/>
              <w:rPr>
                <w:b/>
                <w:lang w:val="en-US"/>
              </w:rPr>
            </w:pPr>
            <w:r>
              <w:rPr>
                <w:rFonts w:cs="Calibri"/>
                <w:b/>
                <w:lang w:val="en-US"/>
              </w:rPr>
              <w:t>after 2027</w:t>
            </w:r>
          </w:p>
        </w:tc>
        <w:tc>
          <w:tcPr>
            <w:tcW w:w="1275" w:type="dxa"/>
            <w:tcBorders>
              <w:top w:val="single" w:sz="4" w:space="0" w:color="5B9BD5" w:themeColor="accent1"/>
            </w:tcBorders>
            <w:shd w:val="clear" w:color="auto" w:fill="BDD6EE" w:themeFill="accent1" w:themeFillTint="66"/>
            <w:vAlign w:val="center"/>
            <w:hideMark/>
          </w:tcPr>
          <w:p w:rsidR="009733DE" w:rsidRPr="00F45A80" w:rsidRDefault="009733DE" w:rsidP="009733DE">
            <w:pPr>
              <w:jc w:val="center"/>
              <w:rPr>
                <w:b/>
                <w:lang w:val="en-US"/>
              </w:rPr>
            </w:pPr>
            <w:r w:rsidRPr="00F45A80">
              <w:rPr>
                <w:rFonts w:cs="Calibri"/>
                <w:b/>
                <w:szCs w:val="20"/>
                <w:lang w:val="en-US"/>
              </w:rPr>
              <w:t>TOTAL</w:t>
            </w:r>
          </w:p>
        </w:tc>
      </w:tr>
      <w:tr w:rsidR="009733DE" w:rsidRPr="00F45A80" w:rsidTr="009733DE">
        <w:trPr>
          <w:gridAfter w:val="1"/>
          <w:wAfter w:w="59" w:type="dxa"/>
          <w:trHeight w:val="629"/>
        </w:trPr>
        <w:tc>
          <w:tcPr>
            <w:tcW w:w="4111" w:type="dxa"/>
            <w:shd w:val="clear" w:color="auto" w:fill="auto"/>
            <w:vAlign w:val="center"/>
            <w:hideMark/>
          </w:tcPr>
          <w:p w:rsidR="009733DE" w:rsidRPr="00F45A80" w:rsidRDefault="009733DE" w:rsidP="009733DE">
            <w:pPr>
              <w:rPr>
                <w:rFonts w:cs="Calibri"/>
                <w:szCs w:val="20"/>
                <w:lang w:val="en-US"/>
              </w:rPr>
            </w:pPr>
            <w:r w:rsidRPr="00F45A80">
              <w:rPr>
                <w:rFonts w:cs="Calibri"/>
                <w:szCs w:val="20"/>
                <w:lang w:val="en-US"/>
              </w:rPr>
              <w:t>Foreign banks and other financial institutions</w:t>
            </w:r>
          </w:p>
        </w:tc>
        <w:tc>
          <w:tcPr>
            <w:tcW w:w="1133"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850,5</w:t>
            </w:r>
          </w:p>
        </w:tc>
        <w:tc>
          <w:tcPr>
            <w:tcW w:w="1134"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619,8</w:t>
            </w:r>
          </w:p>
        </w:tc>
        <w:tc>
          <w:tcPr>
            <w:tcW w:w="1134" w:type="dxa"/>
            <w:gridSpan w:val="2"/>
            <w:tcBorders>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635,6</w:t>
            </w:r>
          </w:p>
        </w:tc>
        <w:tc>
          <w:tcPr>
            <w:tcW w:w="1186" w:type="dxa"/>
            <w:gridSpan w:val="2"/>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406,1</w:t>
            </w:r>
          </w:p>
        </w:tc>
        <w:tc>
          <w:tcPr>
            <w:tcW w:w="1224" w:type="dxa"/>
            <w:gridSpan w:val="2"/>
            <w:tcBorders>
              <w:lef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362,6</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409,6</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22,2</w:t>
            </w:r>
          </w:p>
        </w:tc>
        <w:tc>
          <w:tcPr>
            <w:tcW w:w="1134"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117,0</w:t>
            </w:r>
          </w:p>
        </w:tc>
        <w:tc>
          <w:tcPr>
            <w:tcW w:w="1275" w:type="dxa"/>
            <w:shd w:val="clear" w:color="auto" w:fill="auto"/>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3 423,4</w:t>
            </w:r>
          </w:p>
        </w:tc>
      </w:tr>
      <w:tr w:rsidR="009733DE" w:rsidRPr="00F45A80" w:rsidTr="009733DE">
        <w:trPr>
          <w:gridAfter w:val="1"/>
          <w:wAfter w:w="59" w:type="dxa"/>
          <w:trHeight w:val="510"/>
        </w:trPr>
        <w:tc>
          <w:tcPr>
            <w:tcW w:w="4111" w:type="dxa"/>
            <w:shd w:val="clear" w:color="auto" w:fill="auto"/>
            <w:vAlign w:val="center"/>
            <w:hideMark/>
          </w:tcPr>
          <w:p w:rsidR="009733DE" w:rsidRPr="00F45A80" w:rsidRDefault="009733DE" w:rsidP="009733DE">
            <w:pPr>
              <w:rPr>
                <w:rFonts w:cs="Calibri"/>
                <w:szCs w:val="20"/>
                <w:lang w:val="en-US"/>
              </w:rPr>
            </w:pPr>
            <w:r w:rsidRPr="00F45A80">
              <w:rPr>
                <w:rFonts w:cs="Calibri"/>
                <w:szCs w:val="20"/>
                <w:lang w:val="en-US"/>
              </w:rPr>
              <w:t>Foreign parent companies and branches</w:t>
            </w:r>
          </w:p>
        </w:tc>
        <w:tc>
          <w:tcPr>
            <w:tcW w:w="1133"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236,4</w:t>
            </w:r>
          </w:p>
        </w:tc>
        <w:tc>
          <w:tcPr>
            <w:tcW w:w="1134"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469,6</w:t>
            </w:r>
          </w:p>
        </w:tc>
        <w:tc>
          <w:tcPr>
            <w:tcW w:w="1134" w:type="dxa"/>
            <w:gridSpan w:val="2"/>
            <w:tcBorders>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141,7</w:t>
            </w:r>
          </w:p>
        </w:tc>
        <w:tc>
          <w:tcPr>
            <w:tcW w:w="1186" w:type="dxa"/>
            <w:gridSpan w:val="2"/>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32,6</w:t>
            </w:r>
          </w:p>
        </w:tc>
        <w:tc>
          <w:tcPr>
            <w:tcW w:w="1224" w:type="dxa"/>
            <w:gridSpan w:val="2"/>
            <w:tcBorders>
              <w:lef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12,2</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9,5</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17,1</w:t>
            </w:r>
          </w:p>
        </w:tc>
        <w:tc>
          <w:tcPr>
            <w:tcW w:w="1275" w:type="dxa"/>
            <w:shd w:val="clear" w:color="auto" w:fill="auto"/>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919,1</w:t>
            </w:r>
          </w:p>
        </w:tc>
      </w:tr>
      <w:tr w:rsidR="009733DE" w:rsidRPr="00F45A80" w:rsidTr="009733DE">
        <w:trPr>
          <w:gridAfter w:val="1"/>
          <w:wAfter w:w="59" w:type="dxa"/>
          <w:trHeight w:val="510"/>
        </w:trPr>
        <w:tc>
          <w:tcPr>
            <w:tcW w:w="4111" w:type="dxa"/>
            <w:shd w:val="clear" w:color="auto" w:fill="auto"/>
            <w:vAlign w:val="center"/>
            <w:hideMark/>
          </w:tcPr>
          <w:p w:rsidR="009733DE" w:rsidRPr="00F45A80" w:rsidRDefault="009733DE" w:rsidP="009733DE">
            <w:pPr>
              <w:rPr>
                <w:rFonts w:cs="Calibri"/>
                <w:szCs w:val="20"/>
                <w:lang w:val="en-US"/>
              </w:rPr>
            </w:pPr>
            <w:r w:rsidRPr="00F45A80">
              <w:rPr>
                <w:rFonts w:cs="Calibri"/>
                <w:szCs w:val="20"/>
                <w:lang w:val="en-US"/>
              </w:rPr>
              <w:t>Exporters and other private sources</w:t>
            </w:r>
          </w:p>
        </w:tc>
        <w:tc>
          <w:tcPr>
            <w:tcW w:w="1133"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55,3</w:t>
            </w:r>
          </w:p>
        </w:tc>
        <w:tc>
          <w:tcPr>
            <w:tcW w:w="1134"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63,5</w:t>
            </w:r>
          </w:p>
        </w:tc>
        <w:tc>
          <w:tcPr>
            <w:tcW w:w="1134" w:type="dxa"/>
            <w:gridSpan w:val="2"/>
            <w:tcBorders>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32,9</w:t>
            </w:r>
          </w:p>
        </w:tc>
        <w:tc>
          <w:tcPr>
            <w:tcW w:w="1186" w:type="dxa"/>
            <w:gridSpan w:val="2"/>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13,2</w:t>
            </w:r>
          </w:p>
        </w:tc>
        <w:tc>
          <w:tcPr>
            <w:tcW w:w="1224" w:type="dxa"/>
            <w:gridSpan w:val="2"/>
            <w:tcBorders>
              <w:lef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20,4</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28,8</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3,1</w:t>
            </w:r>
          </w:p>
        </w:tc>
        <w:tc>
          <w:tcPr>
            <w:tcW w:w="1134"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14,1</w:t>
            </w:r>
          </w:p>
        </w:tc>
        <w:tc>
          <w:tcPr>
            <w:tcW w:w="1275" w:type="dxa"/>
            <w:shd w:val="clear" w:color="auto" w:fill="auto"/>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231,4</w:t>
            </w:r>
          </w:p>
        </w:tc>
      </w:tr>
      <w:tr w:rsidR="009733DE" w:rsidRPr="00F45A80" w:rsidTr="009733DE">
        <w:trPr>
          <w:gridAfter w:val="1"/>
          <w:wAfter w:w="59" w:type="dxa"/>
          <w:trHeight w:val="741"/>
        </w:trPr>
        <w:tc>
          <w:tcPr>
            <w:tcW w:w="4111" w:type="dxa"/>
            <w:shd w:val="clear" w:color="auto" w:fill="auto"/>
            <w:vAlign w:val="center"/>
            <w:hideMark/>
          </w:tcPr>
          <w:p w:rsidR="009733DE" w:rsidRPr="00F45A80" w:rsidRDefault="009733DE" w:rsidP="009733DE">
            <w:pPr>
              <w:rPr>
                <w:rFonts w:cs="Calibri"/>
                <w:szCs w:val="20"/>
                <w:lang w:val="en-US"/>
              </w:rPr>
            </w:pPr>
            <w:r w:rsidRPr="00F45A80">
              <w:rPr>
                <w:rFonts w:cs="Calibri"/>
                <w:szCs w:val="20"/>
                <w:lang w:val="en-US"/>
              </w:rPr>
              <w:t>Official sources (Governments and international institutions)</w:t>
            </w:r>
          </w:p>
        </w:tc>
        <w:tc>
          <w:tcPr>
            <w:tcW w:w="1133"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23,8</w:t>
            </w:r>
          </w:p>
        </w:tc>
        <w:tc>
          <w:tcPr>
            <w:tcW w:w="1134"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34,6</w:t>
            </w:r>
          </w:p>
        </w:tc>
        <w:tc>
          <w:tcPr>
            <w:tcW w:w="1134" w:type="dxa"/>
            <w:gridSpan w:val="2"/>
            <w:tcBorders>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23,5</w:t>
            </w:r>
          </w:p>
        </w:tc>
        <w:tc>
          <w:tcPr>
            <w:tcW w:w="1186" w:type="dxa"/>
            <w:gridSpan w:val="2"/>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7,3</w:t>
            </w:r>
          </w:p>
        </w:tc>
        <w:tc>
          <w:tcPr>
            <w:tcW w:w="1224" w:type="dxa"/>
            <w:gridSpan w:val="2"/>
            <w:tcBorders>
              <w:lef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5" w:type="dxa"/>
            <w:shd w:val="clear" w:color="auto" w:fill="auto"/>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89,3</w:t>
            </w:r>
          </w:p>
        </w:tc>
      </w:tr>
      <w:tr w:rsidR="009733DE" w:rsidRPr="00F45A80" w:rsidTr="009733DE">
        <w:trPr>
          <w:gridAfter w:val="1"/>
          <w:wAfter w:w="59" w:type="dxa"/>
          <w:trHeight w:val="255"/>
        </w:trPr>
        <w:tc>
          <w:tcPr>
            <w:tcW w:w="4111" w:type="dxa"/>
            <w:tcBorders>
              <w:bottom w:val="single" w:sz="4" w:space="0" w:color="5B9BD5" w:themeColor="accent1"/>
            </w:tcBorders>
            <w:shd w:val="clear" w:color="auto" w:fill="BDD6EE" w:themeFill="accent1" w:themeFillTint="66"/>
            <w:noWrap/>
            <w:vAlign w:val="center"/>
            <w:hideMark/>
          </w:tcPr>
          <w:p w:rsidR="009733DE" w:rsidRPr="00945122" w:rsidRDefault="009733DE" w:rsidP="009733DE">
            <w:pPr>
              <w:jc w:val="center"/>
              <w:rPr>
                <w:rFonts w:cs="Calibri"/>
                <w:lang w:val="en-US"/>
              </w:rPr>
            </w:pPr>
            <w:r w:rsidRPr="00945122">
              <w:rPr>
                <w:rFonts w:cs="Calibri"/>
                <w:szCs w:val="20"/>
                <w:lang w:val="en-US"/>
              </w:rPr>
              <w:t>TOTAL</w:t>
            </w:r>
          </w:p>
        </w:tc>
        <w:tc>
          <w:tcPr>
            <w:tcW w:w="1133" w:type="dxa"/>
            <w:gridSpan w:val="2"/>
            <w:tcBorders>
              <w:bottom w:val="single" w:sz="4" w:space="0" w:color="5B9BD5" w:themeColor="accent1"/>
            </w:tcBorders>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1 166,0</w:t>
            </w:r>
          </w:p>
        </w:tc>
        <w:tc>
          <w:tcPr>
            <w:tcW w:w="1134" w:type="dxa"/>
            <w:gridSpan w:val="2"/>
            <w:tcBorders>
              <w:bottom w:val="single" w:sz="4" w:space="0" w:color="5B9BD5" w:themeColor="accent1"/>
            </w:tcBorders>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1 187,5</w:t>
            </w:r>
          </w:p>
        </w:tc>
        <w:tc>
          <w:tcPr>
            <w:tcW w:w="1134" w:type="dxa"/>
            <w:gridSpan w:val="2"/>
            <w:tcBorders>
              <w:bottom w:val="single" w:sz="4" w:space="0" w:color="5B9BD5" w:themeColor="accent1"/>
              <w:right w:val="single" w:sz="4" w:space="0" w:color="5B9BD5"/>
            </w:tcBorders>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833,8</w:t>
            </w:r>
          </w:p>
        </w:tc>
        <w:tc>
          <w:tcPr>
            <w:tcW w:w="1186" w:type="dxa"/>
            <w:gridSpan w:val="2"/>
            <w:tcBorders>
              <w:top w:val="single" w:sz="4" w:space="0" w:color="5B9BD5"/>
              <w:left w:val="single" w:sz="4" w:space="0" w:color="5B9BD5"/>
              <w:bottom w:val="single" w:sz="4" w:space="0" w:color="5B9BD5"/>
              <w:right w:val="single" w:sz="4" w:space="0" w:color="5B9BD5"/>
            </w:tcBorders>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459,3</w:t>
            </w:r>
          </w:p>
        </w:tc>
        <w:tc>
          <w:tcPr>
            <w:tcW w:w="1224" w:type="dxa"/>
            <w:gridSpan w:val="2"/>
            <w:tcBorders>
              <w:left w:val="single" w:sz="4" w:space="0" w:color="5B9BD5"/>
              <w:bottom w:val="single" w:sz="4" w:space="0" w:color="5B9BD5" w:themeColor="accent1"/>
            </w:tcBorders>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395,2</w:t>
            </w:r>
          </w:p>
        </w:tc>
        <w:tc>
          <w:tcPr>
            <w:tcW w:w="1276" w:type="dxa"/>
            <w:gridSpan w:val="2"/>
            <w:tcBorders>
              <w:bottom w:val="single" w:sz="4" w:space="0" w:color="5B9BD5" w:themeColor="accent1"/>
            </w:tcBorders>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448,0</w:t>
            </w:r>
          </w:p>
        </w:tc>
        <w:tc>
          <w:tcPr>
            <w:tcW w:w="1276" w:type="dxa"/>
            <w:gridSpan w:val="2"/>
            <w:tcBorders>
              <w:bottom w:val="single" w:sz="4" w:space="0" w:color="5B9BD5" w:themeColor="accent1"/>
            </w:tcBorders>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25,2</w:t>
            </w:r>
          </w:p>
        </w:tc>
        <w:tc>
          <w:tcPr>
            <w:tcW w:w="1134" w:type="dxa"/>
            <w:gridSpan w:val="2"/>
            <w:tcBorders>
              <w:bottom w:val="single" w:sz="4" w:space="0" w:color="5B9BD5" w:themeColor="accent1"/>
            </w:tcBorders>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148,3</w:t>
            </w:r>
          </w:p>
        </w:tc>
        <w:tc>
          <w:tcPr>
            <w:tcW w:w="1275" w:type="dxa"/>
            <w:tcBorders>
              <w:bottom w:val="single" w:sz="4" w:space="0" w:color="5B9BD5" w:themeColor="accent1"/>
            </w:tcBorders>
            <w:shd w:val="clear" w:color="auto" w:fill="BDD6EE" w:themeFill="accent1" w:themeFillTint="66"/>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4 663,2</w:t>
            </w:r>
          </w:p>
        </w:tc>
      </w:tr>
      <w:tr w:rsidR="007F6743" w:rsidRPr="00F45A80" w:rsidTr="009733DE">
        <w:trPr>
          <w:gridAfter w:val="1"/>
          <w:wAfter w:w="59" w:type="dxa"/>
          <w:trHeight w:val="255"/>
        </w:trPr>
        <w:tc>
          <w:tcPr>
            <w:tcW w:w="4111" w:type="dxa"/>
            <w:vMerge w:val="restart"/>
            <w:tcBorders>
              <w:top w:val="single" w:sz="4" w:space="0" w:color="5B9BD5" w:themeColor="accent1"/>
              <w:left w:val="nil"/>
              <w:bottom w:val="nil"/>
              <w:right w:val="nil"/>
            </w:tcBorders>
            <w:shd w:val="clear" w:color="auto" w:fill="auto"/>
            <w:vAlign w:val="bottom"/>
            <w:hideMark/>
          </w:tcPr>
          <w:p w:rsidR="007F6743" w:rsidRPr="00F45A80" w:rsidRDefault="007F6743" w:rsidP="006F7BE3">
            <w:pPr>
              <w:rPr>
                <w:b/>
                <w:lang w:val="en-US"/>
              </w:rPr>
            </w:pPr>
            <w:r w:rsidRPr="00F45A80">
              <w:rPr>
                <w:rFonts w:cs="Calibri"/>
                <w:b/>
                <w:szCs w:val="20"/>
                <w:lang w:val="en-US"/>
              </w:rPr>
              <w:t>Interest</w:t>
            </w:r>
          </w:p>
        </w:tc>
        <w:tc>
          <w:tcPr>
            <w:tcW w:w="1133" w:type="dxa"/>
            <w:gridSpan w:val="2"/>
            <w:tcBorders>
              <w:top w:val="single" w:sz="4" w:space="0" w:color="5B9BD5" w:themeColor="accent1"/>
              <w:left w:val="nil"/>
              <w:bottom w:val="nil"/>
              <w:right w:val="nil"/>
            </w:tcBorders>
            <w:shd w:val="clear" w:color="auto" w:fill="auto"/>
            <w:noWrap/>
            <w:vAlign w:val="bottom"/>
            <w:hideMark/>
          </w:tcPr>
          <w:p w:rsidR="007F6743" w:rsidRPr="00F45A80" w:rsidRDefault="007F6743" w:rsidP="006F7BE3">
            <w:pPr>
              <w:jc w:val="center"/>
              <w:rPr>
                <w:lang w:val="en-US"/>
              </w:rPr>
            </w:pPr>
          </w:p>
        </w:tc>
        <w:tc>
          <w:tcPr>
            <w:tcW w:w="1134" w:type="dxa"/>
            <w:gridSpan w:val="2"/>
            <w:tcBorders>
              <w:top w:val="single" w:sz="4" w:space="0" w:color="5B9BD5" w:themeColor="accent1"/>
              <w:left w:val="nil"/>
              <w:bottom w:val="nil"/>
              <w:right w:val="nil"/>
            </w:tcBorders>
            <w:shd w:val="clear" w:color="auto" w:fill="auto"/>
            <w:noWrap/>
            <w:vAlign w:val="bottom"/>
            <w:hideMark/>
          </w:tcPr>
          <w:p w:rsidR="007F6743" w:rsidRPr="00F45A80" w:rsidRDefault="007F6743" w:rsidP="006F7BE3">
            <w:pPr>
              <w:rPr>
                <w:lang w:val="en-US"/>
              </w:rPr>
            </w:pPr>
          </w:p>
        </w:tc>
        <w:tc>
          <w:tcPr>
            <w:tcW w:w="1134" w:type="dxa"/>
            <w:gridSpan w:val="2"/>
            <w:tcBorders>
              <w:top w:val="single" w:sz="4" w:space="0" w:color="5B9BD5" w:themeColor="accent1"/>
              <w:left w:val="nil"/>
              <w:bottom w:val="nil"/>
              <w:right w:val="nil"/>
            </w:tcBorders>
            <w:shd w:val="clear" w:color="auto" w:fill="auto"/>
            <w:noWrap/>
            <w:vAlign w:val="bottom"/>
            <w:hideMark/>
          </w:tcPr>
          <w:p w:rsidR="007F6743" w:rsidRPr="00F45A80" w:rsidRDefault="007F6743" w:rsidP="006F7BE3">
            <w:pPr>
              <w:rPr>
                <w:lang w:val="en-US"/>
              </w:rPr>
            </w:pPr>
          </w:p>
        </w:tc>
        <w:tc>
          <w:tcPr>
            <w:tcW w:w="1186" w:type="dxa"/>
            <w:gridSpan w:val="2"/>
            <w:tcBorders>
              <w:top w:val="single" w:sz="4" w:space="0" w:color="5B9BD5"/>
              <w:left w:val="nil"/>
              <w:bottom w:val="nil"/>
              <w:right w:val="nil"/>
            </w:tcBorders>
            <w:shd w:val="clear" w:color="auto" w:fill="auto"/>
            <w:noWrap/>
            <w:vAlign w:val="bottom"/>
            <w:hideMark/>
          </w:tcPr>
          <w:p w:rsidR="007F6743" w:rsidRPr="00F45A80" w:rsidRDefault="007F6743" w:rsidP="006F7BE3">
            <w:pPr>
              <w:rPr>
                <w:lang w:val="en-US"/>
              </w:rPr>
            </w:pPr>
          </w:p>
        </w:tc>
        <w:tc>
          <w:tcPr>
            <w:tcW w:w="1224" w:type="dxa"/>
            <w:gridSpan w:val="2"/>
            <w:tcBorders>
              <w:top w:val="single" w:sz="4" w:space="0" w:color="5B9BD5" w:themeColor="accent1"/>
              <w:left w:val="nil"/>
              <w:bottom w:val="nil"/>
              <w:right w:val="nil"/>
            </w:tcBorders>
            <w:shd w:val="clear" w:color="auto" w:fill="auto"/>
            <w:noWrap/>
            <w:vAlign w:val="bottom"/>
            <w:hideMark/>
          </w:tcPr>
          <w:p w:rsidR="007F6743" w:rsidRPr="00F45A80" w:rsidRDefault="007F6743" w:rsidP="006F7BE3">
            <w:pPr>
              <w:rPr>
                <w:lang w:val="en-US"/>
              </w:rPr>
            </w:pPr>
          </w:p>
        </w:tc>
        <w:tc>
          <w:tcPr>
            <w:tcW w:w="1276" w:type="dxa"/>
            <w:gridSpan w:val="2"/>
            <w:tcBorders>
              <w:top w:val="single" w:sz="4" w:space="0" w:color="5B9BD5" w:themeColor="accent1"/>
              <w:left w:val="nil"/>
              <w:bottom w:val="nil"/>
              <w:right w:val="nil"/>
            </w:tcBorders>
            <w:shd w:val="clear" w:color="auto" w:fill="auto"/>
            <w:noWrap/>
            <w:vAlign w:val="bottom"/>
            <w:hideMark/>
          </w:tcPr>
          <w:p w:rsidR="007F6743" w:rsidRPr="00F45A80" w:rsidRDefault="007F6743" w:rsidP="006F7BE3">
            <w:pPr>
              <w:rPr>
                <w:lang w:val="en-US"/>
              </w:rPr>
            </w:pPr>
          </w:p>
        </w:tc>
        <w:tc>
          <w:tcPr>
            <w:tcW w:w="1276" w:type="dxa"/>
            <w:gridSpan w:val="2"/>
            <w:tcBorders>
              <w:top w:val="single" w:sz="4" w:space="0" w:color="5B9BD5" w:themeColor="accent1"/>
              <w:left w:val="nil"/>
              <w:bottom w:val="nil"/>
              <w:right w:val="nil"/>
            </w:tcBorders>
            <w:shd w:val="clear" w:color="auto" w:fill="auto"/>
            <w:noWrap/>
            <w:vAlign w:val="bottom"/>
            <w:hideMark/>
          </w:tcPr>
          <w:p w:rsidR="007F6743" w:rsidRPr="00F45A80" w:rsidRDefault="007F6743" w:rsidP="006F7BE3">
            <w:pPr>
              <w:rPr>
                <w:lang w:val="en-US"/>
              </w:rPr>
            </w:pPr>
          </w:p>
        </w:tc>
        <w:tc>
          <w:tcPr>
            <w:tcW w:w="1134" w:type="dxa"/>
            <w:gridSpan w:val="2"/>
            <w:tcBorders>
              <w:top w:val="single" w:sz="4" w:space="0" w:color="5B9BD5" w:themeColor="accent1"/>
              <w:left w:val="nil"/>
              <w:bottom w:val="nil"/>
              <w:right w:val="nil"/>
            </w:tcBorders>
            <w:shd w:val="clear" w:color="auto" w:fill="auto"/>
            <w:noWrap/>
            <w:vAlign w:val="bottom"/>
            <w:hideMark/>
          </w:tcPr>
          <w:p w:rsidR="007F6743" w:rsidRPr="00F45A80" w:rsidRDefault="007F6743" w:rsidP="006F7BE3">
            <w:pPr>
              <w:rPr>
                <w:lang w:val="en-US"/>
              </w:rPr>
            </w:pPr>
          </w:p>
        </w:tc>
        <w:tc>
          <w:tcPr>
            <w:tcW w:w="1275" w:type="dxa"/>
            <w:tcBorders>
              <w:top w:val="single" w:sz="4" w:space="0" w:color="5B9BD5" w:themeColor="accent1"/>
              <w:left w:val="nil"/>
              <w:bottom w:val="nil"/>
              <w:right w:val="nil"/>
            </w:tcBorders>
            <w:shd w:val="clear" w:color="auto" w:fill="auto"/>
            <w:noWrap/>
            <w:vAlign w:val="bottom"/>
            <w:hideMark/>
          </w:tcPr>
          <w:p w:rsidR="007F6743" w:rsidRPr="00F45A80" w:rsidRDefault="007F6743" w:rsidP="006F7BE3">
            <w:pPr>
              <w:rPr>
                <w:lang w:val="en-US"/>
              </w:rPr>
            </w:pPr>
          </w:p>
        </w:tc>
      </w:tr>
      <w:tr w:rsidR="007F6743" w:rsidRPr="00F45A80" w:rsidTr="009733DE">
        <w:trPr>
          <w:gridAfter w:val="1"/>
          <w:wAfter w:w="59" w:type="dxa"/>
          <w:trHeight w:val="249"/>
        </w:trPr>
        <w:tc>
          <w:tcPr>
            <w:tcW w:w="4111" w:type="dxa"/>
            <w:vMerge/>
            <w:tcBorders>
              <w:top w:val="nil"/>
              <w:left w:val="nil"/>
              <w:bottom w:val="single" w:sz="4" w:space="0" w:color="5B9BD5" w:themeColor="accent1"/>
              <w:right w:val="nil"/>
            </w:tcBorders>
            <w:vAlign w:val="center"/>
            <w:hideMark/>
          </w:tcPr>
          <w:p w:rsidR="007F6743" w:rsidRPr="00F45A80" w:rsidRDefault="007F6743" w:rsidP="006F7BE3">
            <w:pPr>
              <w:rPr>
                <w:lang w:val="en-US"/>
              </w:rPr>
            </w:pPr>
          </w:p>
        </w:tc>
        <w:tc>
          <w:tcPr>
            <w:tcW w:w="1133"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lang w:val="en-US"/>
              </w:rPr>
            </w:pPr>
          </w:p>
        </w:tc>
        <w:tc>
          <w:tcPr>
            <w:tcW w:w="1134"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lang w:val="en-US"/>
              </w:rPr>
            </w:pPr>
          </w:p>
        </w:tc>
        <w:tc>
          <w:tcPr>
            <w:tcW w:w="1134"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lang w:val="en-US"/>
              </w:rPr>
            </w:pPr>
          </w:p>
        </w:tc>
        <w:tc>
          <w:tcPr>
            <w:tcW w:w="1186" w:type="dxa"/>
            <w:gridSpan w:val="2"/>
            <w:tcBorders>
              <w:top w:val="nil"/>
              <w:left w:val="nil"/>
              <w:bottom w:val="single" w:sz="4" w:space="0" w:color="5B9BD5"/>
              <w:right w:val="nil"/>
            </w:tcBorders>
            <w:shd w:val="clear" w:color="auto" w:fill="auto"/>
            <w:noWrap/>
            <w:vAlign w:val="bottom"/>
            <w:hideMark/>
          </w:tcPr>
          <w:p w:rsidR="007F6743" w:rsidRPr="00F45A80" w:rsidRDefault="007F6743" w:rsidP="006F7BE3">
            <w:pPr>
              <w:rPr>
                <w:lang w:val="en-US"/>
              </w:rPr>
            </w:pPr>
          </w:p>
        </w:tc>
        <w:tc>
          <w:tcPr>
            <w:tcW w:w="1224"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lang w:val="en-US"/>
              </w:rPr>
            </w:pPr>
          </w:p>
        </w:tc>
        <w:tc>
          <w:tcPr>
            <w:tcW w:w="1276"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lang w:val="en-US"/>
              </w:rPr>
            </w:pPr>
          </w:p>
        </w:tc>
        <w:tc>
          <w:tcPr>
            <w:tcW w:w="1276" w:type="dxa"/>
            <w:gridSpan w:val="2"/>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rPr>
                <w:sz w:val="20"/>
                <w:szCs w:val="20"/>
                <w:lang w:val="en-US"/>
              </w:rPr>
            </w:pPr>
          </w:p>
        </w:tc>
        <w:tc>
          <w:tcPr>
            <w:tcW w:w="2409" w:type="dxa"/>
            <w:gridSpan w:val="3"/>
            <w:tcBorders>
              <w:top w:val="nil"/>
              <w:left w:val="nil"/>
              <w:bottom w:val="single" w:sz="4" w:space="0" w:color="5B9BD5" w:themeColor="accent1"/>
              <w:right w:val="nil"/>
            </w:tcBorders>
            <w:shd w:val="clear" w:color="auto" w:fill="auto"/>
            <w:noWrap/>
            <w:vAlign w:val="bottom"/>
            <w:hideMark/>
          </w:tcPr>
          <w:p w:rsidR="007F6743" w:rsidRPr="00F45A80" w:rsidRDefault="007F6743" w:rsidP="006F7BE3">
            <w:pPr>
              <w:jc w:val="right"/>
              <w:rPr>
                <w:sz w:val="20"/>
                <w:szCs w:val="20"/>
                <w:lang w:val="en-US"/>
              </w:rPr>
            </w:pPr>
            <w:r w:rsidRPr="00F45A80">
              <w:rPr>
                <w:i/>
                <w:sz w:val="20"/>
                <w:szCs w:val="20"/>
                <w:lang w:val="en-US"/>
              </w:rPr>
              <w:t>(mln. USD)</w:t>
            </w:r>
          </w:p>
        </w:tc>
      </w:tr>
      <w:tr w:rsidR="009733DE" w:rsidRPr="00F45A80" w:rsidTr="009733DE">
        <w:trPr>
          <w:gridAfter w:val="1"/>
          <w:wAfter w:w="59" w:type="dxa"/>
          <w:trHeight w:val="255"/>
        </w:trPr>
        <w:tc>
          <w:tcPr>
            <w:tcW w:w="4111" w:type="dxa"/>
            <w:tcBorders>
              <w:top w:val="single" w:sz="4" w:space="0" w:color="5B9BD5" w:themeColor="accent1"/>
            </w:tcBorders>
            <w:shd w:val="clear" w:color="auto" w:fill="BDD6EE" w:themeFill="accent1" w:themeFillTint="66"/>
            <w:noWrap/>
            <w:vAlign w:val="center"/>
            <w:hideMark/>
          </w:tcPr>
          <w:p w:rsidR="009733DE" w:rsidRPr="00F45A80" w:rsidRDefault="009733DE" w:rsidP="009733DE">
            <w:pPr>
              <w:jc w:val="center"/>
              <w:rPr>
                <w:rFonts w:cs="Calibri"/>
                <w:b/>
                <w:szCs w:val="20"/>
                <w:lang w:val="en-US"/>
              </w:rPr>
            </w:pPr>
            <w:r w:rsidRPr="00F45A80">
              <w:rPr>
                <w:rFonts w:cs="Calibri"/>
                <w:b/>
                <w:szCs w:val="20"/>
                <w:lang w:val="en-US"/>
              </w:rPr>
              <w:t>Type of creditor</w:t>
            </w:r>
          </w:p>
        </w:tc>
        <w:tc>
          <w:tcPr>
            <w:tcW w:w="1133" w:type="dxa"/>
            <w:gridSpan w:val="2"/>
            <w:tcBorders>
              <w:top w:val="single" w:sz="4" w:space="0" w:color="5B9BD5" w:themeColor="accent1"/>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2021</w:t>
            </w:r>
          </w:p>
        </w:tc>
        <w:tc>
          <w:tcPr>
            <w:tcW w:w="1134" w:type="dxa"/>
            <w:gridSpan w:val="2"/>
            <w:tcBorders>
              <w:top w:val="single" w:sz="4" w:space="0" w:color="5B9BD5" w:themeColor="accent1"/>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2022</w:t>
            </w:r>
          </w:p>
        </w:tc>
        <w:tc>
          <w:tcPr>
            <w:tcW w:w="1134" w:type="dxa"/>
            <w:gridSpan w:val="2"/>
            <w:tcBorders>
              <w:top w:val="single" w:sz="4" w:space="0" w:color="5B9BD5" w:themeColor="accent1"/>
              <w:right w:val="single" w:sz="4" w:space="0" w:color="5B9BD5"/>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2023</w:t>
            </w:r>
          </w:p>
        </w:tc>
        <w:tc>
          <w:tcPr>
            <w:tcW w:w="1186" w:type="dxa"/>
            <w:gridSpan w:val="2"/>
            <w:tcBorders>
              <w:top w:val="single" w:sz="4" w:space="0" w:color="5B9BD5"/>
              <w:left w:val="single" w:sz="4" w:space="0" w:color="5B9BD5"/>
              <w:bottom w:val="single" w:sz="4" w:space="0" w:color="5B9BD5"/>
              <w:right w:val="single" w:sz="4" w:space="0" w:color="5B9BD5"/>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2024</w:t>
            </w:r>
          </w:p>
        </w:tc>
        <w:tc>
          <w:tcPr>
            <w:tcW w:w="1224" w:type="dxa"/>
            <w:gridSpan w:val="2"/>
            <w:tcBorders>
              <w:top w:val="single" w:sz="4" w:space="0" w:color="5B9BD5" w:themeColor="accent1"/>
              <w:left w:val="single" w:sz="4" w:space="0" w:color="5B9BD5"/>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2025</w:t>
            </w:r>
          </w:p>
        </w:tc>
        <w:tc>
          <w:tcPr>
            <w:tcW w:w="1276" w:type="dxa"/>
            <w:gridSpan w:val="2"/>
            <w:tcBorders>
              <w:top w:val="single" w:sz="4" w:space="0" w:color="5B9BD5" w:themeColor="accent1"/>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2026</w:t>
            </w:r>
          </w:p>
        </w:tc>
        <w:tc>
          <w:tcPr>
            <w:tcW w:w="1276" w:type="dxa"/>
            <w:gridSpan w:val="2"/>
            <w:tcBorders>
              <w:top w:val="single" w:sz="4" w:space="0" w:color="5B9BD5" w:themeColor="accent1"/>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2027</w:t>
            </w:r>
          </w:p>
        </w:tc>
        <w:tc>
          <w:tcPr>
            <w:tcW w:w="1134" w:type="dxa"/>
            <w:gridSpan w:val="2"/>
            <w:tcBorders>
              <w:top w:val="single" w:sz="4" w:space="0" w:color="5B9BD5" w:themeColor="accent1"/>
            </w:tcBorders>
            <w:shd w:val="clear" w:color="auto" w:fill="BDD6EE" w:themeFill="accent1" w:themeFillTint="66"/>
            <w:noWrap/>
            <w:vAlign w:val="center"/>
            <w:hideMark/>
          </w:tcPr>
          <w:p w:rsidR="009733DE" w:rsidRPr="00F45A80" w:rsidRDefault="009733DE" w:rsidP="009733DE">
            <w:pPr>
              <w:jc w:val="center"/>
              <w:rPr>
                <w:b/>
                <w:lang w:val="en-US"/>
              </w:rPr>
            </w:pPr>
            <w:r>
              <w:rPr>
                <w:rFonts w:cs="Calibri"/>
                <w:b/>
                <w:lang w:val="en-US"/>
              </w:rPr>
              <w:t>after 2027</w:t>
            </w:r>
          </w:p>
        </w:tc>
        <w:tc>
          <w:tcPr>
            <w:tcW w:w="1275" w:type="dxa"/>
            <w:tcBorders>
              <w:top w:val="single" w:sz="4" w:space="0" w:color="5B9BD5" w:themeColor="accent1"/>
            </w:tcBorders>
            <w:shd w:val="clear" w:color="auto" w:fill="BDD6EE" w:themeFill="accent1" w:themeFillTint="66"/>
            <w:vAlign w:val="center"/>
            <w:hideMark/>
          </w:tcPr>
          <w:p w:rsidR="009733DE" w:rsidRPr="00F45A80" w:rsidRDefault="009733DE" w:rsidP="009733DE">
            <w:pPr>
              <w:jc w:val="center"/>
              <w:rPr>
                <w:b/>
                <w:lang w:val="en-US"/>
              </w:rPr>
            </w:pPr>
            <w:r w:rsidRPr="00F45A80">
              <w:rPr>
                <w:rFonts w:cs="Calibri"/>
                <w:b/>
                <w:szCs w:val="20"/>
                <w:lang w:val="en-US"/>
              </w:rPr>
              <w:t>TOTAL</w:t>
            </w:r>
          </w:p>
        </w:tc>
      </w:tr>
      <w:tr w:rsidR="009733DE" w:rsidRPr="00F45A80" w:rsidTr="009733DE">
        <w:trPr>
          <w:gridAfter w:val="1"/>
          <w:wAfter w:w="59" w:type="dxa"/>
          <w:trHeight w:val="471"/>
        </w:trPr>
        <w:tc>
          <w:tcPr>
            <w:tcW w:w="4111" w:type="dxa"/>
            <w:shd w:val="clear" w:color="auto" w:fill="auto"/>
            <w:vAlign w:val="center"/>
            <w:hideMark/>
          </w:tcPr>
          <w:p w:rsidR="009733DE" w:rsidRPr="00F45A80" w:rsidRDefault="009733DE" w:rsidP="009733DE">
            <w:pPr>
              <w:rPr>
                <w:rFonts w:cs="Calibri"/>
                <w:szCs w:val="20"/>
                <w:lang w:val="en-US"/>
              </w:rPr>
            </w:pPr>
            <w:r w:rsidRPr="00F45A80">
              <w:rPr>
                <w:rFonts w:cs="Calibri"/>
                <w:szCs w:val="20"/>
                <w:lang w:val="en-US"/>
              </w:rPr>
              <w:t>Foreign banks and other financial institutions</w:t>
            </w:r>
          </w:p>
        </w:tc>
        <w:tc>
          <w:tcPr>
            <w:tcW w:w="1133"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23,8</w:t>
            </w:r>
          </w:p>
        </w:tc>
        <w:tc>
          <w:tcPr>
            <w:tcW w:w="1134"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12,2</w:t>
            </w:r>
          </w:p>
        </w:tc>
        <w:tc>
          <w:tcPr>
            <w:tcW w:w="1134" w:type="dxa"/>
            <w:gridSpan w:val="2"/>
            <w:tcBorders>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186" w:type="dxa"/>
            <w:gridSpan w:val="2"/>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24" w:type="dxa"/>
            <w:gridSpan w:val="2"/>
            <w:tcBorders>
              <w:lef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5" w:type="dxa"/>
            <w:shd w:val="clear" w:color="auto" w:fill="auto"/>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35,9</w:t>
            </w:r>
          </w:p>
        </w:tc>
      </w:tr>
      <w:tr w:rsidR="009733DE" w:rsidRPr="00F45A80" w:rsidTr="009733DE">
        <w:trPr>
          <w:gridAfter w:val="1"/>
          <w:wAfter w:w="59" w:type="dxa"/>
          <w:trHeight w:val="510"/>
        </w:trPr>
        <w:tc>
          <w:tcPr>
            <w:tcW w:w="4111" w:type="dxa"/>
            <w:shd w:val="clear" w:color="auto" w:fill="auto"/>
            <w:vAlign w:val="center"/>
            <w:hideMark/>
          </w:tcPr>
          <w:p w:rsidR="009733DE" w:rsidRPr="00F45A80" w:rsidRDefault="009733DE" w:rsidP="009733DE">
            <w:pPr>
              <w:rPr>
                <w:rFonts w:cs="Calibri"/>
                <w:szCs w:val="20"/>
                <w:lang w:val="en-US"/>
              </w:rPr>
            </w:pPr>
            <w:r w:rsidRPr="00F45A80">
              <w:rPr>
                <w:rFonts w:cs="Calibri"/>
                <w:szCs w:val="20"/>
                <w:lang w:val="en-US"/>
              </w:rPr>
              <w:t>Foreign parent companies and branches</w:t>
            </w:r>
          </w:p>
        </w:tc>
        <w:tc>
          <w:tcPr>
            <w:tcW w:w="1133"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48,3</w:t>
            </w:r>
          </w:p>
        </w:tc>
        <w:tc>
          <w:tcPr>
            <w:tcW w:w="1134"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30,8</w:t>
            </w:r>
          </w:p>
        </w:tc>
        <w:tc>
          <w:tcPr>
            <w:tcW w:w="1134" w:type="dxa"/>
            <w:gridSpan w:val="2"/>
            <w:tcBorders>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8,9</w:t>
            </w:r>
          </w:p>
        </w:tc>
        <w:tc>
          <w:tcPr>
            <w:tcW w:w="1186" w:type="dxa"/>
            <w:gridSpan w:val="2"/>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31,5</w:t>
            </w:r>
          </w:p>
        </w:tc>
        <w:tc>
          <w:tcPr>
            <w:tcW w:w="1224" w:type="dxa"/>
            <w:gridSpan w:val="2"/>
            <w:tcBorders>
              <w:lef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0,1</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0,1</w:t>
            </w:r>
          </w:p>
        </w:tc>
        <w:tc>
          <w:tcPr>
            <w:tcW w:w="1275" w:type="dxa"/>
            <w:shd w:val="clear" w:color="auto" w:fill="auto"/>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119,7</w:t>
            </w:r>
          </w:p>
        </w:tc>
      </w:tr>
      <w:tr w:rsidR="009733DE" w:rsidRPr="00F45A80" w:rsidTr="009733DE">
        <w:trPr>
          <w:gridAfter w:val="1"/>
          <w:wAfter w:w="59" w:type="dxa"/>
          <w:trHeight w:val="510"/>
        </w:trPr>
        <w:tc>
          <w:tcPr>
            <w:tcW w:w="4111" w:type="dxa"/>
            <w:shd w:val="clear" w:color="auto" w:fill="auto"/>
            <w:vAlign w:val="center"/>
            <w:hideMark/>
          </w:tcPr>
          <w:p w:rsidR="009733DE" w:rsidRPr="00F45A80" w:rsidRDefault="009733DE" w:rsidP="009733DE">
            <w:pPr>
              <w:rPr>
                <w:rFonts w:cs="Calibri"/>
                <w:szCs w:val="20"/>
                <w:lang w:val="en-US"/>
              </w:rPr>
            </w:pPr>
            <w:r w:rsidRPr="00F45A80">
              <w:rPr>
                <w:rFonts w:cs="Calibri"/>
                <w:szCs w:val="20"/>
                <w:lang w:val="en-US"/>
              </w:rPr>
              <w:t>Exporters and other private sources</w:t>
            </w:r>
          </w:p>
        </w:tc>
        <w:tc>
          <w:tcPr>
            <w:tcW w:w="1133"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0,6</w:t>
            </w:r>
          </w:p>
        </w:tc>
        <w:tc>
          <w:tcPr>
            <w:tcW w:w="1134"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0,3</w:t>
            </w:r>
          </w:p>
        </w:tc>
        <w:tc>
          <w:tcPr>
            <w:tcW w:w="1134" w:type="dxa"/>
            <w:gridSpan w:val="2"/>
            <w:tcBorders>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0,0</w:t>
            </w:r>
          </w:p>
        </w:tc>
        <w:tc>
          <w:tcPr>
            <w:tcW w:w="1186" w:type="dxa"/>
            <w:gridSpan w:val="2"/>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0,0</w:t>
            </w:r>
          </w:p>
        </w:tc>
        <w:tc>
          <w:tcPr>
            <w:tcW w:w="1224" w:type="dxa"/>
            <w:gridSpan w:val="2"/>
            <w:tcBorders>
              <w:lef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0,1</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5" w:type="dxa"/>
            <w:shd w:val="clear" w:color="auto" w:fill="auto"/>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1,0</w:t>
            </w:r>
          </w:p>
        </w:tc>
      </w:tr>
      <w:tr w:rsidR="009733DE" w:rsidRPr="00F45A80" w:rsidTr="009733DE">
        <w:trPr>
          <w:gridAfter w:val="1"/>
          <w:wAfter w:w="59" w:type="dxa"/>
          <w:trHeight w:val="777"/>
        </w:trPr>
        <w:tc>
          <w:tcPr>
            <w:tcW w:w="4111" w:type="dxa"/>
            <w:shd w:val="clear" w:color="auto" w:fill="auto"/>
            <w:vAlign w:val="center"/>
            <w:hideMark/>
          </w:tcPr>
          <w:p w:rsidR="009733DE" w:rsidRPr="00F45A80" w:rsidRDefault="009733DE" w:rsidP="009733DE">
            <w:pPr>
              <w:rPr>
                <w:rFonts w:cs="Calibri"/>
                <w:szCs w:val="20"/>
                <w:lang w:val="en-US"/>
              </w:rPr>
            </w:pPr>
            <w:r w:rsidRPr="00F45A80">
              <w:rPr>
                <w:rFonts w:cs="Calibri"/>
                <w:szCs w:val="20"/>
                <w:lang w:val="en-US"/>
              </w:rPr>
              <w:t>Official sources (Governments and international institutions)</w:t>
            </w:r>
          </w:p>
        </w:tc>
        <w:tc>
          <w:tcPr>
            <w:tcW w:w="1133"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4,0</w:t>
            </w:r>
          </w:p>
        </w:tc>
        <w:tc>
          <w:tcPr>
            <w:tcW w:w="1134"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186" w:type="dxa"/>
            <w:gridSpan w:val="2"/>
            <w:tcBorders>
              <w:top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24"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134"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5" w:type="dxa"/>
            <w:shd w:val="clear" w:color="auto" w:fill="auto"/>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4,0</w:t>
            </w:r>
          </w:p>
        </w:tc>
      </w:tr>
      <w:tr w:rsidR="009733DE" w:rsidRPr="00F45A80" w:rsidTr="009733DE">
        <w:trPr>
          <w:gridAfter w:val="1"/>
          <w:wAfter w:w="59" w:type="dxa"/>
          <w:trHeight w:val="255"/>
        </w:trPr>
        <w:tc>
          <w:tcPr>
            <w:tcW w:w="4111" w:type="dxa"/>
            <w:shd w:val="clear" w:color="auto" w:fill="BDD6EE" w:themeFill="accent1" w:themeFillTint="66"/>
            <w:noWrap/>
            <w:vAlign w:val="center"/>
            <w:hideMark/>
          </w:tcPr>
          <w:p w:rsidR="009733DE" w:rsidRPr="00945122" w:rsidRDefault="009733DE" w:rsidP="009733DE">
            <w:pPr>
              <w:jc w:val="center"/>
              <w:rPr>
                <w:rFonts w:cs="Calibri"/>
                <w:szCs w:val="20"/>
                <w:lang w:val="en-US"/>
              </w:rPr>
            </w:pPr>
            <w:r w:rsidRPr="00945122">
              <w:rPr>
                <w:rFonts w:cs="Calibri"/>
                <w:szCs w:val="20"/>
                <w:lang w:val="en-US"/>
              </w:rPr>
              <w:t>TOTAL</w:t>
            </w:r>
          </w:p>
        </w:tc>
        <w:tc>
          <w:tcPr>
            <w:tcW w:w="1133" w:type="dxa"/>
            <w:gridSpan w:val="2"/>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76,7</w:t>
            </w:r>
          </w:p>
        </w:tc>
        <w:tc>
          <w:tcPr>
            <w:tcW w:w="1134" w:type="dxa"/>
            <w:gridSpan w:val="2"/>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43,3</w:t>
            </w:r>
          </w:p>
        </w:tc>
        <w:tc>
          <w:tcPr>
            <w:tcW w:w="1134" w:type="dxa"/>
            <w:gridSpan w:val="2"/>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8,9</w:t>
            </w:r>
          </w:p>
        </w:tc>
        <w:tc>
          <w:tcPr>
            <w:tcW w:w="1186" w:type="dxa"/>
            <w:gridSpan w:val="2"/>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31,5</w:t>
            </w:r>
          </w:p>
        </w:tc>
        <w:tc>
          <w:tcPr>
            <w:tcW w:w="1224" w:type="dxa"/>
            <w:gridSpan w:val="2"/>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0,2</w:t>
            </w:r>
          </w:p>
        </w:tc>
        <w:tc>
          <w:tcPr>
            <w:tcW w:w="1276" w:type="dxa"/>
            <w:gridSpan w:val="2"/>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w:t>
            </w:r>
          </w:p>
        </w:tc>
        <w:tc>
          <w:tcPr>
            <w:tcW w:w="1276" w:type="dxa"/>
            <w:gridSpan w:val="2"/>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w:t>
            </w:r>
          </w:p>
        </w:tc>
        <w:tc>
          <w:tcPr>
            <w:tcW w:w="1134" w:type="dxa"/>
            <w:gridSpan w:val="2"/>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0,1</w:t>
            </w:r>
          </w:p>
        </w:tc>
        <w:tc>
          <w:tcPr>
            <w:tcW w:w="1275" w:type="dxa"/>
            <w:shd w:val="clear" w:color="auto" w:fill="BDD6EE" w:themeFill="accent1" w:themeFillTint="66"/>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160,7</w:t>
            </w:r>
          </w:p>
        </w:tc>
      </w:tr>
    </w:tbl>
    <w:p w:rsidR="009304D9" w:rsidRPr="00B30F70" w:rsidRDefault="009304D9" w:rsidP="009304D9">
      <w:pPr>
        <w:jc w:val="right"/>
        <w:rPr>
          <w:sz w:val="22"/>
          <w:szCs w:val="22"/>
          <w:lang w:val="en-US"/>
        </w:rPr>
      </w:pPr>
      <w:r w:rsidRPr="00F45A80">
        <w:rPr>
          <w:b/>
          <w:lang w:val="en-US"/>
        </w:rPr>
        <w:br w:type="page"/>
      </w:r>
      <w:r w:rsidRPr="00B30F70">
        <w:rPr>
          <w:i/>
          <w:sz w:val="22"/>
          <w:szCs w:val="22"/>
          <w:lang w:val="en-US"/>
        </w:rPr>
        <w:lastRenderedPageBreak/>
        <w:t>Addenda 1</w:t>
      </w:r>
      <w:r w:rsidR="009733DE">
        <w:rPr>
          <w:i/>
          <w:sz w:val="22"/>
          <w:szCs w:val="22"/>
          <w:lang w:val="en-US"/>
        </w:rPr>
        <w:t>4</w:t>
      </w:r>
      <w:r w:rsidRPr="00B30F70">
        <w:rPr>
          <w:i/>
          <w:sz w:val="22"/>
          <w:szCs w:val="22"/>
          <w:lang w:val="en-US"/>
        </w:rPr>
        <w:t>.7</w:t>
      </w:r>
    </w:p>
    <w:p w:rsidR="009304D9" w:rsidRPr="00F45A80" w:rsidRDefault="009304D9" w:rsidP="009304D9">
      <w:pPr>
        <w:jc w:val="center"/>
        <w:rPr>
          <w:b/>
          <w:lang w:val="en-US"/>
        </w:rPr>
      </w:pPr>
    </w:p>
    <w:p w:rsidR="009304D9" w:rsidRPr="00F45A80" w:rsidRDefault="009304D9" w:rsidP="009304D9">
      <w:pPr>
        <w:jc w:val="center"/>
        <w:rPr>
          <w:rFonts w:cs="Calibri"/>
          <w:b/>
          <w:lang w:val="en-US"/>
        </w:rPr>
      </w:pPr>
      <w:r w:rsidRPr="00BD3E98">
        <w:rPr>
          <w:rFonts w:cs="Calibri"/>
          <w:b/>
          <w:sz w:val="26"/>
          <w:szCs w:val="26"/>
          <w:lang w:val="en-US"/>
        </w:rPr>
        <w:t xml:space="preserve">INFORMATION ON RECEIPTS AND PAYMENTS OF PRIVATE EXTERNAL DEBT </w:t>
      </w:r>
      <w:r w:rsidR="00165078">
        <w:rPr>
          <w:rFonts w:cs="Calibri"/>
          <w:b/>
          <w:sz w:val="26"/>
          <w:szCs w:val="26"/>
          <w:lang w:val="en-US"/>
        </w:rPr>
        <w:t>FOR</w:t>
      </w:r>
      <w:r w:rsidRPr="00BD3E98">
        <w:rPr>
          <w:rFonts w:cs="Calibri"/>
          <w:b/>
          <w:sz w:val="26"/>
          <w:szCs w:val="26"/>
          <w:lang w:val="en-US"/>
        </w:rPr>
        <w:t xml:space="preserve"> 20</w:t>
      </w:r>
      <w:r w:rsidR="00B51ED0">
        <w:rPr>
          <w:rFonts w:cs="Calibri"/>
          <w:b/>
          <w:sz w:val="26"/>
          <w:szCs w:val="26"/>
          <w:lang w:val="en-US"/>
        </w:rPr>
        <w:t>20</w:t>
      </w:r>
      <w:r w:rsidRPr="00BD3E98">
        <w:rPr>
          <w:rFonts w:cs="Calibri"/>
          <w:b/>
          <w:sz w:val="26"/>
          <w:szCs w:val="26"/>
          <w:lang w:val="en-US"/>
        </w:rPr>
        <w:br/>
      </w:r>
      <w:r w:rsidRPr="00F45A80">
        <w:rPr>
          <w:rFonts w:cs="Calibri"/>
          <w:i/>
          <w:lang w:val="en-US"/>
        </w:rPr>
        <w:t>(Type of borrower: all borrowers, except for banks and enterprises with direct investments)</w:t>
      </w:r>
    </w:p>
    <w:p w:rsidR="009304D9" w:rsidRPr="00F45A80" w:rsidRDefault="009304D9" w:rsidP="009304D9">
      <w:pPr>
        <w:tabs>
          <w:tab w:val="left" w:pos="14034"/>
        </w:tabs>
        <w:ind w:right="-172"/>
        <w:jc w:val="right"/>
        <w:rPr>
          <w:i/>
          <w:sz w:val="20"/>
          <w:lang w:val="en-US"/>
        </w:rPr>
      </w:pPr>
      <w:r w:rsidRPr="00F45A80">
        <w:rPr>
          <w:i/>
          <w:sz w:val="20"/>
          <w:szCs w:val="20"/>
          <w:lang w:val="en-US"/>
        </w:rPr>
        <w:t>(mln. USD)</w:t>
      </w:r>
    </w:p>
    <w:tbl>
      <w:tblPr>
        <w:tblW w:w="14997" w:type="dxa"/>
        <w:tblInd w:w="27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232"/>
        <w:gridCol w:w="1729"/>
        <w:gridCol w:w="1560"/>
        <w:gridCol w:w="1559"/>
        <w:gridCol w:w="1560"/>
        <w:gridCol w:w="1813"/>
        <w:gridCol w:w="1843"/>
        <w:gridCol w:w="1701"/>
      </w:tblGrid>
      <w:tr w:rsidR="009304D9" w:rsidRPr="00F45A80" w:rsidTr="00945122">
        <w:trPr>
          <w:trHeight w:val="255"/>
        </w:trPr>
        <w:tc>
          <w:tcPr>
            <w:tcW w:w="3232" w:type="dxa"/>
            <w:vMerge w:val="restart"/>
            <w:shd w:val="clear" w:color="auto" w:fill="BDD6EE" w:themeFill="accent1" w:themeFillTint="66"/>
            <w:vAlign w:val="center"/>
            <w:hideMark/>
          </w:tcPr>
          <w:p w:rsidR="009304D9" w:rsidRPr="00F45A80" w:rsidRDefault="009304D9" w:rsidP="006F7BE3">
            <w:pPr>
              <w:jc w:val="center"/>
              <w:rPr>
                <w:b/>
                <w:lang w:val="en-US"/>
              </w:rPr>
            </w:pPr>
            <w:r w:rsidRPr="00F45A80">
              <w:rPr>
                <w:rFonts w:cs="Calibri"/>
                <w:b/>
                <w:lang w:val="en-US"/>
              </w:rPr>
              <w:t>Type of creditor</w:t>
            </w:r>
          </w:p>
        </w:tc>
        <w:tc>
          <w:tcPr>
            <w:tcW w:w="1729" w:type="dxa"/>
            <w:shd w:val="clear" w:color="auto" w:fill="BDD6EE" w:themeFill="accent1" w:themeFillTint="66"/>
            <w:vAlign w:val="center"/>
            <w:hideMark/>
          </w:tcPr>
          <w:p w:rsidR="009304D9" w:rsidRPr="00F45A80" w:rsidRDefault="009304D9" w:rsidP="006F7BE3">
            <w:pPr>
              <w:jc w:val="center"/>
              <w:rPr>
                <w:rFonts w:cs="Calibri"/>
                <w:b/>
                <w:lang w:val="en-US"/>
              </w:rPr>
            </w:pPr>
            <w:r w:rsidRPr="00F45A80">
              <w:rPr>
                <w:rFonts w:cs="Calibri"/>
                <w:b/>
                <w:lang w:val="en-US"/>
              </w:rPr>
              <w:t xml:space="preserve">Beginning of </w:t>
            </w:r>
          </w:p>
          <w:p w:rsidR="009304D9" w:rsidRPr="00F45A80" w:rsidRDefault="009304D9" w:rsidP="006F7BE3">
            <w:pPr>
              <w:jc w:val="center"/>
              <w:rPr>
                <w:rFonts w:cs="Calibri"/>
                <w:b/>
                <w:lang w:val="en-US"/>
              </w:rPr>
            </w:pPr>
            <w:r w:rsidRPr="00F45A80">
              <w:rPr>
                <w:rFonts w:cs="Calibri"/>
                <w:b/>
                <w:lang w:val="en-US"/>
              </w:rPr>
              <w:t xml:space="preserve">period. </w:t>
            </w:r>
          </w:p>
        </w:tc>
        <w:tc>
          <w:tcPr>
            <w:tcW w:w="8335" w:type="dxa"/>
            <w:gridSpan w:val="5"/>
            <w:shd w:val="clear" w:color="auto" w:fill="BDD6EE" w:themeFill="accent1" w:themeFillTint="66"/>
            <w:noWrap/>
            <w:vAlign w:val="center"/>
            <w:hideMark/>
          </w:tcPr>
          <w:p w:rsidR="009304D9" w:rsidRPr="00F45A80" w:rsidRDefault="009304D9" w:rsidP="006F7BE3">
            <w:pPr>
              <w:jc w:val="center"/>
              <w:rPr>
                <w:rFonts w:cs="Calibri"/>
                <w:b/>
                <w:lang w:val="en-US"/>
              </w:rPr>
            </w:pPr>
            <w:r w:rsidRPr="00F45A80">
              <w:rPr>
                <w:rFonts w:cs="Calibri"/>
                <w:b/>
                <w:lang w:val="en-US"/>
              </w:rPr>
              <w:t>Dynamics during the period</w:t>
            </w:r>
          </w:p>
        </w:tc>
        <w:tc>
          <w:tcPr>
            <w:tcW w:w="1701" w:type="dxa"/>
            <w:shd w:val="clear" w:color="auto" w:fill="BDD6EE" w:themeFill="accent1" w:themeFillTint="66"/>
            <w:vAlign w:val="center"/>
            <w:hideMark/>
          </w:tcPr>
          <w:p w:rsidR="009304D9" w:rsidRPr="00F45A80" w:rsidRDefault="009304D9" w:rsidP="006F7BE3">
            <w:pPr>
              <w:jc w:val="center"/>
              <w:rPr>
                <w:rFonts w:cs="Calibri"/>
                <w:b/>
                <w:lang w:val="en-US"/>
              </w:rPr>
            </w:pPr>
            <w:r w:rsidRPr="00F45A80">
              <w:rPr>
                <w:rFonts w:cs="Calibri"/>
                <w:b/>
                <w:lang w:val="en-US"/>
              </w:rPr>
              <w:t>End of period</w:t>
            </w:r>
          </w:p>
        </w:tc>
      </w:tr>
      <w:tr w:rsidR="009304D9" w:rsidRPr="00F45A80" w:rsidTr="00945122">
        <w:trPr>
          <w:trHeight w:val="510"/>
        </w:trPr>
        <w:tc>
          <w:tcPr>
            <w:tcW w:w="3232" w:type="dxa"/>
            <w:vMerge/>
            <w:shd w:val="clear" w:color="auto" w:fill="BDD6EE" w:themeFill="accent1" w:themeFillTint="66"/>
            <w:vAlign w:val="center"/>
            <w:hideMark/>
          </w:tcPr>
          <w:p w:rsidR="009304D9" w:rsidRPr="00F45A80" w:rsidRDefault="009304D9" w:rsidP="006F7BE3">
            <w:pPr>
              <w:rPr>
                <w:b/>
                <w:lang w:val="en-US"/>
              </w:rPr>
            </w:pPr>
          </w:p>
        </w:tc>
        <w:tc>
          <w:tcPr>
            <w:tcW w:w="1729" w:type="dxa"/>
            <w:shd w:val="clear" w:color="auto" w:fill="BDD6EE" w:themeFill="accent1" w:themeFillTint="66"/>
            <w:vAlign w:val="center"/>
            <w:hideMark/>
          </w:tcPr>
          <w:p w:rsidR="009304D9" w:rsidRPr="00F45A80" w:rsidRDefault="009304D9" w:rsidP="006F7BE3">
            <w:pPr>
              <w:jc w:val="center"/>
              <w:rPr>
                <w:rFonts w:cs="Calibri"/>
                <w:b/>
                <w:lang w:val="en-US"/>
              </w:rPr>
            </w:pPr>
            <w:r w:rsidRPr="00F45A80">
              <w:rPr>
                <w:rFonts w:cs="Calibri"/>
                <w:b/>
                <w:lang w:val="en-US"/>
              </w:rPr>
              <w:t>Actual debt</w:t>
            </w:r>
          </w:p>
        </w:tc>
        <w:tc>
          <w:tcPr>
            <w:tcW w:w="1560" w:type="dxa"/>
            <w:shd w:val="clear" w:color="auto" w:fill="BDD6EE" w:themeFill="accent1" w:themeFillTint="66"/>
            <w:vAlign w:val="center"/>
            <w:hideMark/>
          </w:tcPr>
          <w:p w:rsidR="009304D9" w:rsidRPr="00F45A80" w:rsidRDefault="009304D9" w:rsidP="006F7BE3">
            <w:pPr>
              <w:jc w:val="center"/>
              <w:rPr>
                <w:rFonts w:cs="Calibri"/>
                <w:b/>
                <w:lang w:val="en-US"/>
              </w:rPr>
            </w:pPr>
            <w:r w:rsidRPr="00F45A80">
              <w:rPr>
                <w:rFonts w:cs="Calibri"/>
                <w:b/>
                <w:lang w:val="en-US"/>
              </w:rPr>
              <w:t>Receipts</w:t>
            </w:r>
          </w:p>
        </w:tc>
        <w:tc>
          <w:tcPr>
            <w:tcW w:w="1559" w:type="dxa"/>
            <w:shd w:val="clear" w:color="auto" w:fill="BDD6EE" w:themeFill="accent1" w:themeFillTint="66"/>
            <w:vAlign w:val="center"/>
            <w:hideMark/>
          </w:tcPr>
          <w:p w:rsidR="009304D9" w:rsidRPr="00F45A80" w:rsidRDefault="009304D9" w:rsidP="006F7BE3">
            <w:pPr>
              <w:jc w:val="center"/>
              <w:rPr>
                <w:rFonts w:cs="Calibri"/>
                <w:b/>
                <w:lang w:val="en-US"/>
              </w:rPr>
            </w:pPr>
            <w:r w:rsidRPr="00F45A80">
              <w:rPr>
                <w:rFonts w:cs="Calibri"/>
                <w:b/>
                <w:lang w:val="en-US"/>
              </w:rPr>
              <w:t>Repayment of</w:t>
            </w:r>
          </w:p>
          <w:p w:rsidR="009304D9" w:rsidRPr="00F45A80" w:rsidRDefault="009304D9" w:rsidP="006F7BE3">
            <w:pPr>
              <w:jc w:val="center"/>
              <w:rPr>
                <w:rFonts w:cs="Calibri"/>
                <w:b/>
                <w:lang w:val="en-US"/>
              </w:rPr>
            </w:pPr>
            <w:r w:rsidRPr="00F45A80">
              <w:rPr>
                <w:rFonts w:cs="Calibri"/>
                <w:b/>
                <w:lang w:val="en-US"/>
              </w:rPr>
              <w:t>principal debt</w:t>
            </w:r>
          </w:p>
        </w:tc>
        <w:tc>
          <w:tcPr>
            <w:tcW w:w="1560" w:type="dxa"/>
            <w:shd w:val="clear" w:color="auto" w:fill="BDD6EE" w:themeFill="accent1" w:themeFillTint="66"/>
            <w:vAlign w:val="center"/>
            <w:hideMark/>
          </w:tcPr>
          <w:p w:rsidR="009304D9" w:rsidRPr="00F45A80" w:rsidRDefault="009304D9" w:rsidP="006F7BE3">
            <w:pPr>
              <w:jc w:val="center"/>
              <w:rPr>
                <w:rFonts w:cs="Calibri"/>
                <w:b/>
                <w:lang w:val="en-US"/>
              </w:rPr>
            </w:pPr>
            <w:r w:rsidRPr="00F45A80">
              <w:rPr>
                <w:rFonts w:cs="Calibri"/>
                <w:b/>
                <w:lang w:val="en-US"/>
              </w:rPr>
              <w:t xml:space="preserve">Interest </w:t>
            </w:r>
          </w:p>
          <w:p w:rsidR="009304D9" w:rsidRPr="00F45A80" w:rsidRDefault="009304D9" w:rsidP="006F7BE3">
            <w:pPr>
              <w:jc w:val="center"/>
              <w:rPr>
                <w:rFonts w:cs="Calibri"/>
                <w:b/>
                <w:lang w:val="en-US"/>
              </w:rPr>
            </w:pPr>
            <w:r w:rsidRPr="00F45A80">
              <w:rPr>
                <w:rFonts w:cs="Calibri"/>
                <w:b/>
                <w:lang w:val="en-US"/>
              </w:rPr>
              <w:t>payments</w:t>
            </w:r>
          </w:p>
        </w:tc>
        <w:tc>
          <w:tcPr>
            <w:tcW w:w="1813" w:type="dxa"/>
            <w:shd w:val="clear" w:color="auto" w:fill="BDD6EE" w:themeFill="accent1" w:themeFillTint="66"/>
            <w:vAlign w:val="center"/>
            <w:hideMark/>
          </w:tcPr>
          <w:p w:rsidR="009304D9" w:rsidRPr="00F45A80" w:rsidRDefault="009304D9" w:rsidP="006F7BE3">
            <w:pPr>
              <w:jc w:val="center"/>
              <w:rPr>
                <w:rFonts w:cs="Calibri"/>
                <w:b/>
                <w:lang w:val="en-US"/>
              </w:rPr>
            </w:pPr>
            <w:r w:rsidRPr="00F45A80">
              <w:rPr>
                <w:rFonts w:cs="Calibri"/>
                <w:b/>
                <w:lang w:val="en-US"/>
              </w:rPr>
              <w:t>Rescheduled</w:t>
            </w:r>
          </w:p>
          <w:p w:rsidR="009304D9" w:rsidRPr="00F45A80" w:rsidRDefault="009304D9" w:rsidP="006F7BE3">
            <w:pPr>
              <w:jc w:val="center"/>
              <w:rPr>
                <w:rFonts w:cs="Calibri"/>
                <w:b/>
                <w:lang w:val="en-US"/>
              </w:rPr>
            </w:pPr>
            <w:r w:rsidRPr="00F45A80">
              <w:rPr>
                <w:rFonts w:cs="Calibri"/>
                <w:b/>
                <w:lang w:val="en-US"/>
              </w:rPr>
              <w:t xml:space="preserve">principal debt </w:t>
            </w:r>
          </w:p>
          <w:p w:rsidR="009304D9" w:rsidRPr="00F45A80" w:rsidRDefault="009304D9" w:rsidP="006F7BE3">
            <w:pPr>
              <w:jc w:val="center"/>
              <w:rPr>
                <w:rFonts w:cs="Calibri"/>
                <w:b/>
                <w:lang w:val="en-US"/>
              </w:rPr>
            </w:pPr>
            <w:r w:rsidRPr="00F45A80">
              <w:rPr>
                <w:rFonts w:cs="Calibri"/>
                <w:b/>
                <w:lang w:val="en-US"/>
              </w:rPr>
              <w:t>payments</w:t>
            </w:r>
          </w:p>
        </w:tc>
        <w:tc>
          <w:tcPr>
            <w:tcW w:w="1843" w:type="dxa"/>
            <w:shd w:val="clear" w:color="auto" w:fill="BDD6EE" w:themeFill="accent1" w:themeFillTint="66"/>
            <w:vAlign w:val="center"/>
            <w:hideMark/>
          </w:tcPr>
          <w:p w:rsidR="009304D9" w:rsidRPr="00F45A80" w:rsidRDefault="009304D9" w:rsidP="006F7BE3">
            <w:pPr>
              <w:jc w:val="center"/>
              <w:rPr>
                <w:rFonts w:cs="Calibri"/>
                <w:b/>
                <w:lang w:val="en-US"/>
              </w:rPr>
            </w:pPr>
            <w:r w:rsidRPr="00F45A80">
              <w:rPr>
                <w:rFonts w:cs="Calibri"/>
                <w:b/>
                <w:lang w:val="en-US"/>
              </w:rPr>
              <w:t>Rescheduled</w:t>
            </w:r>
          </w:p>
          <w:p w:rsidR="009304D9" w:rsidRPr="00F45A80" w:rsidRDefault="009304D9" w:rsidP="006F7BE3">
            <w:pPr>
              <w:jc w:val="center"/>
              <w:rPr>
                <w:rFonts w:cs="Calibri"/>
                <w:b/>
                <w:lang w:val="en-US"/>
              </w:rPr>
            </w:pPr>
            <w:r w:rsidRPr="00F45A80">
              <w:rPr>
                <w:rFonts w:cs="Calibri"/>
                <w:b/>
                <w:lang w:val="en-US"/>
              </w:rPr>
              <w:t xml:space="preserve">interest </w:t>
            </w:r>
          </w:p>
          <w:p w:rsidR="009304D9" w:rsidRPr="00F45A80" w:rsidRDefault="009304D9" w:rsidP="006F7BE3">
            <w:pPr>
              <w:jc w:val="center"/>
              <w:rPr>
                <w:rFonts w:cs="Calibri"/>
                <w:b/>
                <w:lang w:val="en-US"/>
              </w:rPr>
            </w:pPr>
            <w:r w:rsidRPr="00F45A80">
              <w:rPr>
                <w:rFonts w:cs="Calibri"/>
                <w:b/>
                <w:lang w:val="en-US"/>
              </w:rPr>
              <w:t>payments</w:t>
            </w:r>
          </w:p>
        </w:tc>
        <w:tc>
          <w:tcPr>
            <w:tcW w:w="1701" w:type="dxa"/>
            <w:shd w:val="clear" w:color="auto" w:fill="BDD6EE" w:themeFill="accent1" w:themeFillTint="66"/>
            <w:vAlign w:val="center"/>
            <w:hideMark/>
          </w:tcPr>
          <w:p w:rsidR="009304D9" w:rsidRPr="00F45A80" w:rsidRDefault="009304D9" w:rsidP="006F7BE3">
            <w:pPr>
              <w:jc w:val="center"/>
              <w:rPr>
                <w:rFonts w:cs="Calibri"/>
                <w:b/>
                <w:lang w:val="en-US"/>
              </w:rPr>
            </w:pPr>
            <w:r w:rsidRPr="00F45A80">
              <w:rPr>
                <w:rFonts w:cs="Calibri"/>
                <w:b/>
                <w:lang w:val="en-US"/>
              </w:rPr>
              <w:t>Actual debt</w:t>
            </w:r>
          </w:p>
        </w:tc>
      </w:tr>
      <w:tr w:rsidR="009304D9" w:rsidRPr="00F45A80" w:rsidTr="004817AF">
        <w:trPr>
          <w:trHeight w:val="255"/>
        </w:trPr>
        <w:tc>
          <w:tcPr>
            <w:tcW w:w="3232" w:type="dxa"/>
            <w:shd w:val="clear" w:color="auto" w:fill="auto"/>
            <w:noWrap/>
            <w:vAlign w:val="center"/>
            <w:hideMark/>
          </w:tcPr>
          <w:p w:rsidR="009304D9" w:rsidRPr="00F45A80" w:rsidRDefault="009304D9" w:rsidP="006F7BE3">
            <w:pPr>
              <w:jc w:val="center"/>
              <w:rPr>
                <w:lang w:val="en-US"/>
              </w:rPr>
            </w:pPr>
            <w:r w:rsidRPr="00F45A80">
              <w:rPr>
                <w:lang w:val="en-US"/>
              </w:rPr>
              <w:t>1</w:t>
            </w:r>
          </w:p>
        </w:tc>
        <w:tc>
          <w:tcPr>
            <w:tcW w:w="1729" w:type="dxa"/>
            <w:shd w:val="clear" w:color="auto" w:fill="auto"/>
            <w:noWrap/>
            <w:vAlign w:val="center"/>
            <w:hideMark/>
          </w:tcPr>
          <w:p w:rsidR="009304D9" w:rsidRPr="00F45A80" w:rsidRDefault="009304D9" w:rsidP="006F7BE3">
            <w:pPr>
              <w:jc w:val="center"/>
              <w:rPr>
                <w:lang w:val="en-US"/>
              </w:rPr>
            </w:pPr>
            <w:r w:rsidRPr="00F45A80">
              <w:rPr>
                <w:lang w:val="en-US"/>
              </w:rPr>
              <w:t>2</w:t>
            </w:r>
          </w:p>
        </w:tc>
        <w:tc>
          <w:tcPr>
            <w:tcW w:w="1560" w:type="dxa"/>
            <w:shd w:val="clear" w:color="auto" w:fill="auto"/>
            <w:noWrap/>
            <w:vAlign w:val="center"/>
            <w:hideMark/>
          </w:tcPr>
          <w:p w:rsidR="009304D9" w:rsidRPr="00F45A80" w:rsidRDefault="009304D9" w:rsidP="006F7BE3">
            <w:pPr>
              <w:jc w:val="center"/>
              <w:rPr>
                <w:lang w:val="en-US"/>
              </w:rPr>
            </w:pPr>
            <w:r w:rsidRPr="00F45A80">
              <w:rPr>
                <w:lang w:val="en-US"/>
              </w:rPr>
              <w:t>3</w:t>
            </w:r>
          </w:p>
        </w:tc>
        <w:tc>
          <w:tcPr>
            <w:tcW w:w="1559" w:type="dxa"/>
            <w:shd w:val="clear" w:color="auto" w:fill="auto"/>
            <w:noWrap/>
            <w:vAlign w:val="center"/>
            <w:hideMark/>
          </w:tcPr>
          <w:p w:rsidR="009304D9" w:rsidRPr="00F45A80" w:rsidRDefault="009304D9" w:rsidP="006F7BE3">
            <w:pPr>
              <w:jc w:val="center"/>
              <w:rPr>
                <w:lang w:val="en-US"/>
              </w:rPr>
            </w:pPr>
            <w:r w:rsidRPr="00F45A80">
              <w:rPr>
                <w:lang w:val="en-US"/>
              </w:rPr>
              <w:t>4</w:t>
            </w:r>
          </w:p>
        </w:tc>
        <w:tc>
          <w:tcPr>
            <w:tcW w:w="1560" w:type="dxa"/>
            <w:shd w:val="clear" w:color="auto" w:fill="auto"/>
            <w:noWrap/>
            <w:vAlign w:val="center"/>
            <w:hideMark/>
          </w:tcPr>
          <w:p w:rsidR="009304D9" w:rsidRPr="00F45A80" w:rsidRDefault="009304D9" w:rsidP="006F7BE3">
            <w:pPr>
              <w:jc w:val="center"/>
              <w:rPr>
                <w:lang w:val="en-US"/>
              </w:rPr>
            </w:pPr>
            <w:r w:rsidRPr="00F45A80">
              <w:rPr>
                <w:lang w:val="en-US"/>
              </w:rPr>
              <w:t>5</w:t>
            </w:r>
          </w:p>
        </w:tc>
        <w:tc>
          <w:tcPr>
            <w:tcW w:w="1813" w:type="dxa"/>
            <w:shd w:val="clear" w:color="auto" w:fill="auto"/>
            <w:noWrap/>
            <w:vAlign w:val="center"/>
            <w:hideMark/>
          </w:tcPr>
          <w:p w:rsidR="009304D9" w:rsidRPr="00F45A80" w:rsidRDefault="009304D9" w:rsidP="006F7BE3">
            <w:pPr>
              <w:jc w:val="center"/>
              <w:rPr>
                <w:lang w:val="en-US"/>
              </w:rPr>
            </w:pPr>
            <w:r w:rsidRPr="00F45A80">
              <w:rPr>
                <w:lang w:val="en-US"/>
              </w:rPr>
              <w:t>6</w:t>
            </w:r>
          </w:p>
        </w:tc>
        <w:tc>
          <w:tcPr>
            <w:tcW w:w="1843" w:type="dxa"/>
            <w:shd w:val="clear" w:color="auto" w:fill="auto"/>
            <w:noWrap/>
            <w:vAlign w:val="center"/>
            <w:hideMark/>
          </w:tcPr>
          <w:p w:rsidR="009304D9" w:rsidRPr="00F45A80" w:rsidRDefault="009304D9" w:rsidP="006F7BE3">
            <w:pPr>
              <w:jc w:val="center"/>
              <w:rPr>
                <w:lang w:val="en-US"/>
              </w:rPr>
            </w:pPr>
            <w:r w:rsidRPr="00F45A80">
              <w:rPr>
                <w:lang w:val="en-US"/>
              </w:rPr>
              <w:t>7</w:t>
            </w:r>
          </w:p>
        </w:tc>
        <w:tc>
          <w:tcPr>
            <w:tcW w:w="1701" w:type="dxa"/>
            <w:shd w:val="clear" w:color="auto" w:fill="auto"/>
            <w:noWrap/>
            <w:vAlign w:val="center"/>
            <w:hideMark/>
          </w:tcPr>
          <w:p w:rsidR="009304D9" w:rsidRPr="00F45A80" w:rsidRDefault="009304D9" w:rsidP="006F7BE3">
            <w:pPr>
              <w:jc w:val="center"/>
              <w:rPr>
                <w:lang w:val="en-US"/>
              </w:rPr>
            </w:pPr>
            <w:r w:rsidRPr="00F45A80">
              <w:rPr>
                <w:lang w:val="en-US"/>
              </w:rPr>
              <w:t>8</w:t>
            </w:r>
          </w:p>
        </w:tc>
      </w:tr>
      <w:tr w:rsidR="009733DE" w:rsidRPr="00F45A80" w:rsidTr="004817AF">
        <w:trPr>
          <w:trHeight w:val="765"/>
        </w:trPr>
        <w:tc>
          <w:tcPr>
            <w:tcW w:w="3232" w:type="dxa"/>
            <w:shd w:val="clear" w:color="auto" w:fill="auto"/>
            <w:vAlign w:val="center"/>
            <w:hideMark/>
          </w:tcPr>
          <w:p w:rsidR="009733DE" w:rsidRPr="00F45A80" w:rsidRDefault="009733DE" w:rsidP="009733DE">
            <w:pPr>
              <w:rPr>
                <w:rFonts w:cs="Calibri"/>
                <w:lang w:val="en-US"/>
              </w:rPr>
            </w:pPr>
            <w:r w:rsidRPr="00F45A80">
              <w:rPr>
                <w:rFonts w:cs="Calibri"/>
                <w:lang w:val="en-US"/>
              </w:rPr>
              <w:t>Foreign banks and other financial institutions</w:t>
            </w:r>
          </w:p>
        </w:tc>
        <w:tc>
          <w:tcPr>
            <w:tcW w:w="1729"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401,4</w:t>
            </w:r>
          </w:p>
        </w:tc>
        <w:tc>
          <w:tcPr>
            <w:tcW w:w="1560"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597,3</w:t>
            </w:r>
          </w:p>
        </w:tc>
        <w:tc>
          <w:tcPr>
            <w:tcW w:w="1559"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39,2</w:t>
            </w:r>
          </w:p>
        </w:tc>
        <w:tc>
          <w:tcPr>
            <w:tcW w:w="1560"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25,4</w:t>
            </w:r>
          </w:p>
        </w:tc>
        <w:tc>
          <w:tcPr>
            <w:tcW w:w="1813"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843"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701"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980,6</w:t>
            </w:r>
          </w:p>
        </w:tc>
      </w:tr>
      <w:tr w:rsidR="009733DE" w:rsidRPr="00F45A80" w:rsidTr="004817AF">
        <w:trPr>
          <w:trHeight w:val="510"/>
        </w:trPr>
        <w:tc>
          <w:tcPr>
            <w:tcW w:w="3232" w:type="dxa"/>
            <w:shd w:val="clear" w:color="auto" w:fill="auto"/>
            <w:vAlign w:val="center"/>
            <w:hideMark/>
          </w:tcPr>
          <w:p w:rsidR="009733DE" w:rsidRPr="00F45A80" w:rsidRDefault="009733DE" w:rsidP="009733DE">
            <w:pPr>
              <w:rPr>
                <w:rFonts w:cs="Calibri"/>
                <w:lang w:val="en-US"/>
              </w:rPr>
            </w:pPr>
            <w:r w:rsidRPr="00F45A80">
              <w:rPr>
                <w:rFonts w:cs="Calibri"/>
                <w:lang w:val="en-US"/>
              </w:rPr>
              <w:t>Foreign parent companies and branches</w:t>
            </w:r>
          </w:p>
        </w:tc>
        <w:tc>
          <w:tcPr>
            <w:tcW w:w="1729"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560"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4,6</w:t>
            </w:r>
          </w:p>
        </w:tc>
        <w:tc>
          <w:tcPr>
            <w:tcW w:w="1559"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0,2</w:t>
            </w:r>
          </w:p>
        </w:tc>
        <w:tc>
          <w:tcPr>
            <w:tcW w:w="1560"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813"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843"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701"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4,5</w:t>
            </w:r>
          </w:p>
        </w:tc>
      </w:tr>
      <w:tr w:rsidR="009733DE" w:rsidRPr="00F45A80" w:rsidTr="004817AF">
        <w:trPr>
          <w:trHeight w:val="510"/>
        </w:trPr>
        <w:tc>
          <w:tcPr>
            <w:tcW w:w="3232" w:type="dxa"/>
            <w:shd w:val="clear" w:color="auto" w:fill="auto"/>
            <w:vAlign w:val="center"/>
            <w:hideMark/>
          </w:tcPr>
          <w:p w:rsidR="009733DE" w:rsidRPr="00F45A80" w:rsidRDefault="009733DE" w:rsidP="009733DE">
            <w:pPr>
              <w:rPr>
                <w:rFonts w:cs="Calibri"/>
                <w:lang w:val="en-US"/>
              </w:rPr>
            </w:pPr>
            <w:r w:rsidRPr="00F45A80">
              <w:rPr>
                <w:rFonts w:cs="Calibri"/>
                <w:lang w:val="en-US"/>
              </w:rPr>
              <w:t>Exporters and other private sources</w:t>
            </w:r>
          </w:p>
        </w:tc>
        <w:tc>
          <w:tcPr>
            <w:tcW w:w="1729"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258,8</w:t>
            </w:r>
          </w:p>
        </w:tc>
        <w:tc>
          <w:tcPr>
            <w:tcW w:w="1560"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160,2</w:t>
            </w:r>
          </w:p>
        </w:tc>
        <w:tc>
          <w:tcPr>
            <w:tcW w:w="1559"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75,1</w:t>
            </w:r>
          </w:p>
        </w:tc>
        <w:tc>
          <w:tcPr>
            <w:tcW w:w="1560"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3,7</w:t>
            </w:r>
          </w:p>
        </w:tc>
        <w:tc>
          <w:tcPr>
            <w:tcW w:w="1813"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843"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701"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341,2</w:t>
            </w:r>
          </w:p>
        </w:tc>
      </w:tr>
      <w:tr w:rsidR="009733DE" w:rsidRPr="00F45A80" w:rsidTr="004817AF">
        <w:trPr>
          <w:trHeight w:val="868"/>
        </w:trPr>
        <w:tc>
          <w:tcPr>
            <w:tcW w:w="3232" w:type="dxa"/>
            <w:shd w:val="clear" w:color="auto" w:fill="auto"/>
            <w:vAlign w:val="center"/>
            <w:hideMark/>
          </w:tcPr>
          <w:p w:rsidR="009733DE" w:rsidRPr="00F45A80" w:rsidRDefault="009733DE" w:rsidP="009733DE">
            <w:pPr>
              <w:rPr>
                <w:rFonts w:cs="Calibri"/>
                <w:lang w:val="en-US"/>
              </w:rPr>
            </w:pPr>
            <w:r w:rsidRPr="00F45A80">
              <w:rPr>
                <w:rFonts w:cs="Calibri"/>
                <w:lang w:val="en-US"/>
              </w:rPr>
              <w:t>Official sources (Governments and international institutions)</w:t>
            </w:r>
          </w:p>
        </w:tc>
        <w:tc>
          <w:tcPr>
            <w:tcW w:w="1729"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17,7</w:t>
            </w:r>
          </w:p>
        </w:tc>
        <w:tc>
          <w:tcPr>
            <w:tcW w:w="1560"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1,2</w:t>
            </w:r>
          </w:p>
        </w:tc>
        <w:tc>
          <w:tcPr>
            <w:tcW w:w="1559"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0,7</w:t>
            </w:r>
          </w:p>
        </w:tc>
        <w:tc>
          <w:tcPr>
            <w:tcW w:w="1560"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0,2</w:t>
            </w:r>
          </w:p>
        </w:tc>
        <w:tc>
          <w:tcPr>
            <w:tcW w:w="1813"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843"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701"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27,5</w:t>
            </w:r>
          </w:p>
        </w:tc>
      </w:tr>
      <w:tr w:rsidR="009733DE" w:rsidRPr="00F45A80" w:rsidTr="00945122">
        <w:trPr>
          <w:trHeight w:val="255"/>
        </w:trPr>
        <w:tc>
          <w:tcPr>
            <w:tcW w:w="3232" w:type="dxa"/>
            <w:shd w:val="clear" w:color="auto" w:fill="BDD6EE" w:themeFill="accent1" w:themeFillTint="66"/>
            <w:noWrap/>
            <w:vAlign w:val="center"/>
            <w:hideMark/>
          </w:tcPr>
          <w:p w:rsidR="009733DE" w:rsidRPr="00945122" w:rsidRDefault="009733DE" w:rsidP="009733DE">
            <w:pPr>
              <w:jc w:val="center"/>
              <w:rPr>
                <w:lang w:val="en-US"/>
              </w:rPr>
            </w:pPr>
            <w:r w:rsidRPr="00945122">
              <w:rPr>
                <w:rFonts w:cs="Calibri"/>
                <w:lang w:val="en-US"/>
              </w:rPr>
              <w:t>TOTAL</w:t>
            </w:r>
          </w:p>
        </w:tc>
        <w:tc>
          <w:tcPr>
            <w:tcW w:w="1729" w:type="dxa"/>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677,9</w:t>
            </w:r>
          </w:p>
        </w:tc>
        <w:tc>
          <w:tcPr>
            <w:tcW w:w="1560" w:type="dxa"/>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763,3</w:t>
            </w:r>
          </w:p>
        </w:tc>
        <w:tc>
          <w:tcPr>
            <w:tcW w:w="1559" w:type="dxa"/>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115,2</w:t>
            </w:r>
          </w:p>
        </w:tc>
        <w:tc>
          <w:tcPr>
            <w:tcW w:w="1560" w:type="dxa"/>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29,4</w:t>
            </w:r>
          </w:p>
        </w:tc>
        <w:tc>
          <w:tcPr>
            <w:tcW w:w="1813" w:type="dxa"/>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w:t>
            </w:r>
          </w:p>
        </w:tc>
        <w:tc>
          <w:tcPr>
            <w:tcW w:w="1843" w:type="dxa"/>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w:t>
            </w:r>
          </w:p>
        </w:tc>
        <w:tc>
          <w:tcPr>
            <w:tcW w:w="1701" w:type="dxa"/>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1 353,7</w:t>
            </w:r>
          </w:p>
        </w:tc>
      </w:tr>
    </w:tbl>
    <w:p w:rsidR="009304D9" w:rsidRPr="00F45A80" w:rsidRDefault="009304D9" w:rsidP="009304D9">
      <w:pPr>
        <w:tabs>
          <w:tab w:val="left" w:pos="6255"/>
        </w:tabs>
        <w:ind w:right="-456"/>
        <w:rPr>
          <w:i/>
          <w:lang w:val="en-US"/>
        </w:rPr>
      </w:pPr>
    </w:p>
    <w:p w:rsidR="009304D9" w:rsidRPr="00F45A80" w:rsidRDefault="009304D9" w:rsidP="009304D9">
      <w:pPr>
        <w:rPr>
          <w:b/>
          <w:lang w:val="en-US"/>
        </w:rPr>
      </w:pPr>
    </w:p>
    <w:p w:rsidR="009304D9" w:rsidRPr="00B30F70" w:rsidRDefault="009304D9" w:rsidP="009304D9">
      <w:pPr>
        <w:jc w:val="right"/>
        <w:rPr>
          <w:i/>
          <w:sz w:val="22"/>
          <w:szCs w:val="22"/>
          <w:lang w:val="en-US"/>
        </w:rPr>
      </w:pPr>
      <w:r w:rsidRPr="00F45A80">
        <w:rPr>
          <w:b/>
          <w:lang w:val="en-US"/>
        </w:rPr>
        <w:br w:type="page"/>
      </w:r>
      <w:r w:rsidRPr="00B30F70">
        <w:rPr>
          <w:i/>
          <w:sz w:val="22"/>
          <w:szCs w:val="22"/>
          <w:lang w:val="en-US"/>
        </w:rPr>
        <w:lastRenderedPageBreak/>
        <w:t>Addenda 1</w:t>
      </w:r>
      <w:r w:rsidR="009733DE">
        <w:rPr>
          <w:i/>
          <w:sz w:val="22"/>
          <w:szCs w:val="22"/>
          <w:lang w:val="en-US"/>
        </w:rPr>
        <w:t>4</w:t>
      </w:r>
      <w:r w:rsidRPr="00B30F70">
        <w:rPr>
          <w:i/>
          <w:sz w:val="22"/>
          <w:szCs w:val="22"/>
          <w:lang w:val="en-US"/>
        </w:rPr>
        <w:t>.8</w:t>
      </w:r>
    </w:p>
    <w:p w:rsidR="009304D9" w:rsidRPr="00F45A80" w:rsidRDefault="009304D9" w:rsidP="009304D9">
      <w:pPr>
        <w:jc w:val="center"/>
        <w:rPr>
          <w:rFonts w:cs="Calibri"/>
          <w:b/>
          <w:sz w:val="28"/>
          <w:lang w:val="en-US"/>
        </w:rPr>
      </w:pPr>
      <w:r w:rsidRPr="00BD3E98">
        <w:rPr>
          <w:rFonts w:cs="Calibri"/>
          <w:b/>
          <w:sz w:val="26"/>
          <w:szCs w:val="26"/>
          <w:lang w:val="en-US"/>
        </w:rPr>
        <w:t>FORECAST OF FUTURE PAYMENTS OF PRINCIPAL DEBT AND INTEREST</w:t>
      </w:r>
      <w:r w:rsidRPr="00BD3E98">
        <w:rPr>
          <w:rFonts w:cs="Calibri"/>
          <w:b/>
          <w:sz w:val="26"/>
          <w:szCs w:val="26"/>
          <w:lang w:val="en-US"/>
        </w:rPr>
        <w:br/>
      </w:r>
      <w:r w:rsidRPr="00F45A80">
        <w:rPr>
          <w:rFonts w:cs="Calibri"/>
          <w:i/>
          <w:lang w:val="en-US"/>
        </w:rPr>
        <w:t>(Type of borrower: all borrowers, except for banks and enterprises with direct investments)</w:t>
      </w:r>
    </w:p>
    <w:tbl>
      <w:tblPr>
        <w:tblW w:w="15053" w:type="dxa"/>
        <w:tblInd w:w="28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827"/>
        <w:gridCol w:w="1275"/>
        <w:gridCol w:w="661"/>
        <w:gridCol w:w="615"/>
        <w:gridCol w:w="517"/>
        <w:gridCol w:w="759"/>
        <w:gridCol w:w="369"/>
        <w:gridCol w:w="907"/>
        <w:gridCol w:w="219"/>
        <w:gridCol w:w="1056"/>
        <w:gridCol w:w="66"/>
        <w:gridCol w:w="977"/>
        <w:gridCol w:w="233"/>
        <w:gridCol w:w="898"/>
        <w:gridCol w:w="378"/>
        <w:gridCol w:w="1130"/>
        <w:gridCol w:w="1130"/>
        <w:gridCol w:w="36"/>
      </w:tblGrid>
      <w:tr w:rsidR="009733DE" w:rsidRPr="00F45A80" w:rsidTr="009733DE">
        <w:trPr>
          <w:trHeight w:val="156"/>
        </w:trPr>
        <w:tc>
          <w:tcPr>
            <w:tcW w:w="3827" w:type="dxa"/>
            <w:tcBorders>
              <w:top w:val="nil"/>
              <w:left w:val="nil"/>
              <w:bottom w:val="single" w:sz="4" w:space="0" w:color="5B9BD5" w:themeColor="accent1"/>
              <w:right w:val="nil"/>
            </w:tcBorders>
            <w:vAlign w:val="center"/>
            <w:hideMark/>
          </w:tcPr>
          <w:p w:rsidR="009733DE" w:rsidRPr="00F45A80" w:rsidRDefault="009733DE" w:rsidP="006F7BE3">
            <w:pPr>
              <w:rPr>
                <w:lang w:val="en-US"/>
              </w:rPr>
            </w:pPr>
            <w:r w:rsidRPr="00F45A80">
              <w:rPr>
                <w:rFonts w:cs="Calibri"/>
                <w:b/>
                <w:lang w:val="en-US"/>
              </w:rPr>
              <w:t>Principal debt</w:t>
            </w:r>
          </w:p>
        </w:tc>
        <w:tc>
          <w:tcPr>
            <w:tcW w:w="1275" w:type="dxa"/>
            <w:tcBorders>
              <w:top w:val="nil"/>
              <w:left w:val="nil"/>
              <w:bottom w:val="single" w:sz="4" w:space="0" w:color="5B9BD5" w:themeColor="accent1"/>
              <w:right w:val="nil"/>
            </w:tcBorders>
            <w:shd w:val="clear" w:color="auto" w:fill="auto"/>
            <w:noWrap/>
            <w:vAlign w:val="bottom"/>
            <w:hideMark/>
          </w:tcPr>
          <w:p w:rsidR="009733DE" w:rsidRPr="00F45A80" w:rsidRDefault="009733DE" w:rsidP="006F7BE3">
            <w:pPr>
              <w:rPr>
                <w:lang w:val="en-US"/>
              </w:rPr>
            </w:pPr>
          </w:p>
        </w:tc>
        <w:tc>
          <w:tcPr>
            <w:tcW w:w="661" w:type="dxa"/>
            <w:tcBorders>
              <w:top w:val="nil"/>
              <w:left w:val="nil"/>
              <w:bottom w:val="nil"/>
              <w:right w:val="nil"/>
            </w:tcBorders>
            <w:shd w:val="clear" w:color="auto" w:fill="auto"/>
            <w:noWrap/>
            <w:vAlign w:val="bottom"/>
            <w:hideMark/>
          </w:tcPr>
          <w:p w:rsidR="009733DE" w:rsidRPr="00F45A80" w:rsidRDefault="009733DE" w:rsidP="006F7BE3">
            <w:pPr>
              <w:rPr>
                <w:lang w:val="en-US"/>
              </w:rPr>
            </w:pPr>
          </w:p>
        </w:tc>
        <w:tc>
          <w:tcPr>
            <w:tcW w:w="1132" w:type="dxa"/>
            <w:gridSpan w:val="2"/>
            <w:tcBorders>
              <w:top w:val="nil"/>
              <w:left w:val="nil"/>
              <w:bottom w:val="single" w:sz="4" w:space="0" w:color="5B9BD5" w:themeColor="accent1"/>
              <w:right w:val="nil"/>
            </w:tcBorders>
            <w:shd w:val="clear" w:color="auto" w:fill="auto"/>
            <w:noWrap/>
            <w:vAlign w:val="bottom"/>
            <w:hideMark/>
          </w:tcPr>
          <w:p w:rsidR="009733DE" w:rsidRPr="00F45A80" w:rsidRDefault="009733DE" w:rsidP="006F7BE3">
            <w:pPr>
              <w:rPr>
                <w:lang w:val="en-US"/>
              </w:rPr>
            </w:pPr>
          </w:p>
        </w:tc>
        <w:tc>
          <w:tcPr>
            <w:tcW w:w="1128" w:type="dxa"/>
            <w:gridSpan w:val="2"/>
            <w:tcBorders>
              <w:top w:val="nil"/>
              <w:left w:val="nil"/>
              <w:bottom w:val="single" w:sz="4" w:space="0" w:color="5B9BD5" w:themeColor="accent1"/>
              <w:right w:val="nil"/>
            </w:tcBorders>
            <w:shd w:val="clear" w:color="auto" w:fill="auto"/>
            <w:noWrap/>
            <w:vAlign w:val="bottom"/>
            <w:hideMark/>
          </w:tcPr>
          <w:p w:rsidR="009733DE" w:rsidRPr="00F45A80" w:rsidRDefault="009733DE" w:rsidP="006F7BE3">
            <w:pPr>
              <w:rPr>
                <w:lang w:val="en-US"/>
              </w:rPr>
            </w:pPr>
          </w:p>
        </w:tc>
        <w:tc>
          <w:tcPr>
            <w:tcW w:w="1126" w:type="dxa"/>
            <w:gridSpan w:val="2"/>
            <w:tcBorders>
              <w:top w:val="nil"/>
              <w:left w:val="nil"/>
              <w:bottom w:val="single" w:sz="4" w:space="0" w:color="5B9BD5" w:themeColor="accent1"/>
              <w:right w:val="nil"/>
            </w:tcBorders>
            <w:shd w:val="clear" w:color="auto" w:fill="auto"/>
            <w:noWrap/>
            <w:vAlign w:val="bottom"/>
            <w:hideMark/>
          </w:tcPr>
          <w:p w:rsidR="009733DE" w:rsidRPr="00F45A80" w:rsidRDefault="009733DE" w:rsidP="006F7BE3">
            <w:pPr>
              <w:rPr>
                <w:lang w:val="en-US"/>
              </w:rPr>
            </w:pPr>
          </w:p>
        </w:tc>
        <w:tc>
          <w:tcPr>
            <w:tcW w:w="1122" w:type="dxa"/>
            <w:gridSpan w:val="2"/>
            <w:tcBorders>
              <w:top w:val="nil"/>
              <w:left w:val="nil"/>
              <w:bottom w:val="single" w:sz="4" w:space="0" w:color="5B9BD5" w:themeColor="accent1"/>
              <w:right w:val="nil"/>
            </w:tcBorders>
            <w:shd w:val="clear" w:color="auto" w:fill="auto"/>
            <w:noWrap/>
            <w:vAlign w:val="bottom"/>
            <w:hideMark/>
          </w:tcPr>
          <w:p w:rsidR="009733DE" w:rsidRPr="00F45A80" w:rsidRDefault="009733DE" w:rsidP="006F7BE3">
            <w:pPr>
              <w:rPr>
                <w:lang w:val="en-US"/>
              </w:rPr>
            </w:pPr>
          </w:p>
        </w:tc>
        <w:tc>
          <w:tcPr>
            <w:tcW w:w="977" w:type="dxa"/>
            <w:tcBorders>
              <w:top w:val="nil"/>
              <w:left w:val="nil"/>
              <w:bottom w:val="single" w:sz="4" w:space="0" w:color="5B9BD5" w:themeColor="accent1"/>
              <w:right w:val="nil"/>
            </w:tcBorders>
            <w:shd w:val="clear" w:color="auto" w:fill="auto"/>
            <w:noWrap/>
            <w:vAlign w:val="bottom"/>
            <w:hideMark/>
          </w:tcPr>
          <w:p w:rsidR="009733DE" w:rsidRPr="00F45A80" w:rsidRDefault="009733DE" w:rsidP="006F7BE3">
            <w:pPr>
              <w:rPr>
                <w:lang w:val="en-US"/>
              </w:rPr>
            </w:pPr>
          </w:p>
        </w:tc>
        <w:tc>
          <w:tcPr>
            <w:tcW w:w="1131" w:type="dxa"/>
            <w:gridSpan w:val="2"/>
            <w:tcBorders>
              <w:top w:val="nil"/>
              <w:left w:val="nil"/>
              <w:bottom w:val="single" w:sz="4" w:space="0" w:color="5B9BD5" w:themeColor="accent1"/>
              <w:right w:val="nil"/>
            </w:tcBorders>
            <w:shd w:val="clear" w:color="auto" w:fill="auto"/>
            <w:noWrap/>
            <w:vAlign w:val="bottom"/>
            <w:hideMark/>
          </w:tcPr>
          <w:p w:rsidR="009733DE" w:rsidRPr="00F45A80" w:rsidRDefault="009733DE" w:rsidP="006F7BE3">
            <w:pPr>
              <w:rPr>
                <w:lang w:val="en-US"/>
              </w:rPr>
            </w:pPr>
          </w:p>
        </w:tc>
        <w:tc>
          <w:tcPr>
            <w:tcW w:w="2674" w:type="dxa"/>
            <w:gridSpan w:val="4"/>
            <w:tcBorders>
              <w:top w:val="nil"/>
              <w:left w:val="nil"/>
              <w:bottom w:val="single" w:sz="4" w:space="0" w:color="5B9BD5" w:themeColor="accent1"/>
              <w:right w:val="nil"/>
            </w:tcBorders>
            <w:shd w:val="clear" w:color="auto" w:fill="auto"/>
            <w:noWrap/>
            <w:vAlign w:val="bottom"/>
            <w:hideMark/>
          </w:tcPr>
          <w:p w:rsidR="009733DE" w:rsidRPr="00F45A80" w:rsidRDefault="009733DE" w:rsidP="006F7BE3">
            <w:pPr>
              <w:jc w:val="right"/>
              <w:rPr>
                <w:sz w:val="20"/>
                <w:szCs w:val="20"/>
                <w:lang w:val="en-US"/>
              </w:rPr>
            </w:pPr>
            <w:r w:rsidRPr="00F45A80">
              <w:rPr>
                <w:i/>
                <w:sz w:val="20"/>
                <w:szCs w:val="20"/>
                <w:lang w:val="en-US"/>
              </w:rPr>
              <w:t>(mln. USD)</w:t>
            </w:r>
          </w:p>
        </w:tc>
      </w:tr>
      <w:tr w:rsidR="009733DE" w:rsidRPr="00F45A80" w:rsidTr="009733DE">
        <w:trPr>
          <w:gridAfter w:val="1"/>
          <w:wAfter w:w="36" w:type="dxa"/>
          <w:trHeight w:val="342"/>
        </w:trPr>
        <w:tc>
          <w:tcPr>
            <w:tcW w:w="3827" w:type="dxa"/>
            <w:tcBorders>
              <w:top w:val="single" w:sz="4" w:space="0" w:color="5B9BD5" w:themeColor="accent1"/>
            </w:tcBorders>
            <w:shd w:val="clear" w:color="auto" w:fill="BDD6EE" w:themeFill="accent1" w:themeFillTint="66"/>
            <w:noWrap/>
            <w:vAlign w:val="center"/>
            <w:hideMark/>
          </w:tcPr>
          <w:p w:rsidR="009733DE" w:rsidRPr="00F45A80" w:rsidRDefault="009733DE" w:rsidP="009733DE">
            <w:pPr>
              <w:jc w:val="center"/>
              <w:rPr>
                <w:rFonts w:cs="Calibri"/>
                <w:b/>
                <w:lang w:val="en-US"/>
              </w:rPr>
            </w:pPr>
            <w:r w:rsidRPr="00F45A80">
              <w:rPr>
                <w:rFonts w:cs="Calibri"/>
                <w:b/>
                <w:lang w:val="en-US"/>
              </w:rPr>
              <w:t>Type of creditor</w:t>
            </w:r>
          </w:p>
        </w:tc>
        <w:tc>
          <w:tcPr>
            <w:tcW w:w="1275" w:type="dxa"/>
            <w:tcBorders>
              <w:top w:val="single" w:sz="4" w:space="0" w:color="5B9BD5" w:themeColor="accent1"/>
              <w:right w:val="single" w:sz="4" w:space="0" w:color="5B9BD5"/>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2021</w:t>
            </w:r>
          </w:p>
        </w:tc>
        <w:tc>
          <w:tcPr>
            <w:tcW w:w="1276" w:type="dxa"/>
            <w:gridSpan w:val="2"/>
            <w:tcBorders>
              <w:top w:val="single" w:sz="4" w:space="0" w:color="5B9BD5"/>
              <w:left w:val="single" w:sz="4" w:space="0" w:color="5B9BD5"/>
              <w:bottom w:val="single" w:sz="4" w:space="0" w:color="5B9BD5"/>
              <w:right w:val="single" w:sz="4" w:space="0" w:color="5B9BD5"/>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2022</w:t>
            </w:r>
          </w:p>
        </w:tc>
        <w:tc>
          <w:tcPr>
            <w:tcW w:w="1276" w:type="dxa"/>
            <w:gridSpan w:val="2"/>
            <w:tcBorders>
              <w:top w:val="single" w:sz="4" w:space="0" w:color="5B9BD5" w:themeColor="accent1"/>
              <w:left w:val="single" w:sz="4" w:space="0" w:color="5B9BD5"/>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2023</w:t>
            </w:r>
          </w:p>
        </w:tc>
        <w:tc>
          <w:tcPr>
            <w:tcW w:w="1276" w:type="dxa"/>
            <w:gridSpan w:val="2"/>
            <w:tcBorders>
              <w:top w:val="single" w:sz="4" w:space="0" w:color="5B9BD5" w:themeColor="accent1"/>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2024</w:t>
            </w:r>
          </w:p>
        </w:tc>
        <w:tc>
          <w:tcPr>
            <w:tcW w:w="1275" w:type="dxa"/>
            <w:gridSpan w:val="2"/>
            <w:tcBorders>
              <w:top w:val="single" w:sz="4" w:space="0" w:color="5B9BD5" w:themeColor="accent1"/>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2025</w:t>
            </w:r>
          </w:p>
        </w:tc>
        <w:tc>
          <w:tcPr>
            <w:tcW w:w="1276" w:type="dxa"/>
            <w:gridSpan w:val="3"/>
            <w:tcBorders>
              <w:top w:val="single" w:sz="4" w:space="0" w:color="5B9BD5" w:themeColor="accent1"/>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2026</w:t>
            </w:r>
          </w:p>
        </w:tc>
        <w:tc>
          <w:tcPr>
            <w:tcW w:w="1276" w:type="dxa"/>
            <w:gridSpan w:val="2"/>
            <w:tcBorders>
              <w:top w:val="single" w:sz="4" w:space="0" w:color="5B9BD5" w:themeColor="accent1"/>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2027</w:t>
            </w:r>
          </w:p>
        </w:tc>
        <w:tc>
          <w:tcPr>
            <w:tcW w:w="1130" w:type="dxa"/>
            <w:tcBorders>
              <w:top w:val="single" w:sz="4" w:space="0" w:color="5B9BD5" w:themeColor="accent1"/>
            </w:tcBorders>
            <w:shd w:val="clear" w:color="auto" w:fill="BDD6EE" w:themeFill="accent1" w:themeFillTint="66"/>
            <w:noWrap/>
            <w:vAlign w:val="center"/>
            <w:hideMark/>
          </w:tcPr>
          <w:p w:rsidR="009733DE" w:rsidRPr="00F45A80" w:rsidRDefault="009733DE" w:rsidP="009733DE">
            <w:pPr>
              <w:jc w:val="center"/>
              <w:rPr>
                <w:b/>
                <w:lang w:val="en-US"/>
              </w:rPr>
            </w:pPr>
            <w:r>
              <w:rPr>
                <w:rFonts w:cs="Calibri"/>
                <w:b/>
                <w:lang w:val="en-US"/>
              </w:rPr>
              <w:t>after 2027</w:t>
            </w:r>
          </w:p>
        </w:tc>
        <w:tc>
          <w:tcPr>
            <w:tcW w:w="1130" w:type="dxa"/>
            <w:tcBorders>
              <w:top w:val="single" w:sz="4" w:space="0" w:color="5B9BD5" w:themeColor="accent1"/>
            </w:tcBorders>
            <w:shd w:val="clear" w:color="auto" w:fill="BDD6EE" w:themeFill="accent1" w:themeFillTint="66"/>
            <w:vAlign w:val="center"/>
            <w:hideMark/>
          </w:tcPr>
          <w:p w:rsidR="009733DE" w:rsidRPr="00F45A80" w:rsidRDefault="009733DE" w:rsidP="009733DE">
            <w:pPr>
              <w:jc w:val="center"/>
              <w:rPr>
                <w:rFonts w:cs="Calibri"/>
                <w:b/>
                <w:lang w:val="en-US"/>
              </w:rPr>
            </w:pPr>
            <w:r w:rsidRPr="00F45A80">
              <w:rPr>
                <w:rFonts w:cs="Calibri"/>
                <w:b/>
                <w:lang w:val="en-US"/>
              </w:rPr>
              <w:t>TOTAL</w:t>
            </w:r>
          </w:p>
        </w:tc>
      </w:tr>
      <w:tr w:rsidR="009733DE" w:rsidRPr="00F45A80" w:rsidTr="009733DE">
        <w:trPr>
          <w:gridAfter w:val="1"/>
          <w:wAfter w:w="36" w:type="dxa"/>
          <w:trHeight w:val="142"/>
        </w:trPr>
        <w:tc>
          <w:tcPr>
            <w:tcW w:w="3827" w:type="dxa"/>
            <w:shd w:val="clear" w:color="auto" w:fill="auto"/>
            <w:vAlign w:val="center"/>
            <w:hideMark/>
          </w:tcPr>
          <w:p w:rsidR="009733DE" w:rsidRPr="00F45A80" w:rsidRDefault="009733DE" w:rsidP="009733DE">
            <w:pPr>
              <w:rPr>
                <w:rFonts w:cs="Calibri"/>
                <w:lang w:val="en-US"/>
              </w:rPr>
            </w:pPr>
            <w:r w:rsidRPr="00F45A80">
              <w:rPr>
                <w:rFonts w:cs="Calibri"/>
                <w:lang w:val="en-US"/>
              </w:rPr>
              <w:t>Foreign banks and other financial institutions</w:t>
            </w:r>
          </w:p>
        </w:tc>
        <w:tc>
          <w:tcPr>
            <w:tcW w:w="1275" w:type="dxa"/>
            <w:tcBorders>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486,4</w:t>
            </w:r>
          </w:p>
        </w:tc>
        <w:tc>
          <w:tcPr>
            <w:tcW w:w="1276" w:type="dxa"/>
            <w:gridSpan w:val="2"/>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342,7</w:t>
            </w:r>
          </w:p>
        </w:tc>
        <w:tc>
          <w:tcPr>
            <w:tcW w:w="1276" w:type="dxa"/>
            <w:gridSpan w:val="2"/>
            <w:tcBorders>
              <w:lef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41,3</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39,9</w:t>
            </w:r>
          </w:p>
        </w:tc>
        <w:tc>
          <w:tcPr>
            <w:tcW w:w="1275"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25,0</w:t>
            </w:r>
          </w:p>
        </w:tc>
        <w:tc>
          <w:tcPr>
            <w:tcW w:w="1276" w:type="dxa"/>
            <w:gridSpan w:val="3"/>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26,6</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18,7</w:t>
            </w:r>
          </w:p>
        </w:tc>
        <w:tc>
          <w:tcPr>
            <w:tcW w:w="1130"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130" w:type="dxa"/>
            <w:shd w:val="clear" w:color="auto" w:fill="auto"/>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980,6</w:t>
            </w:r>
          </w:p>
        </w:tc>
      </w:tr>
      <w:tr w:rsidR="009733DE" w:rsidRPr="00F45A80" w:rsidTr="009733DE">
        <w:trPr>
          <w:gridAfter w:val="1"/>
          <w:wAfter w:w="36" w:type="dxa"/>
          <w:trHeight w:val="510"/>
        </w:trPr>
        <w:tc>
          <w:tcPr>
            <w:tcW w:w="3827" w:type="dxa"/>
            <w:shd w:val="clear" w:color="auto" w:fill="auto"/>
            <w:vAlign w:val="center"/>
            <w:hideMark/>
          </w:tcPr>
          <w:p w:rsidR="009733DE" w:rsidRPr="00F45A80" w:rsidRDefault="009733DE" w:rsidP="009733DE">
            <w:pPr>
              <w:rPr>
                <w:rFonts w:cs="Calibri"/>
                <w:lang w:val="en-US"/>
              </w:rPr>
            </w:pPr>
            <w:r w:rsidRPr="00F45A80">
              <w:rPr>
                <w:rFonts w:cs="Calibri"/>
                <w:lang w:val="en-US"/>
              </w:rPr>
              <w:t>Foreign parent companies and branches</w:t>
            </w:r>
          </w:p>
        </w:tc>
        <w:tc>
          <w:tcPr>
            <w:tcW w:w="1275" w:type="dxa"/>
            <w:tcBorders>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1,5</w:t>
            </w:r>
          </w:p>
        </w:tc>
        <w:tc>
          <w:tcPr>
            <w:tcW w:w="1276" w:type="dxa"/>
            <w:gridSpan w:val="2"/>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0,9</w:t>
            </w:r>
          </w:p>
        </w:tc>
        <w:tc>
          <w:tcPr>
            <w:tcW w:w="1276" w:type="dxa"/>
            <w:gridSpan w:val="2"/>
            <w:tcBorders>
              <w:lef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0,9</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0,9</w:t>
            </w:r>
          </w:p>
        </w:tc>
        <w:tc>
          <w:tcPr>
            <w:tcW w:w="1275"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0,3</w:t>
            </w:r>
          </w:p>
        </w:tc>
        <w:tc>
          <w:tcPr>
            <w:tcW w:w="1276" w:type="dxa"/>
            <w:gridSpan w:val="3"/>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130"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130" w:type="dxa"/>
            <w:shd w:val="clear" w:color="auto" w:fill="auto"/>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4,5</w:t>
            </w:r>
          </w:p>
        </w:tc>
      </w:tr>
      <w:tr w:rsidR="009733DE" w:rsidRPr="00F45A80" w:rsidTr="009733DE">
        <w:trPr>
          <w:gridAfter w:val="1"/>
          <w:wAfter w:w="36" w:type="dxa"/>
          <w:trHeight w:val="323"/>
        </w:trPr>
        <w:tc>
          <w:tcPr>
            <w:tcW w:w="3827" w:type="dxa"/>
            <w:shd w:val="clear" w:color="auto" w:fill="auto"/>
            <w:vAlign w:val="center"/>
            <w:hideMark/>
          </w:tcPr>
          <w:p w:rsidR="009733DE" w:rsidRPr="00F45A80" w:rsidRDefault="009733DE" w:rsidP="009733DE">
            <w:pPr>
              <w:rPr>
                <w:rFonts w:cs="Calibri"/>
                <w:lang w:val="en-US"/>
              </w:rPr>
            </w:pPr>
            <w:r w:rsidRPr="00F45A80">
              <w:rPr>
                <w:rFonts w:cs="Calibri"/>
                <w:lang w:val="en-US"/>
              </w:rPr>
              <w:t>Exporters and other private sources</w:t>
            </w:r>
          </w:p>
        </w:tc>
        <w:tc>
          <w:tcPr>
            <w:tcW w:w="1275" w:type="dxa"/>
            <w:tcBorders>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209,6</w:t>
            </w:r>
          </w:p>
        </w:tc>
        <w:tc>
          <w:tcPr>
            <w:tcW w:w="1276" w:type="dxa"/>
            <w:gridSpan w:val="2"/>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64,9</w:t>
            </w:r>
          </w:p>
        </w:tc>
        <w:tc>
          <w:tcPr>
            <w:tcW w:w="1276" w:type="dxa"/>
            <w:gridSpan w:val="2"/>
            <w:tcBorders>
              <w:lef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38,1</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16,3</w:t>
            </w:r>
          </w:p>
        </w:tc>
        <w:tc>
          <w:tcPr>
            <w:tcW w:w="1275"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2,4</w:t>
            </w:r>
          </w:p>
        </w:tc>
        <w:tc>
          <w:tcPr>
            <w:tcW w:w="1276" w:type="dxa"/>
            <w:gridSpan w:val="3"/>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0,0</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130"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9,8</w:t>
            </w:r>
          </w:p>
        </w:tc>
        <w:tc>
          <w:tcPr>
            <w:tcW w:w="1130" w:type="dxa"/>
            <w:shd w:val="clear" w:color="auto" w:fill="auto"/>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341,2</w:t>
            </w:r>
          </w:p>
        </w:tc>
      </w:tr>
      <w:tr w:rsidR="009733DE" w:rsidRPr="00F45A80" w:rsidTr="009733DE">
        <w:trPr>
          <w:gridAfter w:val="1"/>
          <w:wAfter w:w="36" w:type="dxa"/>
          <w:trHeight w:val="556"/>
        </w:trPr>
        <w:tc>
          <w:tcPr>
            <w:tcW w:w="3827" w:type="dxa"/>
            <w:shd w:val="clear" w:color="auto" w:fill="auto"/>
            <w:vAlign w:val="center"/>
            <w:hideMark/>
          </w:tcPr>
          <w:p w:rsidR="009733DE" w:rsidRPr="00F45A80" w:rsidRDefault="009733DE" w:rsidP="009733DE">
            <w:pPr>
              <w:rPr>
                <w:rFonts w:cs="Calibri"/>
                <w:lang w:val="en-US"/>
              </w:rPr>
            </w:pPr>
            <w:r w:rsidRPr="00F45A80">
              <w:rPr>
                <w:rFonts w:cs="Calibri"/>
                <w:lang w:val="en-US"/>
              </w:rPr>
              <w:t>Official sources (Governments and international institutions)</w:t>
            </w:r>
          </w:p>
        </w:tc>
        <w:tc>
          <w:tcPr>
            <w:tcW w:w="1275" w:type="dxa"/>
            <w:tcBorders>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17,5</w:t>
            </w:r>
          </w:p>
        </w:tc>
        <w:tc>
          <w:tcPr>
            <w:tcW w:w="1276" w:type="dxa"/>
            <w:gridSpan w:val="2"/>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5,0</w:t>
            </w:r>
          </w:p>
        </w:tc>
        <w:tc>
          <w:tcPr>
            <w:tcW w:w="1276" w:type="dxa"/>
            <w:gridSpan w:val="2"/>
            <w:tcBorders>
              <w:lef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5,0</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5"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6" w:type="dxa"/>
            <w:gridSpan w:val="3"/>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130"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130" w:type="dxa"/>
            <w:shd w:val="clear" w:color="auto" w:fill="auto"/>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27,5</w:t>
            </w:r>
          </w:p>
        </w:tc>
      </w:tr>
      <w:tr w:rsidR="009733DE" w:rsidRPr="00F45A80" w:rsidTr="009733DE">
        <w:trPr>
          <w:gridAfter w:val="1"/>
          <w:wAfter w:w="36" w:type="dxa"/>
          <w:trHeight w:val="255"/>
        </w:trPr>
        <w:tc>
          <w:tcPr>
            <w:tcW w:w="3827" w:type="dxa"/>
            <w:tcBorders>
              <w:bottom w:val="single" w:sz="4" w:space="0" w:color="5B9BD5" w:themeColor="accent1"/>
            </w:tcBorders>
            <w:shd w:val="clear" w:color="auto" w:fill="BDD6EE" w:themeFill="accent1" w:themeFillTint="66"/>
            <w:noWrap/>
            <w:vAlign w:val="center"/>
            <w:hideMark/>
          </w:tcPr>
          <w:p w:rsidR="009733DE" w:rsidRPr="00945122" w:rsidRDefault="009733DE" w:rsidP="009733DE">
            <w:pPr>
              <w:jc w:val="center"/>
              <w:rPr>
                <w:rFonts w:cs="Calibri"/>
                <w:lang w:val="en-US"/>
              </w:rPr>
            </w:pPr>
            <w:r w:rsidRPr="00945122">
              <w:rPr>
                <w:rFonts w:cs="Calibri"/>
                <w:lang w:val="en-US"/>
              </w:rPr>
              <w:t>TOTAL</w:t>
            </w:r>
          </w:p>
        </w:tc>
        <w:tc>
          <w:tcPr>
            <w:tcW w:w="1275" w:type="dxa"/>
            <w:tcBorders>
              <w:bottom w:val="single" w:sz="4" w:space="0" w:color="5B9BD5" w:themeColor="accent1"/>
              <w:right w:val="single" w:sz="4" w:space="0" w:color="5B9BD5"/>
            </w:tcBorders>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714,9</w:t>
            </w:r>
          </w:p>
        </w:tc>
        <w:tc>
          <w:tcPr>
            <w:tcW w:w="1276" w:type="dxa"/>
            <w:gridSpan w:val="2"/>
            <w:tcBorders>
              <w:top w:val="single" w:sz="4" w:space="0" w:color="5B9BD5"/>
              <w:left w:val="single" w:sz="4" w:space="0" w:color="5B9BD5"/>
              <w:bottom w:val="single" w:sz="4" w:space="0" w:color="5B9BD5"/>
              <w:right w:val="single" w:sz="4" w:space="0" w:color="5B9BD5"/>
            </w:tcBorders>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413,6</w:t>
            </w:r>
          </w:p>
        </w:tc>
        <w:tc>
          <w:tcPr>
            <w:tcW w:w="1276" w:type="dxa"/>
            <w:gridSpan w:val="2"/>
            <w:tcBorders>
              <w:left w:val="single" w:sz="4" w:space="0" w:color="5B9BD5"/>
              <w:bottom w:val="single" w:sz="4" w:space="0" w:color="5B9BD5" w:themeColor="accent1"/>
            </w:tcBorders>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85,3</w:t>
            </w:r>
          </w:p>
        </w:tc>
        <w:tc>
          <w:tcPr>
            <w:tcW w:w="1276" w:type="dxa"/>
            <w:gridSpan w:val="2"/>
            <w:tcBorders>
              <w:bottom w:val="single" w:sz="4" w:space="0" w:color="5B9BD5" w:themeColor="accent1"/>
            </w:tcBorders>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57,1</w:t>
            </w:r>
          </w:p>
        </w:tc>
        <w:tc>
          <w:tcPr>
            <w:tcW w:w="1275" w:type="dxa"/>
            <w:gridSpan w:val="2"/>
            <w:tcBorders>
              <w:bottom w:val="single" w:sz="4" w:space="0" w:color="5B9BD5" w:themeColor="accent1"/>
            </w:tcBorders>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27,7</w:t>
            </w:r>
          </w:p>
        </w:tc>
        <w:tc>
          <w:tcPr>
            <w:tcW w:w="1276" w:type="dxa"/>
            <w:gridSpan w:val="3"/>
            <w:tcBorders>
              <w:bottom w:val="single" w:sz="4" w:space="0" w:color="5B9BD5" w:themeColor="accent1"/>
            </w:tcBorders>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26,7</w:t>
            </w:r>
          </w:p>
        </w:tc>
        <w:tc>
          <w:tcPr>
            <w:tcW w:w="1276" w:type="dxa"/>
            <w:gridSpan w:val="2"/>
            <w:tcBorders>
              <w:bottom w:val="single" w:sz="4" w:space="0" w:color="5B9BD5" w:themeColor="accent1"/>
            </w:tcBorders>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18,7</w:t>
            </w:r>
          </w:p>
        </w:tc>
        <w:tc>
          <w:tcPr>
            <w:tcW w:w="1130" w:type="dxa"/>
            <w:tcBorders>
              <w:bottom w:val="single" w:sz="4" w:space="0" w:color="5B9BD5" w:themeColor="accent1"/>
            </w:tcBorders>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9,8</w:t>
            </w:r>
          </w:p>
        </w:tc>
        <w:tc>
          <w:tcPr>
            <w:tcW w:w="1130" w:type="dxa"/>
            <w:tcBorders>
              <w:bottom w:val="single" w:sz="4" w:space="0" w:color="5B9BD5" w:themeColor="accent1"/>
            </w:tcBorders>
            <w:shd w:val="clear" w:color="auto" w:fill="BDD6EE" w:themeFill="accent1" w:themeFillTint="66"/>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1 353,7</w:t>
            </w:r>
          </w:p>
        </w:tc>
      </w:tr>
      <w:tr w:rsidR="009733DE" w:rsidRPr="00F45A80" w:rsidTr="009733DE">
        <w:trPr>
          <w:gridAfter w:val="1"/>
          <w:wAfter w:w="36" w:type="dxa"/>
          <w:trHeight w:val="80"/>
        </w:trPr>
        <w:tc>
          <w:tcPr>
            <w:tcW w:w="3827" w:type="dxa"/>
            <w:vMerge w:val="restart"/>
            <w:tcBorders>
              <w:top w:val="single" w:sz="4" w:space="0" w:color="5B9BD5" w:themeColor="accent1"/>
              <w:left w:val="nil"/>
              <w:bottom w:val="nil"/>
              <w:right w:val="nil"/>
            </w:tcBorders>
            <w:shd w:val="clear" w:color="auto" w:fill="auto"/>
            <w:vAlign w:val="bottom"/>
            <w:hideMark/>
          </w:tcPr>
          <w:p w:rsidR="009733DE" w:rsidRPr="00F45A80" w:rsidRDefault="009733DE" w:rsidP="006F7BE3">
            <w:pPr>
              <w:rPr>
                <w:b/>
                <w:lang w:val="en-US"/>
              </w:rPr>
            </w:pPr>
            <w:r w:rsidRPr="00F45A80">
              <w:rPr>
                <w:rFonts w:cs="Calibri"/>
                <w:b/>
                <w:lang w:val="en-US"/>
              </w:rPr>
              <w:t>Interests</w:t>
            </w:r>
          </w:p>
        </w:tc>
        <w:tc>
          <w:tcPr>
            <w:tcW w:w="1275" w:type="dxa"/>
            <w:tcBorders>
              <w:top w:val="single" w:sz="4" w:space="0" w:color="5B9BD5" w:themeColor="accent1"/>
              <w:left w:val="nil"/>
              <w:bottom w:val="nil"/>
              <w:right w:val="nil"/>
            </w:tcBorders>
            <w:shd w:val="clear" w:color="auto" w:fill="auto"/>
            <w:noWrap/>
            <w:vAlign w:val="center"/>
            <w:hideMark/>
          </w:tcPr>
          <w:p w:rsidR="009733DE" w:rsidRPr="00F45A80" w:rsidRDefault="009733DE" w:rsidP="006F7BE3">
            <w:pPr>
              <w:jc w:val="center"/>
              <w:rPr>
                <w:lang w:val="en-US"/>
              </w:rPr>
            </w:pPr>
          </w:p>
        </w:tc>
        <w:tc>
          <w:tcPr>
            <w:tcW w:w="1276" w:type="dxa"/>
            <w:gridSpan w:val="2"/>
            <w:tcBorders>
              <w:top w:val="single" w:sz="4" w:space="0" w:color="5B9BD5"/>
              <w:left w:val="nil"/>
              <w:bottom w:val="nil"/>
              <w:right w:val="nil"/>
            </w:tcBorders>
            <w:shd w:val="clear" w:color="auto" w:fill="auto"/>
            <w:noWrap/>
            <w:vAlign w:val="center"/>
            <w:hideMark/>
          </w:tcPr>
          <w:p w:rsidR="009733DE" w:rsidRPr="00F45A80" w:rsidRDefault="009733DE" w:rsidP="006F7BE3">
            <w:pPr>
              <w:jc w:val="center"/>
              <w:rPr>
                <w:lang w:val="en-US"/>
              </w:rPr>
            </w:pPr>
          </w:p>
        </w:tc>
        <w:tc>
          <w:tcPr>
            <w:tcW w:w="1276" w:type="dxa"/>
            <w:gridSpan w:val="2"/>
            <w:tcBorders>
              <w:top w:val="single" w:sz="4" w:space="0" w:color="5B9BD5" w:themeColor="accent1"/>
              <w:left w:val="nil"/>
              <w:bottom w:val="nil"/>
              <w:right w:val="nil"/>
            </w:tcBorders>
            <w:shd w:val="clear" w:color="auto" w:fill="auto"/>
            <w:noWrap/>
            <w:vAlign w:val="center"/>
            <w:hideMark/>
          </w:tcPr>
          <w:p w:rsidR="009733DE" w:rsidRPr="00F45A80" w:rsidRDefault="009733DE" w:rsidP="006F7BE3">
            <w:pPr>
              <w:jc w:val="center"/>
              <w:rPr>
                <w:lang w:val="en-US"/>
              </w:rPr>
            </w:pPr>
          </w:p>
        </w:tc>
        <w:tc>
          <w:tcPr>
            <w:tcW w:w="1276" w:type="dxa"/>
            <w:gridSpan w:val="2"/>
            <w:tcBorders>
              <w:top w:val="single" w:sz="4" w:space="0" w:color="5B9BD5" w:themeColor="accent1"/>
              <w:left w:val="nil"/>
              <w:bottom w:val="nil"/>
              <w:right w:val="nil"/>
            </w:tcBorders>
            <w:shd w:val="clear" w:color="auto" w:fill="auto"/>
            <w:noWrap/>
            <w:vAlign w:val="center"/>
            <w:hideMark/>
          </w:tcPr>
          <w:p w:rsidR="009733DE" w:rsidRPr="00F45A80" w:rsidRDefault="009733DE" w:rsidP="006F7BE3">
            <w:pPr>
              <w:jc w:val="center"/>
              <w:rPr>
                <w:lang w:val="en-US"/>
              </w:rPr>
            </w:pPr>
          </w:p>
        </w:tc>
        <w:tc>
          <w:tcPr>
            <w:tcW w:w="1275" w:type="dxa"/>
            <w:gridSpan w:val="2"/>
            <w:tcBorders>
              <w:top w:val="single" w:sz="4" w:space="0" w:color="5B9BD5" w:themeColor="accent1"/>
              <w:left w:val="nil"/>
              <w:bottom w:val="nil"/>
              <w:right w:val="nil"/>
            </w:tcBorders>
            <w:shd w:val="clear" w:color="auto" w:fill="auto"/>
            <w:noWrap/>
            <w:vAlign w:val="center"/>
            <w:hideMark/>
          </w:tcPr>
          <w:p w:rsidR="009733DE" w:rsidRPr="00F45A80" w:rsidRDefault="009733DE" w:rsidP="006F7BE3">
            <w:pPr>
              <w:jc w:val="center"/>
              <w:rPr>
                <w:lang w:val="en-US"/>
              </w:rPr>
            </w:pPr>
          </w:p>
        </w:tc>
        <w:tc>
          <w:tcPr>
            <w:tcW w:w="1276" w:type="dxa"/>
            <w:gridSpan w:val="3"/>
            <w:tcBorders>
              <w:top w:val="single" w:sz="4" w:space="0" w:color="5B9BD5" w:themeColor="accent1"/>
              <w:left w:val="nil"/>
              <w:bottom w:val="nil"/>
              <w:right w:val="nil"/>
            </w:tcBorders>
            <w:shd w:val="clear" w:color="auto" w:fill="auto"/>
            <w:noWrap/>
            <w:vAlign w:val="center"/>
            <w:hideMark/>
          </w:tcPr>
          <w:p w:rsidR="009733DE" w:rsidRPr="00F45A80" w:rsidRDefault="009733DE" w:rsidP="006F7BE3">
            <w:pPr>
              <w:jc w:val="center"/>
              <w:rPr>
                <w:lang w:val="en-US"/>
              </w:rPr>
            </w:pPr>
          </w:p>
        </w:tc>
        <w:tc>
          <w:tcPr>
            <w:tcW w:w="1276" w:type="dxa"/>
            <w:gridSpan w:val="2"/>
            <w:tcBorders>
              <w:top w:val="single" w:sz="4" w:space="0" w:color="5B9BD5" w:themeColor="accent1"/>
              <w:left w:val="nil"/>
              <w:bottom w:val="nil"/>
              <w:right w:val="nil"/>
            </w:tcBorders>
            <w:shd w:val="clear" w:color="auto" w:fill="auto"/>
            <w:noWrap/>
            <w:vAlign w:val="center"/>
            <w:hideMark/>
          </w:tcPr>
          <w:p w:rsidR="009733DE" w:rsidRPr="00F45A80" w:rsidRDefault="009733DE" w:rsidP="006F7BE3">
            <w:pPr>
              <w:jc w:val="center"/>
              <w:rPr>
                <w:lang w:val="en-US"/>
              </w:rPr>
            </w:pPr>
          </w:p>
        </w:tc>
        <w:tc>
          <w:tcPr>
            <w:tcW w:w="1130" w:type="dxa"/>
            <w:tcBorders>
              <w:top w:val="single" w:sz="4" w:space="0" w:color="5B9BD5" w:themeColor="accent1"/>
              <w:left w:val="nil"/>
              <w:bottom w:val="nil"/>
              <w:right w:val="nil"/>
            </w:tcBorders>
            <w:shd w:val="clear" w:color="auto" w:fill="auto"/>
            <w:noWrap/>
            <w:vAlign w:val="center"/>
            <w:hideMark/>
          </w:tcPr>
          <w:p w:rsidR="009733DE" w:rsidRPr="00F45A80" w:rsidRDefault="009733DE" w:rsidP="006F7BE3">
            <w:pPr>
              <w:jc w:val="center"/>
              <w:rPr>
                <w:lang w:val="en-US"/>
              </w:rPr>
            </w:pPr>
          </w:p>
        </w:tc>
        <w:tc>
          <w:tcPr>
            <w:tcW w:w="1130" w:type="dxa"/>
            <w:tcBorders>
              <w:top w:val="single" w:sz="4" w:space="0" w:color="5B9BD5" w:themeColor="accent1"/>
              <w:left w:val="nil"/>
              <w:bottom w:val="nil"/>
              <w:right w:val="nil"/>
            </w:tcBorders>
            <w:shd w:val="clear" w:color="auto" w:fill="auto"/>
            <w:noWrap/>
            <w:vAlign w:val="center"/>
            <w:hideMark/>
          </w:tcPr>
          <w:p w:rsidR="009733DE" w:rsidRPr="00F45A80" w:rsidRDefault="009733DE" w:rsidP="006F7BE3">
            <w:pPr>
              <w:jc w:val="center"/>
              <w:rPr>
                <w:lang w:val="en-US"/>
              </w:rPr>
            </w:pPr>
          </w:p>
        </w:tc>
      </w:tr>
      <w:tr w:rsidR="009733DE" w:rsidRPr="00F45A80" w:rsidTr="009733DE">
        <w:trPr>
          <w:gridAfter w:val="1"/>
          <w:wAfter w:w="36" w:type="dxa"/>
          <w:trHeight w:val="72"/>
        </w:trPr>
        <w:tc>
          <w:tcPr>
            <w:tcW w:w="3827" w:type="dxa"/>
            <w:vMerge/>
            <w:tcBorders>
              <w:top w:val="nil"/>
              <w:left w:val="nil"/>
              <w:bottom w:val="single" w:sz="4" w:space="0" w:color="5B9BD5" w:themeColor="accent1"/>
              <w:right w:val="nil"/>
            </w:tcBorders>
            <w:vAlign w:val="center"/>
            <w:hideMark/>
          </w:tcPr>
          <w:p w:rsidR="009733DE" w:rsidRPr="00F45A80" w:rsidRDefault="009733DE" w:rsidP="006F7BE3">
            <w:pPr>
              <w:rPr>
                <w:lang w:val="en-US"/>
              </w:rPr>
            </w:pPr>
          </w:p>
        </w:tc>
        <w:tc>
          <w:tcPr>
            <w:tcW w:w="1275" w:type="dxa"/>
            <w:tcBorders>
              <w:top w:val="nil"/>
              <w:left w:val="nil"/>
              <w:bottom w:val="single" w:sz="4" w:space="0" w:color="5B9BD5" w:themeColor="accent1"/>
              <w:right w:val="nil"/>
            </w:tcBorders>
            <w:shd w:val="clear" w:color="auto" w:fill="auto"/>
            <w:noWrap/>
            <w:vAlign w:val="bottom"/>
            <w:hideMark/>
          </w:tcPr>
          <w:p w:rsidR="009733DE" w:rsidRPr="00F45A80" w:rsidRDefault="009733DE" w:rsidP="006F7BE3">
            <w:pPr>
              <w:jc w:val="center"/>
              <w:rPr>
                <w:lang w:val="en-US"/>
              </w:rPr>
            </w:pPr>
          </w:p>
        </w:tc>
        <w:tc>
          <w:tcPr>
            <w:tcW w:w="1276" w:type="dxa"/>
            <w:gridSpan w:val="2"/>
            <w:tcBorders>
              <w:top w:val="nil"/>
              <w:left w:val="nil"/>
              <w:bottom w:val="single" w:sz="4" w:space="0" w:color="5B9BD5"/>
              <w:right w:val="nil"/>
            </w:tcBorders>
            <w:shd w:val="clear" w:color="auto" w:fill="auto"/>
            <w:noWrap/>
            <w:vAlign w:val="bottom"/>
            <w:hideMark/>
          </w:tcPr>
          <w:p w:rsidR="009733DE" w:rsidRPr="00F45A80" w:rsidRDefault="009733DE" w:rsidP="006F7BE3">
            <w:pPr>
              <w:jc w:val="center"/>
              <w:rPr>
                <w:lang w:val="en-US"/>
              </w:rPr>
            </w:pPr>
          </w:p>
        </w:tc>
        <w:tc>
          <w:tcPr>
            <w:tcW w:w="1276" w:type="dxa"/>
            <w:gridSpan w:val="2"/>
            <w:tcBorders>
              <w:top w:val="nil"/>
              <w:left w:val="nil"/>
              <w:bottom w:val="single" w:sz="4" w:space="0" w:color="5B9BD5" w:themeColor="accent1"/>
              <w:right w:val="nil"/>
            </w:tcBorders>
            <w:shd w:val="clear" w:color="auto" w:fill="auto"/>
            <w:noWrap/>
            <w:vAlign w:val="bottom"/>
            <w:hideMark/>
          </w:tcPr>
          <w:p w:rsidR="009733DE" w:rsidRPr="00F45A80" w:rsidRDefault="009733DE" w:rsidP="006F7BE3">
            <w:pPr>
              <w:jc w:val="center"/>
              <w:rPr>
                <w:lang w:val="en-US"/>
              </w:rPr>
            </w:pPr>
          </w:p>
        </w:tc>
        <w:tc>
          <w:tcPr>
            <w:tcW w:w="1276" w:type="dxa"/>
            <w:gridSpan w:val="2"/>
            <w:tcBorders>
              <w:top w:val="nil"/>
              <w:left w:val="nil"/>
              <w:bottom w:val="single" w:sz="4" w:space="0" w:color="5B9BD5" w:themeColor="accent1"/>
              <w:right w:val="nil"/>
            </w:tcBorders>
            <w:shd w:val="clear" w:color="auto" w:fill="auto"/>
            <w:noWrap/>
            <w:vAlign w:val="bottom"/>
            <w:hideMark/>
          </w:tcPr>
          <w:p w:rsidR="009733DE" w:rsidRPr="00F45A80" w:rsidRDefault="009733DE" w:rsidP="006F7BE3">
            <w:pPr>
              <w:jc w:val="center"/>
              <w:rPr>
                <w:lang w:val="en-US"/>
              </w:rPr>
            </w:pPr>
          </w:p>
        </w:tc>
        <w:tc>
          <w:tcPr>
            <w:tcW w:w="1275" w:type="dxa"/>
            <w:gridSpan w:val="2"/>
            <w:tcBorders>
              <w:top w:val="nil"/>
              <w:left w:val="nil"/>
              <w:bottom w:val="single" w:sz="4" w:space="0" w:color="5B9BD5" w:themeColor="accent1"/>
              <w:right w:val="nil"/>
            </w:tcBorders>
            <w:shd w:val="clear" w:color="auto" w:fill="auto"/>
            <w:noWrap/>
            <w:vAlign w:val="bottom"/>
            <w:hideMark/>
          </w:tcPr>
          <w:p w:rsidR="009733DE" w:rsidRPr="00F45A80" w:rsidRDefault="009733DE" w:rsidP="006F7BE3">
            <w:pPr>
              <w:jc w:val="center"/>
              <w:rPr>
                <w:lang w:val="en-US"/>
              </w:rPr>
            </w:pPr>
          </w:p>
        </w:tc>
        <w:tc>
          <w:tcPr>
            <w:tcW w:w="1276" w:type="dxa"/>
            <w:gridSpan w:val="3"/>
            <w:tcBorders>
              <w:top w:val="nil"/>
              <w:left w:val="nil"/>
              <w:bottom w:val="single" w:sz="4" w:space="0" w:color="5B9BD5" w:themeColor="accent1"/>
              <w:right w:val="nil"/>
            </w:tcBorders>
            <w:shd w:val="clear" w:color="auto" w:fill="auto"/>
            <w:noWrap/>
            <w:vAlign w:val="bottom"/>
            <w:hideMark/>
          </w:tcPr>
          <w:p w:rsidR="009733DE" w:rsidRPr="00F45A80" w:rsidRDefault="009733DE" w:rsidP="006F7BE3">
            <w:pPr>
              <w:jc w:val="center"/>
              <w:rPr>
                <w:lang w:val="en-US"/>
              </w:rPr>
            </w:pPr>
          </w:p>
        </w:tc>
        <w:tc>
          <w:tcPr>
            <w:tcW w:w="1276" w:type="dxa"/>
            <w:gridSpan w:val="2"/>
            <w:tcBorders>
              <w:top w:val="nil"/>
              <w:left w:val="nil"/>
              <w:bottom w:val="single" w:sz="4" w:space="0" w:color="5B9BD5" w:themeColor="accent1"/>
              <w:right w:val="nil"/>
            </w:tcBorders>
            <w:shd w:val="clear" w:color="auto" w:fill="auto"/>
            <w:noWrap/>
            <w:vAlign w:val="bottom"/>
            <w:hideMark/>
          </w:tcPr>
          <w:p w:rsidR="009733DE" w:rsidRPr="00F45A80" w:rsidRDefault="009733DE" w:rsidP="006F7BE3">
            <w:pPr>
              <w:jc w:val="center"/>
              <w:rPr>
                <w:lang w:val="en-US"/>
              </w:rPr>
            </w:pPr>
          </w:p>
        </w:tc>
        <w:tc>
          <w:tcPr>
            <w:tcW w:w="2260" w:type="dxa"/>
            <w:gridSpan w:val="2"/>
            <w:tcBorders>
              <w:top w:val="nil"/>
              <w:left w:val="nil"/>
              <w:bottom w:val="single" w:sz="4" w:space="0" w:color="5B9BD5" w:themeColor="accent1"/>
              <w:right w:val="nil"/>
            </w:tcBorders>
            <w:shd w:val="clear" w:color="auto" w:fill="auto"/>
            <w:noWrap/>
            <w:vAlign w:val="bottom"/>
            <w:hideMark/>
          </w:tcPr>
          <w:p w:rsidR="009733DE" w:rsidRPr="00F45A80" w:rsidRDefault="009733DE" w:rsidP="006F7BE3">
            <w:pPr>
              <w:jc w:val="right"/>
              <w:rPr>
                <w:sz w:val="20"/>
                <w:szCs w:val="20"/>
                <w:lang w:val="en-US"/>
              </w:rPr>
            </w:pPr>
            <w:r w:rsidRPr="00F45A80">
              <w:rPr>
                <w:i/>
                <w:sz w:val="20"/>
                <w:szCs w:val="20"/>
                <w:lang w:val="en-US"/>
              </w:rPr>
              <w:t>(mln. USD)</w:t>
            </w:r>
          </w:p>
        </w:tc>
      </w:tr>
      <w:tr w:rsidR="009733DE" w:rsidRPr="00F45A80" w:rsidTr="009733DE">
        <w:trPr>
          <w:gridAfter w:val="1"/>
          <w:wAfter w:w="36" w:type="dxa"/>
          <w:trHeight w:val="387"/>
        </w:trPr>
        <w:tc>
          <w:tcPr>
            <w:tcW w:w="3827" w:type="dxa"/>
            <w:tcBorders>
              <w:top w:val="single" w:sz="4" w:space="0" w:color="5B9BD5" w:themeColor="accent1"/>
            </w:tcBorders>
            <w:shd w:val="clear" w:color="auto" w:fill="BDD6EE" w:themeFill="accent1" w:themeFillTint="66"/>
            <w:noWrap/>
            <w:vAlign w:val="center"/>
            <w:hideMark/>
          </w:tcPr>
          <w:p w:rsidR="009733DE" w:rsidRPr="00F45A80" w:rsidRDefault="009733DE" w:rsidP="009733DE">
            <w:pPr>
              <w:jc w:val="center"/>
              <w:rPr>
                <w:rFonts w:cs="Calibri"/>
                <w:b/>
                <w:lang w:val="en-US"/>
              </w:rPr>
            </w:pPr>
            <w:r w:rsidRPr="00F45A80">
              <w:rPr>
                <w:rFonts w:cs="Calibri"/>
                <w:b/>
                <w:lang w:val="en-US"/>
              </w:rPr>
              <w:t>Type of creditor</w:t>
            </w:r>
          </w:p>
        </w:tc>
        <w:tc>
          <w:tcPr>
            <w:tcW w:w="1275" w:type="dxa"/>
            <w:tcBorders>
              <w:top w:val="single" w:sz="4" w:space="0" w:color="5B9BD5" w:themeColor="accent1"/>
              <w:right w:val="single" w:sz="4" w:space="0" w:color="5B9BD5"/>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2021</w:t>
            </w:r>
          </w:p>
        </w:tc>
        <w:tc>
          <w:tcPr>
            <w:tcW w:w="1276" w:type="dxa"/>
            <w:gridSpan w:val="2"/>
            <w:tcBorders>
              <w:top w:val="single" w:sz="4" w:space="0" w:color="5B9BD5"/>
              <w:left w:val="single" w:sz="4" w:space="0" w:color="5B9BD5"/>
              <w:bottom w:val="single" w:sz="4" w:space="0" w:color="5B9BD5"/>
              <w:right w:val="single" w:sz="4" w:space="0" w:color="5B9BD5"/>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2022</w:t>
            </w:r>
          </w:p>
        </w:tc>
        <w:tc>
          <w:tcPr>
            <w:tcW w:w="1276" w:type="dxa"/>
            <w:gridSpan w:val="2"/>
            <w:tcBorders>
              <w:top w:val="single" w:sz="4" w:space="0" w:color="5B9BD5" w:themeColor="accent1"/>
              <w:left w:val="single" w:sz="4" w:space="0" w:color="5B9BD5"/>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2023</w:t>
            </w:r>
          </w:p>
        </w:tc>
        <w:tc>
          <w:tcPr>
            <w:tcW w:w="1276" w:type="dxa"/>
            <w:gridSpan w:val="2"/>
            <w:tcBorders>
              <w:top w:val="single" w:sz="4" w:space="0" w:color="5B9BD5" w:themeColor="accent1"/>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2024</w:t>
            </w:r>
          </w:p>
        </w:tc>
        <w:tc>
          <w:tcPr>
            <w:tcW w:w="1275" w:type="dxa"/>
            <w:gridSpan w:val="2"/>
            <w:tcBorders>
              <w:top w:val="single" w:sz="4" w:space="0" w:color="5B9BD5" w:themeColor="accent1"/>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2025</w:t>
            </w:r>
          </w:p>
        </w:tc>
        <w:tc>
          <w:tcPr>
            <w:tcW w:w="1276" w:type="dxa"/>
            <w:gridSpan w:val="3"/>
            <w:tcBorders>
              <w:top w:val="single" w:sz="4" w:space="0" w:color="5B9BD5" w:themeColor="accent1"/>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2026</w:t>
            </w:r>
          </w:p>
        </w:tc>
        <w:tc>
          <w:tcPr>
            <w:tcW w:w="1276" w:type="dxa"/>
            <w:gridSpan w:val="2"/>
            <w:tcBorders>
              <w:top w:val="single" w:sz="4" w:space="0" w:color="5B9BD5" w:themeColor="accent1"/>
            </w:tcBorders>
            <w:shd w:val="clear" w:color="auto" w:fill="BDD6EE" w:themeFill="accent1" w:themeFillTint="66"/>
            <w:noWrap/>
            <w:vAlign w:val="center"/>
            <w:hideMark/>
          </w:tcPr>
          <w:p w:rsidR="009733DE" w:rsidRPr="00C92486" w:rsidRDefault="009733DE" w:rsidP="009733DE">
            <w:pPr>
              <w:jc w:val="center"/>
              <w:rPr>
                <w:rFonts w:asciiTheme="minorHAnsi" w:hAnsiTheme="minorHAnsi" w:cstheme="minorHAnsi"/>
                <w:b/>
              </w:rPr>
            </w:pPr>
            <w:r w:rsidRPr="00C92486">
              <w:rPr>
                <w:rFonts w:asciiTheme="minorHAnsi" w:hAnsiTheme="minorHAnsi" w:cstheme="minorHAnsi"/>
                <w:b/>
              </w:rPr>
              <w:t>2027</w:t>
            </w:r>
          </w:p>
        </w:tc>
        <w:tc>
          <w:tcPr>
            <w:tcW w:w="1130" w:type="dxa"/>
            <w:tcBorders>
              <w:top w:val="single" w:sz="4" w:space="0" w:color="5B9BD5" w:themeColor="accent1"/>
            </w:tcBorders>
            <w:shd w:val="clear" w:color="auto" w:fill="BDD6EE" w:themeFill="accent1" w:themeFillTint="66"/>
            <w:noWrap/>
            <w:vAlign w:val="center"/>
            <w:hideMark/>
          </w:tcPr>
          <w:p w:rsidR="009733DE" w:rsidRPr="00F45A80" w:rsidRDefault="009733DE" w:rsidP="009733DE">
            <w:pPr>
              <w:jc w:val="center"/>
              <w:rPr>
                <w:b/>
                <w:lang w:val="en-US"/>
              </w:rPr>
            </w:pPr>
            <w:r>
              <w:rPr>
                <w:rFonts w:cs="Calibri"/>
                <w:b/>
                <w:lang w:val="en-US"/>
              </w:rPr>
              <w:t>after 2027</w:t>
            </w:r>
          </w:p>
        </w:tc>
        <w:tc>
          <w:tcPr>
            <w:tcW w:w="1130" w:type="dxa"/>
            <w:tcBorders>
              <w:top w:val="single" w:sz="4" w:space="0" w:color="5B9BD5" w:themeColor="accent1"/>
            </w:tcBorders>
            <w:shd w:val="clear" w:color="auto" w:fill="BDD6EE" w:themeFill="accent1" w:themeFillTint="66"/>
            <w:vAlign w:val="center"/>
            <w:hideMark/>
          </w:tcPr>
          <w:p w:rsidR="009733DE" w:rsidRPr="00F45A80" w:rsidRDefault="009733DE" w:rsidP="009733DE">
            <w:pPr>
              <w:jc w:val="center"/>
              <w:rPr>
                <w:rFonts w:cs="Calibri"/>
                <w:b/>
                <w:lang w:val="en-US"/>
              </w:rPr>
            </w:pPr>
            <w:r w:rsidRPr="00F45A80">
              <w:rPr>
                <w:rFonts w:cs="Calibri"/>
                <w:b/>
                <w:lang w:val="en-US"/>
              </w:rPr>
              <w:t>TOTAL</w:t>
            </w:r>
          </w:p>
        </w:tc>
      </w:tr>
      <w:tr w:rsidR="009733DE" w:rsidRPr="00F45A80" w:rsidTr="009733DE">
        <w:trPr>
          <w:gridAfter w:val="1"/>
          <w:wAfter w:w="36" w:type="dxa"/>
          <w:trHeight w:val="493"/>
        </w:trPr>
        <w:tc>
          <w:tcPr>
            <w:tcW w:w="3827" w:type="dxa"/>
            <w:shd w:val="clear" w:color="auto" w:fill="auto"/>
            <w:vAlign w:val="center"/>
            <w:hideMark/>
          </w:tcPr>
          <w:p w:rsidR="009733DE" w:rsidRPr="00F45A80" w:rsidRDefault="009733DE" w:rsidP="009733DE">
            <w:pPr>
              <w:rPr>
                <w:rFonts w:cs="Calibri"/>
                <w:lang w:val="en-US"/>
              </w:rPr>
            </w:pPr>
            <w:r w:rsidRPr="00F45A80">
              <w:rPr>
                <w:rFonts w:cs="Calibri"/>
                <w:lang w:val="en-US"/>
              </w:rPr>
              <w:t>Foreign banks and other financial institutions</w:t>
            </w:r>
          </w:p>
        </w:tc>
        <w:tc>
          <w:tcPr>
            <w:tcW w:w="1275" w:type="dxa"/>
            <w:tcBorders>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8,7</w:t>
            </w:r>
          </w:p>
        </w:tc>
        <w:tc>
          <w:tcPr>
            <w:tcW w:w="1276" w:type="dxa"/>
            <w:gridSpan w:val="2"/>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4,4</w:t>
            </w:r>
          </w:p>
        </w:tc>
        <w:tc>
          <w:tcPr>
            <w:tcW w:w="1276" w:type="dxa"/>
            <w:gridSpan w:val="2"/>
            <w:tcBorders>
              <w:lef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3,6</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2,9</w:t>
            </w:r>
          </w:p>
        </w:tc>
        <w:tc>
          <w:tcPr>
            <w:tcW w:w="1275"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2,5</w:t>
            </w:r>
          </w:p>
        </w:tc>
        <w:tc>
          <w:tcPr>
            <w:tcW w:w="1276" w:type="dxa"/>
            <w:gridSpan w:val="3"/>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1,6</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0,6</w:t>
            </w:r>
          </w:p>
        </w:tc>
        <w:tc>
          <w:tcPr>
            <w:tcW w:w="1130"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130" w:type="dxa"/>
            <w:shd w:val="clear" w:color="auto" w:fill="auto"/>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24,3</w:t>
            </w:r>
          </w:p>
        </w:tc>
      </w:tr>
      <w:tr w:rsidR="009733DE" w:rsidRPr="00F45A80" w:rsidTr="009733DE">
        <w:trPr>
          <w:gridAfter w:val="1"/>
          <w:wAfter w:w="36" w:type="dxa"/>
          <w:trHeight w:val="510"/>
        </w:trPr>
        <w:tc>
          <w:tcPr>
            <w:tcW w:w="3827" w:type="dxa"/>
            <w:shd w:val="clear" w:color="auto" w:fill="auto"/>
            <w:vAlign w:val="center"/>
            <w:hideMark/>
          </w:tcPr>
          <w:p w:rsidR="009733DE" w:rsidRPr="00F45A80" w:rsidRDefault="009733DE" w:rsidP="009733DE">
            <w:pPr>
              <w:rPr>
                <w:rFonts w:cs="Calibri"/>
                <w:lang w:val="en-US"/>
              </w:rPr>
            </w:pPr>
            <w:r w:rsidRPr="00F45A80">
              <w:rPr>
                <w:rFonts w:cs="Calibri"/>
                <w:lang w:val="en-US"/>
              </w:rPr>
              <w:t>Foreign parent companies and branches</w:t>
            </w:r>
          </w:p>
        </w:tc>
        <w:tc>
          <w:tcPr>
            <w:tcW w:w="1275" w:type="dxa"/>
            <w:tcBorders>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6" w:type="dxa"/>
            <w:gridSpan w:val="2"/>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6" w:type="dxa"/>
            <w:gridSpan w:val="2"/>
            <w:tcBorders>
              <w:left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5"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6" w:type="dxa"/>
            <w:gridSpan w:val="3"/>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130"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130" w:type="dxa"/>
            <w:shd w:val="clear" w:color="auto" w:fill="auto"/>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r>
      <w:tr w:rsidR="009733DE" w:rsidRPr="00F45A80" w:rsidTr="009733DE">
        <w:trPr>
          <w:gridAfter w:val="1"/>
          <w:wAfter w:w="36" w:type="dxa"/>
          <w:trHeight w:val="510"/>
        </w:trPr>
        <w:tc>
          <w:tcPr>
            <w:tcW w:w="3827" w:type="dxa"/>
            <w:shd w:val="clear" w:color="auto" w:fill="auto"/>
            <w:vAlign w:val="center"/>
            <w:hideMark/>
          </w:tcPr>
          <w:p w:rsidR="009733DE" w:rsidRPr="00F45A80" w:rsidRDefault="009733DE" w:rsidP="009733DE">
            <w:pPr>
              <w:rPr>
                <w:rFonts w:cs="Calibri"/>
                <w:lang w:val="en-US"/>
              </w:rPr>
            </w:pPr>
            <w:r w:rsidRPr="00F45A80">
              <w:rPr>
                <w:rFonts w:cs="Calibri"/>
                <w:lang w:val="en-US"/>
              </w:rPr>
              <w:t>Exporters and other private sources</w:t>
            </w:r>
          </w:p>
        </w:tc>
        <w:tc>
          <w:tcPr>
            <w:tcW w:w="1275"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8,8</w:t>
            </w:r>
          </w:p>
        </w:tc>
        <w:tc>
          <w:tcPr>
            <w:tcW w:w="1276" w:type="dxa"/>
            <w:gridSpan w:val="2"/>
            <w:tcBorders>
              <w:top w:val="single" w:sz="4" w:space="0" w:color="5B9BD5"/>
            </w:tcBorders>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0,1</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0,0</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0,0</w:t>
            </w:r>
          </w:p>
        </w:tc>
        <w:tc>
          <w:tcPr>
            <w:tcW w:w="1275"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0,0</w:t>
            </w:r>
          </w:p>
        </w:tc>
        <w:tc>
          <w:tcPr>
            <w:tcW w:w="1276" w:type="dxa"/>
            <w:gridSpan w:val="3"/>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130"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130" w:type="dxa"/>
            <w:shd w:val="clear" w:color="auto" w:fill="auto"/>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9,0</w:t>
            </w:r>
          </w:p>
        </w:tc>
      </w:tr>
      <w:tr w:rsidR="009733DE" w:rsidRPr="00F45A80" w:rsidTr="009733DE">
        <w:trPr>
          <w:gridAfter w:val="1"/>
          <w:wAfter w:w="36" w:type="dxa"/>
          <w:trHeight w:val="85"/>
        </w:trPr>
        <w:tc>
          <w:tcPr>
            <w:tcW w:w="3827" w:type="dxa"/>
            <w:shd w:val="clear" w:color="auto" w:fill="auto"/>
            <w:vAlign w:val="center"/>
            <w:hideMark/>
          </w:tcPr>
          <w:p w:rsidR="009733DE" w:rsidRPr="00F45A80" w:rsidRDefault="009733DE" w:rsidP="009733DE">
            <w:pPr>
              <w:rPr>
                <w:rFonts w:cs="Calibri"/>
                <w:lang w:val="en-US"/>
              </w:rPr>
            </w:pPr>
            <w:r w:rsidRPr="00F45A80">
              <w:rPr>
                <w:rFonts w:cs="Calibri"/>
                <w:lang w:val="en-US"/>
              </w:rPr>
              <w:t>Official sources (Governments and international institutions)</w:t>
            </w:r>
          </w:p>
        </w:tc>
        <w:tc>
          <w:tcPr>
            <w:tcW w:w="1275"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4,0</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5"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6" w:type="dxa"/>
            <w:gridSpan w:val="3"/>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276" w:type="dxa"/>
            <w:gridSpan w:val="2"/>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130" w:type="dxa"/>
            <w:shd w:val="clear" w:color="auto" w:fill="auto"/>
            <w:noWrap/>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w:t>
            </w:r>
          </w:p>
        </w:tc>
        <w:tc>
          <w:tcPr>
            <w:tcW w:w="1130" w:type="dxa"/>
            <w:shd w:val="clear" w:color="auto" w:fill="auto"/>
            <w:vAlign w:val="center"/>
            <w:hideMark/>
          </w:tcPr>
          <w:p w:rsidR="009733DE" w:rsidRPr="00C92486" w:rsidRDefault="009733DE" w:rsidP="009733DE">
            <w:pPr>
              <w:jc w:val="right"/>
              <w:rPr>
                <w:rFonts w:asciiTheme="minorHAnsi" w:hAnsiTheme="minorHAnsi" w:cstheme="minorHAnsi"/>
                <w:color w:val="000000"/>
              </w:rPr>
            </w:pPr>
            <w:r w:rsidRPr="00C92486">
              <w:rPr>
                <w:rFonts w:asciiTheme="minorHAnsi" w:hAnsiTheme="minorHAnsi" w:cstheme="minorHAnsi"/>
                <w:color w:val="000000"/>
              </w:rPr>
              <w:t>4,0</w:t>
            </w:r>
          </w:p>
        </w:tc>
      </w:tr>
      <w:tr w:rsidR="009733DE" w:rsidRPr="00F45A80" w:rsidTr="009733DE">
        <w:trPr>
          <w:gridAfter w:val="1"/>
          <w:wAfter w:w="36" w:type="dxa"/>
          <w:trHeight w:val="77"/>
        </w:trPr>
        <w:tc>
          <w:tcPr>
            <w:tcW w:w="3827" w:type="dxa"/>
            <w:shd w:val="clear" w:color="auto" w:fill="BDD6EE" w:themeFill="accent1" w:themeFillTint="66"/>
            <w:noWrap/>
            <w:vAlign w:val="center"/>
            <w:hideMark/>
          </w:tcPr>
          <w:p w:rsidR="009733DE" w:rsidRPr="00945122" w:rsidRDefault="009733DE" w:rsidP="009733DE">
            <w:pPr>
              <w:jc w:val="center"/>
              <w:rPr>
                <w:rFonts w:cs="Calibri"/>
                <w:lang w:val="en-US"/>
              </w:rPr>
            </w:pPr>
            <w:r w:rsidRPr="00945122">
              <w:rPr>
                <w:rFonts w:cs="Calibri"/>
                <w:lang w:val="en-US"/>
              </w:rPr>
              <w:t>TOTAL</w:t>
            </w:r>
          </w:p>
        </w:tc>
        <w:tc>
          <w:tcPr>
            <w:tcW w:w="1275" w:type="dxa"/>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21,6</w:t>
            </w:r>
          </w:p>
        </w:tc>
        <w:tc>
          <w:tcPr>
            <w:tcW w:w="1276" w:type="dxa"/>
            <w:gridSpan w:val="2"/>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4,5</w:t>
            </w:r>
          </w:p>
        </w:tc>
        <w:tc>
          <w:tcPr>
            <w:tcW w:w="1276" w:type="dxa"/>
            <w:gridSpan w:val="2"/>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3,7</w:t>
            </w:r>
          </w:p>
        </w:tc>
        <w:tc>
          <w:tcPr>
            <w:tcW w:w="1276" w:type="dxa"/>
            <w:gridSpan w:val="2"/>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2,9</w:t>
            </w:r>
          </w:p>
        </w:tc>
        <w:tc>
          <w:tcPr>
            <w:tcW w:w="1275" w:type="dxa"/>
            <w:gridSpan w:val="2"/>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2,5</w:t>
            </w:r>
          </w:p>
        </w:tc>
        <w:tc>
          <w:tcPr>
            <w:tcW w:w="1276" w:type="dxa"/>
            <w:gridSpan w:val="3"/>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1,6</w:t>
            </w:r>
          </w:p>
        </w:tc>
        <w:tc>
          <w:tcPr>
            <w:tcW w:w="1276" w:type="dxa"/>
            <w:gridSpan w:val="2"/>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0,6</w:t>
            </w:r>
          </w:p>
        </w:tc>
        <w:tc>
          <w:tcPr>
            <w:tcW w:w="1130" w:type="dxa"/>
            <w:shd w:val="clear" w:color="auto" w:fill="BDD6EE" w:themeFill="accent1" w:themeFillTint="66"/>
            <w:noWrap/>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w:t>
            </w:r>
          </w:p>
        </w:tc>
        <w:tc>
          <w:tcPr>
            <w:tcW w:w="1130" w:type="dxa"/>
            <w:shd w:val="clear" w:color="auto" w:fill="BDD6EE" w:themeFill="accent1" w:themeFillTint="66"/>
            <w:vAlign w:val="center"/>
            <w:hideMark/>
          </w:tcPr>
          <w:p w:rsidR="009733DE" w:rsidRPr="00C92486" w:rsidRDefault="009733DE" w:rsidP="009733DE">
            <w:pPr>
              <w:jc w:val="right"/>
              <w:rPr>
                <w:rFonts w:asciiTheme="minorHAnsi" w:hAnsiTheme="minorHAnsi" w:cstheme="minorHAnsi"/>
                <w:b/>
                <w:color w:val="000000"/>
              </w:rPr>
            </w:pPr>
            <w:r w:rsidRPr="00C92486">
              <w:rPr>
                <w:rFonts w:asciiTheme="minorHAnsi" w:hAnsiTheme="minorHAnsi" w:cstheme="minorHAnsi"/>
                <w:b/>
                <w:color w:val="000000"/>
              </w:rPr>
              <w:t>37,3</w:t>
            </w:r>
          </w:p>
        </w:tc>
      </w:tr>
    </w:tbl>
    <w:p w:rsidR="009304D9" w:rsidRPr="00F45A80" w:rsidRDefault="009304D9" w:rsidP="009304D9">
      <w:pPr>
        <w:rPr>
          <w:rFonts w:cs="Arial"/>
          <w:sz w:val="2"/>
          <w:szCs w:val="2"/>
          <w:lang w:val="en-US"/>
        </w:rPr>
      </w:pPr>
    </w:p>
    <w:p w:rsidR="009304D9" w:rsidRDefault="009304D9" w:rsidP="00F11B6E">
      <w:pPr>
        <w:jc w:val="right"/>
        <w:rPr>
          <w:i/>
          <w:lang w:val="en-US"/>
        </w:rPr>
      </w:pPr>
    </w:p>
    <w:p w:rsidR="004817AF" w:rsidRDefault="004817AF" w:rsidP="00F11B6E">
      <w:pPr>
        <w:jc w:val="right"/>
        <w:rPr>
          <w:i/>
          <w:lang w:val="en-US"/>
        </w:rPr>
      </w:pPr>
    </w:p>
    <w:p w:rsidR="004817AF" w:rsidRPr="00F45A80" w:rsidRDefault="004817AF" w:rsidP="004817AF">
      <w:pPr>
        <w:jc w:val="both"/>
        <w:rPr>
          <w:rFonts w:cs="Arial"/>
          <w:lang w:val="en-US"/>
        </w:rPr>
        <w:sectPr w:rsidR="004817AF" w:rsidRPr="00F45A80" w:rsidSect="00F40724">
          <w:footerReference w:type="first" r:id="rId53"/>
          <w:pgSz w:w="16838" w:h="11906" w:orient="landscape" w:code="9"/>
          <w:pgMar w:top="567" w:right="1021" w:bottom="1133" w:left="737" w:header="709" w:footer="709" w:gutter="0"/>
          <w:cols w:space="708"/>
          <w:titlePg/>
          <w:docGrid w:linePitch="360"/>
        </w:sectPr>
      </w:pPr>
    </w:p>
    <w:p w:rsidR="004817AF" w:rsidRPr="00F45A80" w:rsidRDefault="004817AF" w:rsidP="004817AF">
      <w:pPr>
        <w:pStyle w:val="1"/>
        <w:ind w:left="0"/>
        <w:rPr>
          <w:rFonts w:ascii="Calibri" w:hAnsi="Calibri"/>
          <w:szCs w:val="28"/>
          <w:lang w:val="en-US"/>
        </w:rPr>
      </w:pPr>
      <w:bookmarkStart w:id="43" w:name="_Toc4780078"/>
      <w:bookmarkStart w:id="44" w:name="_Toc36453592"/>
      <w:bookmarkStart w:id="45" w:name="_Toc67050819"/>
      <w:r w:rsidRPr="00F45A80">
        <w:rPr>
          <w:rFonts w:ascii="Calibri" w:hAnsi="Calibri"/>
          <w:lang w:val="en-US"/>
        </w:rPr>
        <w:lastRenderedPageBreak/>
        <w:t>METHODOLOGICAL COMMENTS</w:t>
      </w:r>
      <w:bookmarkEnd w:id="43"/>
      <w:bookmarkEnd w:id="44"/>
      <w:bookmarkEnd w:id="45"/>
    </w:p>
    <w:p w:rsidR="004817AF" w:rsidRPr="00F45A80" w:rsidRDefault="004817AF" w:rsidP="004817AF">
      <w:pPr>
        <w:rPr>
          <w:lang w:val="en-US"/>
        </w:rPr>
      </w:pPr>
    </w:p>
    <w:p w:rsidR="004817AF" w:rsidRPr="00F45A80" w:rsidRDefault="004817AF" w:rsidP="004817AF">
      <w:pPr>
        <w:ind w:right="566" w:firstLine="283"/>
        <w:jc w:val="both"/>
        <w:rPr>
          <w:lang w:val="en-US"/>
        </w:rPr>
      </w:pPr>
    </w:p>
    <w:p w:rsidR="004817AF" w:rsidRPr="00F45A80" w:rsidRDefault="004817AF" w:rsidP="004817AF">
      <w:pPr>
        <w:ind w:right="566" w:firstLine="283"/>
        <w:jc w:val="both"/>
        <w:rPr>
          <w:b/>
          <w:lang w:val="en-US"/>
        </w:rPr>
        <w:sectPr w:rsidR="004817AF" w:rsidRPr="00F45A80" w:rsidSect="00112CDC">
          <w:footerReference w:type="first" r:id="rId54"/>
          <w:pgSz w:w="11906" w:h="16838"/>
          <w:pgMar w:top="1134" w:right="991" w:bottom="1134" w:left="1134" w:header="708" w:footer="708" w:gutter="0"/>
          <w:cols w:space="708"/>
          <w:titlePg/>
          <w:docGrid w:linePitch="360"/>
        </w:sectPr>
      </w:pPr>
    </w:p>
    <w:p w:rsidR="004817AF" w:rsidRPr="00F45A80" w:rsidRDefault="004817AF" w:rsidP="004817AF">
      <w:pPr>
        <w:jc w:val="both"/>
        <w:rPr>
          <w:lang w:val="en-US"/>
        </w:rPr>
      </w:pPr>
      <w:r w:rsidRPr="00F45A80">
        <w:rPr>
          <w:lang w:val="en-US"/>
        </w:rPr>
        <w:lastRenderedPageBreak/>
        <w:t>Since 2018, the Central bank started the compilation of the balance of payments, international investment position and external debt in accordance with the Balance of Payments and International Investment Position Manual (BPM6. IMF, 2009).</w:t>
      </w:r>
    </w:p>
    <w:p w:rsidR="004817AF" w:rsidRPr="00F45A80" w:rsidRDefault="004817AF" w:rsidP="004817AF">
      <w:pPr>
        <w:spacing w:before="120"/>
        <w:jc w:val="both"/>
        <w:rPr>
          <w:rFonts w:cs="Calibri"/>
          <w:szCs w:val="22"/>
          <w:lang w:val="en-US"/>
        </w:rPr>
      </w:pPr>
      <w:r w:rsidRPr="00F45A80">
        <w:rPr>
          <w:rFonts w:cs="Calibri"/>
          <w:szCs w:val="22"/>
          <w:lang w:val="en-US"/>
        </w:rPr>
        <w:t xml:space="preserve">The purpose of compiling external sector statistics (balance of payments and international investment position) is to provide an integrated foundation for analyzing the </w:t>
      </w:r>
      <w:r w:rsidRPr="00F45A80">
        <w:rPr>
          <w:rFonts w:cs="Calibri"/>
          <w:noProof/>
          <w:szCs w:val="22"/>
          <w:lang w:val="en-US"/>
        </w:rPr>
        <w:t>foreign</w:t>
      </w:r>
      <w:r w:rsidRPr="00F45A80">
        <w:rPr>
          <w:rFonts w:cs="Calibri"/>
          <w:szCs w:val="22"/>
          <w:lang w:val="en-US"/>
        </w:rPr>
        <w:t xml:space="preserve"> economic activity of the country, including its indicators, exchange rate policy, reserve management and external vulnerability to possible risks</w:t>
      </w:r>
    </w:p>
    <w:p w:rsidR="004817AF" w:rsidRPr="00F45A80" w:rsidRDefault="004817AF" w:rsidP="004817AF">
      <w:pPr>
        <w:spacing w:before="120"/>
        <w:jc w:val="both"/>
        <w:rPr>
          <w:lang w:val="en-US"/>
        </w:rPr>
      </w:pPr>
      <w:r w:rsidRPr="00F45A80">
        <w:rPr>
          <w:lang w:val="en-US"/>
        </w:rPr>
        <w:t>The balance of payments, international investment position and external debt of the Republic of Uzbekistan are published on quarterly basis.</w:t>
      </w:r>
    </w:p>
    <w:p w:rsidR="004817AF" w:rsidRPr="00F45A80" w:rsidRDefault="004817AF" w:rsidP="004817AF">
      <w:pPr>
        <w:spacing w:before="120"/>
        <w:jc w:val="both"/>
        <w:rPr>
          <w:lang w:val="en-US"/>
        </w:rPr>
      </w:pPr>
      <w:r w:rsidRPr="00F45A80">
        <w:rPr>
          <w:lang w:val="en-US"/>
        </w:rPr>
        <w:t>Balance of payments, international investment position, and external debt statistics can be revised regularly based on the latest available data.</w:t>
      </w:r>
    </w:p>
    <w:p w:rsidR="004817AF" w:rsidRPr="00F45A80" w:rsidRDefault="004817AF" w:rsidP="004817AF">
      <w:pPr>
        <w:spacing w:before="120"/>
        <w:jc w:val="both"/>
        <w:rPr>
          <w:lang w:val="en-US"/>
        </w:rPr>
      </w:pPr>
      <w:r w:rsidRPr="00F45A80">
        <w:rPr>
          <w:lang w:val="en-US"/>
        </w:rPr>
        <w:t>The current methodological comments are derived from Balance of Payments and International Investment Position Manual (BPM6. IMF, 2009) and intended to help users to better understand the foundations, principles, and structure of the balance of payments.</w:t>
      </w:r>
    </w:p>
    <w:p w:rsidR="004817AF" w:rsidRPr="00F45A80" w:rsidRDefault="004817AF" w:rsidP="004817AF">
      <w:pPr>
        <w:spacing w:before="120"/>
        <w:rPr>
          <w:b/>
          <w:lang w:val="en-US"/>
        </w:rPr>
      </w:pPr>
      <w:r>
        <w:rPr>
          <w:b/>
          <w:lang w:val="en-US"/>
        </w:rPr>
        <w:t xml:space="preserve">1.1. </w:t>
      </w:r>
      <w:r w:rsidRPr="00F45A80">
        <w:rPr>
          <w:b/>
          <w:lang w:val="en-US"/>
        </w:rPr>
        <w:t xml:space="preserve">Methodological standards of the balance of payments </w:t>
      </w:r>
    </w:p>
    <w:p w:rsidR="004817AF" w:rsidRPr="00F45A80" w:rsidRDefault="004817AF" w:rsidP="004817AF">
      <w:pPr>
        <w:spacing w:before="120"/>
        <w:jc w:val="both"/>
        <w:rPr>
          <w:lang w:val="en-US"/>
        </w:rPr>
      </w:pPr>
      <w:r w:rsidRPr="00F45A80">
        <w:rPr>
          <w:lang w:val="en-US"/>
        </w:rPr>
        <w:t xml:space="preserve">The balance of payments (BOP) is a systemized, macroeconomic and statistical report, which reflects the summarized economic </w:t>
      </w:r>
      <w:r w:rsidRPr="00EF0CCA">
        <w:rPr>
          <w:u w:val="single"/>
          <w:lang w:val="en-US"/>
        </w:rPr>
        <w:t>transactions between residents and non-residents for a certain period</w:t>
      </w:r>
      <w:r w:rsidRPr="00F45A80">
        <w:rPr>
          <w:lang w:val="en-US"/>
        </w:rPr>
        <w:t xml:space="preserve">. The data is classified and compiled based on BPM6 and in accordance with the international standards. </w:t>
      </w:r>
    </w:p>
    <w:p w:rsidR="004817AF" w:rsidRPr="00F45A80" w:rsidRDefault="004817AF" w:rsidP="004817AF">
      <w:pPr>
        <w:spacing w:before="120"/>
        <w:jc w:val="both"/>
        <w:rPr>
          <w:b/>
          <w:lang w:val="en-US"/>
        </w:rPr>
      </w:pPr>
      <w:r w:rsidRPr="00F45A80">
        <w:rPr>
          <w:b/>
          <w:lang w:val="en-US"/>
        </w:rPr>
        <w:t>Definitions and main principles.</w:t>
      </w:r>
    </w:p>
    <w:p w:rsidR="004817AF" w:rsidRPr="00F45A80" w:rsidRDefault="004817AF" w:rsidP="004817AF">
      <w:pPr>
        <w:spacing w:before="120"/>
        <w:jc w:val="both"/>
        <w:rPr>
          <w:lang w:val="en-US"/>
        </w:rPr>
      </w:pPr>
      <w:r w:rsidRPr="00F45A80">
        <w:rPr>
          <w:lang w:val="en-US"/>
        </w:rPr>
        <w:t xml:space="preserve">The structure of balance of payments consists of the current account, the capital account and the financial account. The current account covers the trade balance of goods and services, as well as balances of primary and secondary income. The </w:t>
      </w:r>
      <w:r w:rsidRPr="00F45A80">
        <w:rPr>
          <w:lang w:val="en-US"/>
        </w:rPr>
        <w:lastRenderedPageBreak/>
        <w:t>capital account reflects acquisition/disposal of non-produced, non-financial assets and capital transfers. The financial account is divided into direct investment, portfolio investment, financial derivatives, other investments and reserve assets.</w:t>
      </w:r>
    </w:p>
    <w:p w:rsidR="004817AF" w:rsidRPr="00F45A80" w:rsidRDefault="004817AF" w:rsidP="004817AF">
      <w:pPr>
        <w:spacing w:before="120"/>
        <w:jc w:val="both"/>
        <w:rPr>
          <w:lang w:val="en-US"/>
        </w:rPr>
      </w:pPr>
      <w:r w:rsidRPr="00F45A80">
        <w:rPr>
          <w:lang w:val="en-US"/>
        </w:rPr>
        <w:t>The sum of current and capital account balances is net lending to the rest of the world. Conceptually, it is equal to the balance of financial account. Financial account operations plus exchange rate, price and other changes reflect the difference between the beginning and the end stocks of the international investment position.</w:t>
      </w:r>
    </w:p>
    <w:p w:rsidR="004817AF" w:rsidRPr="00F45A80" w:rsidRDefault="004817AF" w:rsidP="004817AF">
      <w:pPr>
        <w:spacing w:before="120"/>
        <w:jc w:val="both"/>
        <w:rPr>
          <w:lang w:val="en-US"/>
        </w:rPr>
      </w:pPr>
      <w:r w:rsidRPr="00F45A80">
        <w:rPr>
          <w:b/>
          <w:lang w:val="en-US"/>
        </w:rPr>
        <w:t xml:space="preserve">An economic unit </w:t>
      </w:r>
      <w:r w:rsidRPr="00F45A80">
        <w:rPr>
          <w:lang w:val="en-US"/>
        </w:rPr>
        <w:t>is considered as a resident unit when it has a center of economic interest and a permanent location in the economic territory of a country for more than one year</w:t>
      </w:r>
      <w:r w:rsidRPr="00F45A80">
        <w:rPr>
          <w:b/>
          <w:lang w:val="en-US"/>
        </w:rPr>
        <w:t xml:space="preserve">. </w:t>
      </w:r>
      <w:r w:rsidRPr="00F45A80">
        <w:rPr>
          <w:lang w:val="en-US"/>
        </w:rPr>
        <w:t xml:space="preserve">At the same time for individuals, residence is determined regardless of citizenship. </w:t>
      </w:r>
    </w:p>
    <w:p w:rsidR="004817AF" w:rsidRPr="00F45A80" w:rsidRDefault="004817AF" w:rsidP="004817AF">
      <w:pPr>
        <w:spacing w:before="120"/>
        <w:jc w:val="both"/>
        <w:rPr>
          <w:color w:val="FF0000"/>
          <w:lang w:val="en-US"/>
        </w:rPr>
      </w:pPr>
      <w:r w:rsidRPr="00F45A80">
        <w:rPr>
          <w:b/>
          <w:lang w:val="en-US"/>
        </w:rPr>
        <w:t xml:space="preserve">The economic territory </w:t>
      </w:r>
      <w:r w:rsidRPr="00F45A80">
        <w:rPr>
          <w:lang w:val="en-US"/>
        </w:rPr>
        <w:t xml:space="preserve">of a country consists of its geographic territory administered by a government and is subject to the same legislation. </w:t>
      </w:r>
    </w:p>
    <w:p w:rsidR="004817AF" w:rsidRPr="00F45A80" w:rsidRDefault="004817AF" w:rsidP="004817AF">
      <w:pPr>
        <w:spacing w:before="120"/>
        <w:jc w:val="both"/>
        <w:rPr>
          <w:rFonts w:cs="Calibri"/>
          <w:szCs w:val="22"/>
          <w:lang w:val="en-US"/>
        </w:rPr>
      </w:pPr>
      <w:r w:rsidRPr="00F45A80">
        <w:rPr>
          <w:rFonts w:cs="Calibri"/>
          <w:szCs w:val="22"/>
          <w:lang w:val="en-US"/>
        </w:rPr>
        <w:t xml:space="preserve">An individual or legal person is considered </w:t>
      </w:r>
      <w:r w:rsidRPr="00F45A80">
        <w:rPr>
          <w:rFonts w:cs="Calibri"/>
          <w:szCs w:val="22"/>
          <w:lang w:val="en-US"/>
        </w:rPr>
        <w:br/>
        <w:t xml:space="preserve">to </w:t>
      </w:r>
      <w:r w:rsidRPr="00F45A80">
        <w:rPr>
          <w:rFonts w:cs="Calibri"/>
          <w:b/>
          <w:szCs w:val="22"/>
          <w:lang w:val="en-US"/>
        </w:rPr>
        <w:t xml:space="preserve">have a center of economic interest </w:t>
      </w:r>
      <w:r w:rsidRPr="00F45A80">
        <w:rPr>
          <w:rFonts w:cs="Calibri"/>
          <w:szCs w:val="22"/>
          <w:lang w:val="en-US"/>
        </w:rPr>
        <w:t>within a country when they have some location – a dwelling, place of production or other premises – within the economic territory of the country for either indefinitely or over a finite but long period of time.</w:t>
      </w:r>
    </w:p>
    <w:p w:rsidR="004817AF" w:rsidRPr="00F45A80" w:rsidRDefault="004817AF" w:rsidP="004817AF">
      <w:pPr>
        <w:spacing w:before="120"/>
        <w:jc w:val="both"/>
        <w:rPr>
          <w:b/>
          <w:lang w:val="en-US"/>
        </w:rPr>
      </w:pPr>
      <w:r w:rsidRPr="00F45A80">
        <w:rPr>
          <w:b/>
          <w:lang w:val="en-US"/>
        </w:rPr>
        <w:t>Economic sectors</w:t>
      </w:r>
    </w:p>
    <w:p w:rsidR="004817AF" w:rsidRPr="00F45A80" w:rsidRDefault="004817AF" w:rsidP="004817AF">
      <w:pPr>
        <w:spacing w:before="120"/>
        <w:jc w:val="both"/>
        <w:rPr>
          <w:b/>
          <w:lang w:val="en-US"/>
        </w:rPr>
      </w:pPr>
      <w:r w:rsidRPr="00F45A80">
        <w:rPr>
          <w:lang w:val="en-US"/>
        </w:rPr>
        <w:t>The financial account components of the BOP – direct investment, portfolio investment, financial derivatives, and other investment – are disaggregated by the economic sector of the residents involved in the operations. Four economic sectors are distinguished</w:t>
      </w:r>
      <w:r w:rsidRPr="00F45A80">
        <w:rPr>
          <w:b/>
          <w:lang w:val="en-US"/>
        </w:rPr>
        <w:t>:</w:t>
      </w:r>
    </w:p>
    <w:p w:rsidR="004817AF" w:rsidRPr="00F45A80" w:rsidRDefault="004817AF" w:rsidP="004817AF">
      <w:pPr>
        <w:spacing w:before="120"/>
        <w:jc w:val="both"/>
        <w:rPr>
          <w:rFonts w:ascii="Times New Roman" w:hAnsi="Times New Roman"/>
          <w:sz w:val="22"/>
          <w:szCs w:val="22"/>
          <w:lang w:val="en-US"/>
        </w:rPr>
      </w:pPr>
      <w:r w:rsidRPr="00F45A80">
        <w:rPr>
          <w:rFonts w:ascii="Times New Roman" w:hAnsi="Times New Roman"/>
          <w:sz w:val="22"/>
          <w:szCs w:val="22"/>
          <w:lang w:val="en-US"/>
        </w:rPr>
        <w:t xml:space="preserve">- </w:t>
      </w:r>
      <w:r w:rsidRPr="00F45A80">
        <w:rPr>
          <w:rFonts w:cs="Calibri"/>
          <w:lang w:val="en-US"/>
        </w:rPr>
        <w:t>Central bank – the Central Bank of Uzbekistan</w:t>
      </w:r>
      <w:r w:rsidRPr="00F45A80">
        <w:rPr>
          <w:lang w:val="en-US"/>
        </w:rPr>
        <w:t>;</w:t>
      </w:r>
    </w:p>
    <w:p w:rsidR="004817AF" w:rsidRPr="00F45A80" w:rsidRDefault="004817AF" w:rsidP="004817AF">
      <w:pPr>
        <w:spacing w:before="120"/>
        <w:jc w:val="both"/>
        <w:rPr>
          <w:lang w:val="en-US"/>
        </w:rPr>
      </w:pPr>
      <w:r w:rsidRPr="00F45A80">
        <w:rPr>
          <w:lang w:val="en-US"/>
        </w:rPr>
        <w:t>- Deposit-taking corporations, except central bank - commercial banks of Uzbekistan;</w:t>
      </w:r>
    </w:p>
    <w:p w:rsidR="004817AF" w:rsidRPr="00F45A80" w:rsidRDefault="004817AF" w:rsidP="004817AF">
      <w:pPr>
        <w:spacing w:before="120"/>
        <w:jc w:val="both"/>
        <w:rPr>
          <w:lang w:val="en-US"/>
        </w:rPr>
      </w:pPr>
      <w:r w:rsidRPr="00F45A80">
        <w:rPr>
          <w:lang w:val="en-US"/>
        </w:rPr>
        <w:t>- General government – which comprises central government institutions and local public authorities;</w:t>
      </w:r>
    </w:p>
    <w:p w:rsidR="004817AF" w:rsidRPr="00F45A80" w:rsidRDefault="004817AF" w:rsidP="004817AF">
      <w:pPr>
        <w:spacing w:before="120"/>
        <w:jc w:val="both"/>
        <w:rPr>
          <w:rFonts w:ascii="Times New Roman" w:hAnsi="Times New Roman"/>
          <w:sz w:val="22"/>
          <w:szCs w:val="22"/>
          <w:lang w:val="en-US"/>
        </w:rPr>
      </w:pPr>
      <w:r w:rsidRPr="00F45A80">
        <w:rPr>
          <w:color w:val="FF0000"/>
          <w:lang w:val="en-US"/>
        </w:rPr>
        <w:lastRenderedPageBreak/>
        <w:t>- </w:t>
      </w:r>
      <w:r w:rsidRPr="00F45A80">
        <w:rPr>
          <w:rFonts w:cs="Calibri"/>
          <w:szCs w:val="22"/>
          <w:lang w:val="en-US"/>
        </w:rPr>
        <w:t>Other sectors, subdivided in two categories: other financial corporations (microfinance organizations, insurance companies and others) and non-financial corporations, households and non-profit institutions serving households (NPISH)</w:t>
      </w:r>
    </w:p>
    <w:p w:rsidR="004817AF" w:rsidRPr="00F45A80" w:rsidRDefault="004817AF" w:rsidP="004817AF">
      <w:pPr>
        <w:spacing w:before="120"/>
        <w:jc w:val="both"/>
        <w:rPr>
          <w:b/>
          <w:lang w:val="en-US"/>
        </w:rPr>
      </w:pPr>
      <w:r w:rsidRPr="00F45A80">
        <w:rPr>
          <w:b/>
          <w:lang w:val="en-US"/>
        </w:rPr>
        <w:t>Types of Transactions</w:t>
      </w:r>
    </w:p>
    <w:p w:rsidR="004817AF" w:rsidRPr="00F45A80" w:rsidRDefault="004817AF" w:rsidP="004817AF">
      <w:pPr>
        <w:spacing w:before="120"/>
        <w:jc w:val="both"/>
        <w:rPr>
          <w:lang w:val="en-US"/>
        </w:rPr>
      </w:pPr>
      <w:r w:rsidRPr="00F45A80">
        <w:rPr>
          <w:lang w:val="en-US"/>
        </w:rPr>
        <w:t>-  exchanges – most transactions likely to be recorded in the balance of payments can be characterized as exchanges in which one transactor provides an economic value to another transactor and receives equal value in return. Most transactions reflected in the balance of payments can be characterized as exchanges;</w:t>
      </w:r>
    </w:p>
    <w:p w:rsidR="004817AF" w:rsidRPr="00F45A80" w:rsidRDefault="004817AF" w:rsidP="004817AF">
      <w:pPr>
        <w:spacing w:before="120"/>
        <w:jc w:val="both"/>
        <w:rPr>
          <w:lang w:val="en-US"/>
        </w:rPr>
      </w:pPr>
      <w:r w:rsidRPr="00F45A80">
        <w:rPr>
          <w:lang w:val="en-US"/>
        </w:rPr>
        <w:t>-  transfers – transactions in which one transactor provides economic value to another transactor and does not receive equivalent value in return;</w:t>
      </w:r>
    </w:p>
    <w:p w:rsidR="004817AF" w:rsidRPr="00F45A80" w:rsidRDefault="004817AF" w:rsidP="004817AF">
      <w:pPr>
        <w:spacing w:before="120"/>
        <w:jc w:val="both"/>
        <w:rPr>
          <w:lang w:val="en-US"/>
        </w:rPr>
      </w:pPr>
      <w:r w:rsidRPr="00F45A80">
        <w:rPr>
          <w:lang w:val="en-US"/>
        </w:rPr>
        <w:t>-imputed transactions – when transactions are imputed and entries are made in the balance of payments accounts when no actual payment occurs i.e. accrual of interest.</w:t>
      </w:r>
    </w:p>
    <w:p w:rsidR="004817AF" w:rsidRPr="00F45A80" w:rsidRDefault="004817AF" w:rsidP="004817AF">
      <w:pPr>
        <w:spacing w:before="120"/>
        <w:jc w:val="both"/>
        <w:rPr>
          <w:lang w:val="en-US"/>
        </w:rPr>
      </w:pPr>
      <w:r w:rsidRPr="00F45A80">
        <w:rPr>
          <w:lang w:val="en-US"/>
        </w:rPr>
        <w:t>The transactions mentioned above are reflected in the accounts of BOP as follows:</w:t>
      </w:r>
    </w:p>
    <w:p w:rsidR="004817AF" w:rsidRPr="00F45A80" w:rsidRDefault="004817AF" w:rsidP="004817AF">
      <w:pPr>
        <w:spacing w:before="120"/>
        <w:jc w:val="both"/>
        <w:rPr>
          <w:b/>
          <w:lang w:val="en-US"/>
        </w:rPr>
      </w:pPr>
      <w:r w:rsidRPr="00F45A80">
        <w:rPr>
          <w:b/>
          <w:lang w:val="en-US"/>
        </w:rPr>
        <w:t xml:space="preserve">Goods </w:t>
      </w:r>
      <w:r w:rsidRPr="00F45A80">
        <w:rPr>
          <w:lang w:val="en-US"/>
        </w:rPr>
        <w:t>comprise transactions with goods that cross the border of the country and either involve change of ownership between residents and non-residents (general merchandise, goods procured by carriers, and non-monetary gold).</w:t>
      </w:r>
    </w:p>
    <w:p w:rsidR="004817AF" w:rsidRPr="00F45A80" w:rsidRDefault="004817AF" w:rsidP="004817AF">
      <w:pPr>
        <w:spacing w:before="120"/>
        <w:jc w:val="both"/>
        <w:rPr>
          <w:lang w:val="en-US"/>
        </w:rPr>
      </w:pPr>
      <w:r w:rsidRPr="00F45A80">
        <w:rPr>
          <w:b/>
          <w:lang w:val="en-US"/>
        </w:rPr>
        <w:t xml:space="preserve">Services </w:t>
      </w:r>
      <w:r w:rsidRPr="00F45A80">
        <w:rPr>
          <w:lang w:val="en-US"/>
        </w:rPr>
        <w:t>cover all types of services that are performed by residents for nonresidents and vice versa and are divided into following categories:</w:t>
      </w:r>
    </w:p>
    <w:p w:rsidR="004817AF" w:rsidRPr="00F45A80" w:rsidRDefault="004817AF" w:rsidP="004817AF">
      <w:pPr>
        <w:spacing w:before="120"/>
        <w:jc w:val="both"/>
        <w:rPr>
          <w:lang w:val="en-US"/>
        </w:rPr>
      </w:pPr>
      <w:r w:rsidRPr="00F45A80">
        <w:rPr>
          <w:lang w:val="en-US"/>
        </w:rPr>
        <w:t>- manufacturing services of physical inputs owned by others (nonresidents);</w:t>
      </w:r>
    </w:p>
    <w:p w:rsidR="004817AF" w:rsidRPr="00F45A80" w:rsidRDefault="004817AF" w:rsidP="004817AF">
      <w:pPr>
        <w:spacing w:before="120"/>
        <w:jc w:val="both"/>
        <w:rPr>
          <w:lang w:val="en-US"/>
        </w:rPr>
      </w:pPr>
      <w:r w:rsidRPr="00F45A80">
        <w:rPr>
          <w:lang w:val="en-US"/>
        </w:rPr>
        <w:t>- maintenance and repair services not included elsewhere;</w:t>
      </w:r>
    </w:p>
    <w:p w:rsidR="004817AF" w:rsidRPr="00F45A80" w:rsidRDefault="004817AF" w:rsidP="004817AF">
      <w:pPr>
        <w:spacing w:before="120"/>
        <w:jc w:val="both"/>
        <w:rPr>
          <w:lang w:val="en-US"/>
        </w:rPr>
      </w:pPr>
      <w:r w:rsidRPr="00F45A80">
        <w:rPr>
          <w:lang w:val="en-US"/>
        </w:rPr>
        <w:t>- all types of transportation services (passenger, freight and others)</w:t>
      </w:r>
    </w:p>
    <w:p w:rsidR="004817AF" w:rsidRPr="00F45A80" w:rsidRDefault="004817AF" w:rsidP="004817AF">
      <w:pPr>
        <w:spacing w:before="120"/>
        <w:jc w:val="both"/>
        <w:rPr>
          <w:lang w:val="en-US"/>
        </w:rPr>
      </w:pPr>
      <w:r w:rsidRPr="00F45A80">
        <w:rPr>
          <w:lang w:val="en-US"/>
        </w:rPr>
        <w:t>- travel services (expenditures of nonresident travelers for business and personal purposes during their stay in Uzbekistan and expenses of resident travelers for business and personal purposes during their stay abroad).</w:t>
      </w:r>
    </w:p>
    <w:p w:rsidR="004817AF" w:rsidRPr="00F45A80" w:rsidRDefault="004817AF" w:rsidP="004817AF">
      <w:pPr>
        <w:spacing w:before="120"/>
        <w:jc w:val="both"/>
        <w:rPr>
          <w:lang w:val="en-US"/>
        </w:rPr>
      </w:pPr>
      <w:r w:rsidRPr="00F45A80">
        <w:rPr>
          <w:lang w:val="en-US"/>
        </w:rPr>
        <w:t>-  services of financial intermediaries;</w:t>
      </w:r>
    </w:p>
    <w:p w:rsidR="004817AF" w:rsidRPr="00F45A80" w:rsidRDefault="004817AF" w:rsidP="004817AF">
      <w:pPr>
        <w:spacing w:before="120"/>
        <w:jc w:val="both"/>
        <w:rPr>
          <w:rFonts w:cs="Calibri"/>
          <w:lang w:val="en-US"/>
        </w:rPr>
      </w:pPr>
      <w:r w:rsidRPr="00F45A80">
        <w:rPr>
          <w:rFonts w:cs="Calibri"/>
          <w:lang w:val="en-US"/>
        </w:rPr>
        <w:lastRenderedPageBreak/>
        <w:t>- remaining types of services (construction; insurance services; computer and information services; other business services; personal, cultural and recreational services; government services; and services not included in other categories)</w:t>
      </w:r>
    </w:p>
    <w:p w:rsidR="004817AF" w:rsidRPr="00F45A80" w:rsidRDefault="004817AF" w:rsidP="004817AF">
      <w:pPr>
        <w:spacing w:before="120"/>
        <w:jc w:val="both"/>
        <w:rPr>
          <w:lang w:val="en-US"/>
        </w:rPr>
      </w:pPr>
      <w:r w:rsidRPr="00F45A80">
        <w:rPr>
          <w:b/>
          <w:lang w:val="en-US"/>
        </w:rPr>
        <w:t xml:space="preserve">Primary income </w:t>
      </w:r>
      <w:r w:rsidRPr="00F45A80">
        <w:rPr>
          <w:lang w:val="en-US"/>
        </w:rPr>
        <w:t>indicates two types of flows between residents and nonresidents:</w:t>
      </w:r>
    </w:p>
    <w:p w:rsidR="004817AF" w:rsidRPr="00F45A80" w:rsidRDefault="004817AF" w:rsidP="004817AF">
      <w:pPr>
        <w:spacing w:before="120"/>
        <w:jc w:val="both"/>
        <w:rPr>
          <w:lang w:val="en-US"/>
        </w:rPr>
      </w:pPr>
      <w:r w:rsidRPr="00F45A80">
        <w:rPr>
          <w:lang w:val="en-US"/>
        </w:rPr>
        <w:t>- compensation of employees in the form of salaries, wages or other benefits, in cash or in kind, paid by employers to employees when the parties have a different residency status. These remunerations also include taxes paid in the host country, which are reflected in an opposite side entry in the current transfers item. Employees’ expenditures in the host country are registered in the item “Travel” of article “Services”;</w:t>
      </w:r>
    </w:p>
    <w:p w:rsidR="004817AF" w:rsidRPr="00F45A80" w:rsidRDefault="004817AF" w:rsidP="004817AF">
      <w:pPr>
        <w:spacing w:before="120"/>
        <w:jc w:val="both"/>
        <w:rPr>
          <w:lang w:val="en-US"/>
        </w:rPr>
      </w:pPr>
      <w:r w:rsidRPr="00F45A80">
        <w:rPr>
          <w:lang w:val="en-US"/>
        </w:rPr>
        <w:t>- investment income covers income receivable, associated with residents’ holdings of external financial assets, or payable, associated with residents’ liabilities to nonresidents. Investment income consists of direct investment income, portfolio investment income, income on other investment and on reserve assets. Investment income is subdivided into dividends, reinvested earnings, interest and investment income attributable to policy-holders in insurance, pension schemes, and standardized guarantees, and to investment fund shareholders.</w:t>
      </w:r>
    </w:p>
    <w:p w:rsidR="004817AF" w:rsidRPr="00F45A80" w:rsidRDefault="004817AF" w:rsidP="004817AF">
      <w:pPr>
        <w:spacing w:before="120"/>
        <w:jc w:val="both"/>
        <w:rPr>
          <w:lang w:val="en-US"/>
        </w:rPr>
      </w:pPr>
      <w:r w:rsidRPr="00F45A80">
        <w:rPr>
          <w:b/>
          <w:lang w:val="en-US"/>
        </w:rPr>
        <w:t xml:space="preserve">Secondary income </w:t>
      </w:r>
      <w:r w:rsidRPr="00F45A80">
        <w:rPr>
          <w:lang w:val="en-US"/>
        </w:rPr>
        <w:t>shows current transfers between residents and non-residents. It is an offsetting entry for real resources or financial items provided without quid pro quo by one economy to another. The most common examples of current transfers are grants and humanitarian aid and technical assistance. This component also covers current international cooperation, current taxes on income, personal transfers, social benefits, and net nonlife insurance premiums.</w:t>
      </w:r>
    </w:p>
    <w:p w:rsidR="004817AF" w:rsidRPr="00F45A80" w:rsidRDefault="004817AF" w:rsidP="004817AF">
      <w:pPr>
        <w:spacing w:before="120"/>
        <w:jc w:val="both"/>
        <w:rPr>
          <w:lang w:val="en-US"/>
        </w:rPr>
      </w:pPr>
      <w:r w:rsidRPr="00F45A80">
        <w:rPr>
          <w:b/>
          <w:lang w:val="en-US"/>
        </w:rPr>
        <w:t xml:space="preserve">Capital account </w:t>
      </w:r>
      <w:r w:rsidRPr="00F45A80">
        <w:rPr>
          <w:lang w:val="en-US"/>
        </w:rPr>
        <w:t>shows capital transfers receivable and payable between residents and nonresidents, and the acquisition and disposal of non-produced, nonfinancial assets. Transfer is considered as capital if it is intended for acquisition of fixed assets or capital construction.</w:t>
      </w:r>
    </w:p>
    <w:p w:rsidR="004817AF" w:rsidRPr="00F45A80" w:rsidRDefault="004817AF" w:rsidP="004817AF">
      <w:pPr>
        <w:spacing w:before="120"/>
        <w:jc w:val="both"/>
        <w:rPr>
          <w:b/>
          <w:lang w:val="en-US"/>
        </w:rPr>
      </w:pPr>
      <w:r w:rsidRPr="00F45A80">
        <w:rPr>
          <w:lang w:val="en-US"/>
        </w:rPr>
        <w:lastRenderedPageBreak/>
        <w:t>Non-produced nonfinancial assets include intangible assets covering contracts, leases, licenses, and marketing assets; and natural resources (generally land).</w:t>
      </w:r>
    </w:p>
    <w:p w:rsidR="004817AF" w:rsidRPr="00F45A80" w:rsidRDefault="004817AF" w:rsidP="004817AF">
      <w:pPr>
        <w:spacing w:before="120"/>
        <w:jc w:val="both"/>
        <w:rPr>
          <w:b/>
          <w:lang w:val="en-US"/>
        </w:rPr>
      </w:pPr>
      <w:r w:rsidRPr="00F45A80">
        <w:rPr>
          <w:b/>
          <w:lang w:val="en-US"/>
        </w:rPr>
        <w:t xml:space="preserve">Financial account </w:t>
      </w:r>
      <w:r w:rsidRPr="00F45A80">
        <w:rPr>
          <w:lang w:val="en-US"/>
        </w:rPr>
        <w:t xml:space="preserve">assets and liabilities cover functional categories: Direct investment, portfolio investment, financial derivatives, other investments and reserve assets. </w:t>
      </w:r>
    </w:p>
    <w:p w:rsidR="004817AF" w:rsidRPr="00F45A80" w:rsidRDefault="004817AF" w:rsidP="004817AF">
      <w:pPr>
        <w:spacing w:before="120"/>
        <w:jc w:val="both"/>
        <w:rPr>
          <w:lang w:val="en-US"/>
        </w:rPr>
      </w:pPr>
      <w:r w:rsidRPr="00F45A80">
        <w:rPr>
          <w:b/>
          <w:lang w:val="en-US"/>
        </w:rPr>
        <w:t>Direct investment</w:t>
      </w:r>
      <w:r w:rsidRPr="00F45A80">
        <w:rPr>
          <w:lang w:val="en-US"/>
        </w:rPr>
        <w:t xml:space="preserve"> is a category of international investment in which a resident entity in one economy (the direct investor) acquires a lasting interest in an entity resident in another economy (the direct investment enterprise). A direct investor in an enterprise is an investor that owns 10% or more of ordinary shares or voting power (for an incorporated enterprise) or the equivalent (for an unincorporated enterprise). The “direct investment” relationship is extended to enterprises in which goods and/or money are invested from enterprises associated with them: to capital investment between associated enterprises, branches and their head offices. Direct investment includes equity capital, reinvested earnings and other earnings. </w:t>
      </w:r>
    </w:p>
    <w:p w:rsidR="004817AF" w:rsidRPr="00F45A80" w:rsidRDefault="004817AF" w:rsidP="004817AF">
      <w:pPr>
        <w:spacing w:before="120"/>
        <w:jc w:val="both"/>
        <w:rPr>
          <w:lang w:val="en-US"/>
        </w:rPr>
      </w:pPr>
      <w:r w:rsidRPr="00F45A80">
        <w:rPr>
          <w:b/>
          <w:lang w:val="en-US"/>
        </w:rPr>
        <w:t xml:space="preserve">Portfolio investments </w:t>
      </w:r>
      <w:r w:rsidRPr="00F45A80">
        <w:rPr>
          <w:lang w:val="en-US"/>
        </w:rPr>
        <w:t>are in the form of equity and investment fund shares and debt securities.</w:t>
      </w:r>
      <w:r>
        <w:rPr>
          <w:lang w:val="en-US"/>
        </w:rPr>
        <w:t xml:space="preserve"> </w:t>
      </w:r>
      <w:r w:rsidRPr="00B75F3E">
        <w:rPr>
          <w:lang w:val="en-US"/>
        </w:rPr>
        <w:t>Debt securities traded in international markets are recorded at market price.</w:t>
      </w:r>
      <w:r>
        <w:rPr>
          <w:lang w:val="en-US"/>
        </w:rPr>
        <w:t xml:space="preserve"> </w:t>
      </w:r>
    </w:p>
    <w:p w:rsidR="004817AF" w:rsidRPr="00F45A80" w:rsidRDefault="004817AF" w:rsidP="004817AF">
      <w:pPr>
        <w:spacing w:before="120"/>
        <w:jc w:val="both"/>
        <w:rPr>
          <w:lang w:val="en-US"/>
        </w:rPr>
      </w:pPr>
      <w:r w:rsidRPr="00F45A80">
        <w:rPr>
          <w:b/>
          <w:lang w:val="en-US"/>
        </w:rPr>
        <w:t xml:space="preserve">Financial derivatives </w:t>
      </w:r>
      <w:r w:rsidRPr="00F45A80">
        <w:rPr>
          <w:lang w:val="en-US"/>
        </w:rPr>
        <w:t>are financial instruments that are linked to a specific financial instrument, indicator, or commodity and through which specific financial risks can be traded in financial markets in their own right. Financial derivatives comprise transactions with swaps, options, guarantees, deposits, etc., and are registered on a net basis.</w:t>
      </w:r>
    </w:p>
    <w:p w:rsidR="004817AF" w:rsidRPr="00F45A80" w:rsidRDefault="004817AF" w:rsidP="004817AF">
      <w:pPr>
        <w:spacing w:before="120"/>
        <w:jc w:val="both"/>
        <w:rPr>
          <w:b/>
          <w:lang w:val="en-US"/>
        </w:rPr>
      </w:pPr>
      <w:r w:rsidRPr="00F45A80">
        <w:rPr>
          <w:b/>
          <w:lang w:val="en-US"/>
        </w:rPr>
        <w:t xml:space="preserve">Other investments </w:t>
      </w:r>
      <w:r w:rsidRPr="00F45A80">
        <w:rPr>
          <w:lang w:val="en-US"/>
        </w:rPr>
        <w:t>are primarily divided into net acquisition of financial assets and net incurrence of liabilities. Other investment covers other equity, currency and deposits, loans, insurance, pension, and standardized guarantee schemes, trade credit and advances, and other accounts receivable/payable.</w:t>
      </w:r>
    </w:p>
    <w:p w:rsidR="004817AF" w:rsidRPr="00F45A80" w:rsidRDefault="004817AF" w:rsidP="004817AF">
      <w:pPr>
        <w:spacing w:before="120"/>
        <w:jc w:val="both"/>
        <w:rPr>
          <w:lang w:val="en-US"/>
        </w:rPr>
      </w:pPr>
      <w:r w:rsidRPr="00F45A80">
        <w:rPr>
          <w:lang w:val="en-US"/>
        </w:rPr>
        <w:t>Other securities include investments that are not direct investments or reserve assets. Other securities are not in the form of securities; therefore, they are not included in securities.</w:t>
      </w:r>
    </w:p>
    <w:p w:rsidR="004817AF" w:rsidRPr="00F45A80" w:rsidRDefault="004817AF" w:rsidP="004817AF">
      <w:pPr>
        <w:spacing w:before="120"/>
        <w:jc w:val="both"/>
        <w:rPr>
          <w:lang w:val="en-US"/>
        </w:rPr>
      </w:pPr>
      <w:r w:rsidRPr="00F45A80">
        <w:rPr>
          <w:lang w:val="en-US"/>
        </w:rPr>
        <w:lastRenderedPageBreak/>
        <w:t>Currencies and deposits include all claims to the Central Bank and commercial banks, in some cases other institutional sectors, in the form of cash banknotes and coins, as well as deposits.</w:t>
      </w:r>
    </w:p>
    <w:p w:rsidR="004817AF" w:rsidRPr="00F45A80" w:rsidRDefault="004817AF" w:rsidP="004817AF">
      <w:pPr>
        <w:spacing w:before="120"/>
        <w:jc w:val="both"/>
        <w:rPr>
          <w:lang w:val="en-US"/>
        </w:rPr>
      </w:pPr>
      <w:r w:rsidRPr="00F45A80">
        <w:rPr>
          <w:lang w:val="en-US"/>
        </w:rPr>
        <w:t>Insurance, pension and standard guarantee programs include (a) insurance technical reserves (except life insurance), (b) rights to life insurance and annuity payments, (c) rights to receive a pension, (d) pension fund claims on companies, that manage pension funds, (e) eligibility for benefits not related to pension schemes, (e) provisions to cover standard guarantees.</w:t>
      </w:r>
    </w:p>
    <w:p w:rsidR="004817AF" w:rsidRPr="00F45A80" w:rsidRDefault="004817AF" w:rsidP="004817AF">
      <w:pPr>
        <w:spacing w:before="120"/>
        <w:jc w:val="both"/>
        <w:rPr>
          <w:lang w:val="en-US"/>
        </w:rPr>
      </w:pPr>
      <w:r w:rsidRPr="00F45A80">
        <w:rPr>
          <w:lang w:val="en-US"/>
        </w:rPr>
        <w:t>Trade credit and advances arise when payment for goods or services is not made at the same time as the change in ownership of a good or provision of a service. If a payment is made before the change of ownership, there is an advance.</w:t>
      </w:r>
    </w:p>
    <w:p w:rsidR="004817AF" w:rsidRPr="00F45A80" w:rsidRDefault="004817AF" w:rsidP="004817AF">
      <w:pPr>
        <w:spacing w:before="120"/>
        <w:jc w:val="both"/>
        <w:rPr>
          <w:lang w:val="en-US"/>
        </w:rPr>
      </w:pPr>
      <w:r w:rsidRPr="00F45A80">
        <w:rPr>
          <w:lang w:val="en-US"/>
        </w:rPr>
        <w:t>Other accounts receivable/payable includes accounts receivable or payable other than those included above.</w:t>
      </w:r>
    </w:p>
    <w:p w:rsidR="004817AF" w:rsidRPr="00F45A80" w:rsidRDefault="004817AF" w:rsidP="004817AF">
      <w:pPr>
        <w:spacing w:before="120"/>
        <w:jc w:val="both"/>
        <w:rPr>
          <w:b/>
          <w:lang w:val="en-US"/>
        </w:rPr>
      </w:pPr>
      <w:r w:rsidRPr="00F45A80">
        <w:rPr>
          <w:b/>
          <w:lang w:val="en-US"/>
        </w:rPr>
        <w:t xml:space="preserve">Special drawing rights (SDRs) </w:t>
      </w:r>
      <w:r w:rsidRPr="00F45A80">
        <w:rPr>
          <w:lang w:val="en-US"/>
        </w:rPr>
        <w:t>are international reserve assets created by the IMF and allocated to members to supplement existing official reserves. SDRs are held only by the monetary authorities of IMF members and a limited number of international financial institutions.</w:t>
      </w:r>
    </w:p>
    <w:p w:rsidR="004817AF" w:rsidRPr="00F45A80" w:rsidRDefault="004817AF" w:rsidP="004817AF">
      <w:pPr>
        <w:spacing w:before="120"/>
        <w:jc w:val="both"/>
        <w:rPr>
          <w:lang w:val="en-US"/>
        </w:rPr>
      </w:pPr>
      <w:r w:rsidRPr="00F45A80">
        <w:rPr>
          <w:b/>
          <w:lang w:val="en-US"/>
        </w:rPr>
        <w:t xml:space="preserve">Reserve assets </w:t>
      </w:r>
      <w:r w:rsidRPr="00F45A80">
        <w:rPr>
          <w:lang w:val="en-US"/>
        </w:rPr>
        <w:t>are those external assets that are readily available to and controlled by monetary authorities for meeting balance of payments financing needs, for intervention in exchange markets, and for other related purposes.</w:t>
      </w:r>
    </w:p>
    <w:p w:rsidR="004817AF" w:rsidRPr="00F45A80" w:rsidRDefault="004817AF" w:rsidP="004817AF">
      <w:pPr>
        <w:spacing w:before="120"/>
        <w:jc w:val="both"/>
        <w:rPr>
          <w:rFonts w:cs="Calibri"/>
          <w:szCs w:val="22"/>
          <w:lang w:val="en-US"/>
        </w:rPr>
      </w:pPr>
      <w:r w:rsidRPr="00F45A80">
        <w:rPr>
          <w:rFonts w:cs="Calibri"/>
          <w:szCs w:val="22"/>
          <w:lang w:val="en-US"/>
        </w:rPr>
        <w:t xml:space="preserve">The BOP is constructed on the basis of a </w:t>
      </w:r>
      <w:r w:rsidRPr="00F45A80">
        <w:rPr>
          <w:rFonts w:cs="Calibri"/>
          <w:b/>
          <w:szCs w:val="22"/>
          <w:lang w:val="en-US"/>
        </w:rPr>
        <w:t>double entry book-keeping system</w:t>
      </w:r>
      <w:r w:rsidRPr="00F45A80">
        <w:rPr>
          <w:rFonts w:cs="Calibri"/>
          <w:szCs w:val="22"/>
          <w:lang w:val="en-US"/>
        </w:rPr>
        <w:t>. Every recorded transaction is represented by two entries with equal values. One of these entries is recorded under credit; the other is recorded under debit. For example, in the case where an export operation was made, the transaction value in the BOP will be reflected as credit in “Export” and as debit in “Assets – currency and deposits”. The sum of all credit and debit entries should equal to zero. In practice, however, the accounts frequently do not balance. Data for balance of payments estimates are often obtained from different sources and, as a result, there may be a summary “net errors and omissions”.</w:t>
      </w:r>
    </w:p>
    <w:p w:rsidR="004817AF" w:rsidRPr="00F45A80" w:rsidRDefault="004817AF" w:rsidP="004817AF">
      <w:pPr>
        <w:spacing w:before="120"/>
        <w:jc w:val="both"/>
        <w:rPr>
          <w:b/>
          <w:lang w:val="en-US"/>
        </w:rPr>
      </w:pPr>
      <w:r w:rsidRPr="00F45A80">
        <w:rPr>
          <w:b/>
          <w:lang w:val="en-US"/>
        </w:rPr>
        <w:lastRenderedPageBreak/>
        <w:t xml:space="preserve">Credit entries </w:t>
      </w:r>
      <w:r w:rsidRPr="00F45A80">
        <w:rPr>
          <w:lang w:val="en-US"/>
        </w:rPr>
        <w:t>are recorded for exports, primary and secondary income received and acquisition of non-produced non-financial assets.</w:t>
      </w:r>
    </w:p>
    <w:p w:rsidR="004817AF" w:rsidRPr="00F45A80" w:rsidRDefault="004817AF" w:rsidP="004817AF">
      <w:pPr>
        <w:spacing w:before="120"/>
        <w:jc w:val="both"/>
        <w:rPr>
          <w:lang w:val="en-US"/>
        </w:rPr>
      </w:pPr>
      <w:r w:rsidRPr="00F45A80">
        <w:rPr>
          <w:b/>
          <w:lang w:val="en-US"/>
        </w:rPr>
        <w:t xml:space="preserve">Debit entries </w:t>
      </w:r>
      <w:r w:rsidRPr="00F45A80">
        <w:rPr>
          <w:lang w:val="en-US"/>
        </w:rPr>
        <w:t>are recorded for imports, primary and secondary income paid and disposal of non-produced non-financial assets.</w:t>
      </w:r>
    </w:p>
    <w:p w:rsidR="004817AF" w:rsidRPr="00F45A80" w:rsidRDefault="004817AF" w:rsidP="004817AF">
      <w:pPr>
        <w:spacing w:before="120"/>
        <w:jc w:val="both"/>
        <w:rPr>
          <w:rFonts w:ascii="Times New Roman" w:hAnsi="Times New Roman"/>
          <w:sz w:val="22"/>
          <w:szCs w:val="22"/>
          <w:lang w:val="en-US"/>
        </w:rPr>
      </w:pPr>
      <w:r w:rsidRPr="00F45A80">
        <w:rPr>
          <w:rFonts w:cs="Calibri"/>
          <w:szCs w:val="22"/>
          <w:lang w:val="en-US"/>
        </w:rPr>
        <w:t xml:space="preserve">The international accounts follow </w:t>
      </w:r>
      <w:r w:rsidRPr="00F45A80">
        <w:rPr>
          <w:rFonts w:cs="Calibri"/>
          <w:b/>
          <w:szCs w:val="22"/>
          <w:lang w:val="en-US"/>
        </w:rPr>
        <w:t>net recording in the financial account</w:t>
      </w:r>
      <w:r w:rsidRPr="00F45A80">
        <w:rPr>
          <w:rFonts w:cs="Calibri"/>
          <w:szCs w:val="22"/>
          <w:lang w:val="en-US"/>
        </w:rPr>
        <w:t>. Net recording, means aggregations or combinations that show net changes (increases less reductions) in a particular financial asset or a liability category on the same side of the balance sheet. Transactions on financial assets and liabilities are shown under “Net acquisition of financial assets” and “Net incurrence of liabilities”. Net acquisition of assets equals increase of the asset less decrease of the same asset. Transaction with positive sign means increase, while negative sign – decrease. Calculation of net acquisition of financial liabilities are in the same way as assets are calculated</w:t>
      </w:r>
      <w:r w:rsidRPr="00F45A80">
        <w:rPr>
          <w:rFonts w:ascii="Times New Roman" w:hAnsi="Times New Roman"/>
          <w:sz w:val="22"/>
          <w:szCs w:val="22"/>
          <w:lang w:val="en-US"/>
        </w:rPr>
        <w:t>.</w:t>
      </w:r>
    </w:p>
    <w:p w:rsidR="004817AF" w:rsidRPr="00F45A80" w:rsidRDefault="004817AF" w:rsidP="004817AF">
      <w:pPr>
        <w:spacing w:before="120"/>
        <w:jc w:val="both"/>
        <w:rPr>
          <w:rFonts w:cs="Calibri"/>
          <w:szCs w:val="22"/>
          <w:lang w:val="en-US"/>
        </w:rPr>
      </w:pPr>
      <w:r w:rsidRPr="00F45A80">
        <w:rPr>
          <w:rFonts w:cs="Calibri"/>
          <w:b/>
          <w:szCs w:val="22"/>
          <w:lang w:val="en-US"/>
        </w:rPr>
        <w:t>Market prices</w:t>
      </w:r>
      <w:r w:rsidRPr="00F45A80">
        <w:rPr>
          <w:rFonts w:cs="Calibri"/>
          <w:szCs w:val="22"/>
          <w:lang w:val="en-US"/>
        </w:rPr>
        <w:t xml:space="preserve"> are the basis for valuation in the international accounts. Market prices for transactions are defined as amounts of money that buyers are willing to pay for acquiring something from sellers who, in his/her turn, has willing to sell. The exchanges are made between independent parties and on the basis of commercial considerations only.</w:t>
      </w:r>
    </w:p>
    <w:p w:rsidR="004817AF" w:rsidRPr="00F45A80" w:rsidRDefault="004817AF" w:rsidP="004817AF">
      <w:pPr>
        <w:spacing w:before="120"/>
        <w:jc w:val="both"/>
        <w:rPr>
          <w:rFonts w:cs="Calibri"/>
          <w:szCs w:val="22"/>
          <w:lang w:val="en-US"/>
        </w:rPr>
      </w:pPr>
      <w:r w:rsidRPr="00F45A80">
        <w:rPr>
          <w:rFonts w:cs="Calibri"/>
          <w:b/>
          <w:szCs w:val="22"/>
          <w:lang w:val="en-US"/>
        </w:rPr>
        <w:t>Time of transaction recording</w:t>
      </w:r>
      <w:r w:rsidRPr="00F45A80">
        <w:rPr>
          <w:rFonts w:cs="Calibri"/>
          <w:szCs w:val="22"/>
          <w:lang w:val="en-US"/>
        </w:rPr>
        <w:t xml:space="preserve"> is real time or estimated time when ownership change occurred. This is the time when transaction was recorded in financial reports.</w:t>
      </w:r>
    </w:p>
    <w:p w:rsidR="004817AF" w:rsidRDefault="004817AF" w:rsidP="004817AF">
      <w:pPr>
        <w:spacing w:before="120"/>
        <w:jc w:val="both"/>
        <w:rPr>
          <w:rFonts w:cs="Calibri"/>
          <w:b/>
          <w:szCs w:val="22"/>
          <w:lang w:val="en-US"/>
        </w:rPr>
      </w:pPr>
    </w:p>
    <w:p w:rsidR="004817AF" w:rsidRDefault="004817AF" w:rsidP="004817AF">
      <w:pPr>
        <w:spacing w:before="120"/>
        <w:jc w:val="both"/>
        <w:rPr>
          <w:rFonts w:cs="Calibri"/>
          <w:b/>
          <w:szCs w:val="22"/>
          <w:lang w:val="en-US"/>
        </w:rPr>
      </w:pPr>
    </w:p>
    <w:p w:rsidR="004817AF" w:rsidRPr="00F45A80" w:rsidRDefault="004817AF" w:rsidP="004817AF">
      <w:pPr>
        <w:spacing w:before="120"/>
        <w:jc w:val="both"/>
        <w:rPr>
          <w:rFonts w:cs="Calibri"/>
          <w:b/>
          <w:szCs w:val="22"/>
          <w:lang w:val="en-US"/>
        </w:rPr>
      </w:pPr>
      <w:r w:rsidRPr="00F45A80">
        <w:rPr>
          <w:rFonts w:cs="Calibri"/>
          <w:b/>
          <w:szCs w:val="22"/>
          <w:lang w:val="en-US"/>
        </w:rPr>
        <w:t>Standard and analytical presentation of BOP</w:t>
      </w:r>
    </w:p>
    <w:p w:rsidR="004817AF" w:rsidRPr="00F45A80" w:rsidRDefault="004817AF" w:rsidP="004817AF">
      <w:pPr>
        <w:spacing w:before="120"/>
        <w:jc w:val="both"/>
        <w:rPr>
          <w:rFonts w:cs="Calibri"/>
          <w:szCs w:val="22"/>
          <w:lang w:val="en-US"/>
        </w:rPr>
      </w:pPr>
      <w:r w:rsidRPr="00F45A80">
        <w:rPr>
          <w:rFonts w:cs="Calibri"/>
          <w:szCs w:val="22"/>
          <w:lang w:val="en-US"/>
        </w:rPr>
        <w:t>Standard presentation - BOP items are grouped corresponding to national accounts and other macroeconomic statistics standard classifications.</w:t>
      </w:r>
    </w:p>
    <w:p w:rsidR="004817AF" w:rsidRPr="00F45A80" w:rsidRDefault="004817AF" w:rsidP="004817AF">
      <w:pPr>
        <w:spacing w:before="120"/>
        <w:jc w:val="both"/>
        <w:rPr>
          <w:rFonts w:ascii="Times New Roman" w:hAnsi="Times New Roman"/>
          <w:sz w:val="22"/>
          <w:szCs w:val="22"/>
          <w:lang w:val="en-US"/>
        </w:rPr>
      </w:pPr>
      <w:r w:rsidRPr="00F45A80">
        <w:rPr>
          <w:rFonts w:cs="Calibri"/>
          <w:szCs w:val="22"/>
          <w:lang w:val="en-US"/>
        </w:rPr>
        <w:t>Analytical presentation denotes reorganization of standard BOP items in a way where international transactions balance is financed with international reserves, IMF or other international donor credits or other exceptional financing items</w:t>
      </w:r>
      <w:r w:rsidR="00470F0E">
        <w:rPr>
          <w:rFonts w:cs="Calibri"/>
          <w:szCs w:val="22"/>
          <w:lang w:val="en-US"/>
        </w:rPr>
        <w:t>.</w:t>
      </w:r>
    </w:p>
    <w:p w:rsidR="004817AF" w:rsidRPr="00F45A80" w:rsidRDefault="004817AF" w:rsidP="004817AF">
      <w:pPr>
        <w:spacing w:before="120"/>
        <w:jc w:val="both"/>
        <w:rPr>
          <w:b/>
          <w:lang w:val="en-US"/>
        </w:rPr>
      </w:pPr>
      <w:r w:rsidRPr="00F45A80">
        <w:rPr>
          <w:b/>
          <w:lang w:val="en-US"/>
        </w:rPr>
        <w:lastRenderedPageBreak/>
        <w:t>1.2</w:t>
      </w:r>
      <w:r>
        <w:rPr>
          <w:b/>
          <w:lang w:val="en-US"/>
        </w:rPr>
        <w:t>.</w:t>
      </w:r>
      <w:r w:rsidRPr="00F45A80">
        <w:rPr>
          <w:b/>
          <w:lang w:val="en-US"/>
        </w:rPr>
        <w:t xml:space="preserve"> Sources of data and commentary on the compilation of components.</w:t>
      </w:r>
    </w:p>
    <w:p w:rsidR="004817AF" w:rsidRPr="00F45A80" w:rsidRDefault="004817AF" w:rsidP="004817AF">
      <w:pPr>
        <w:spacing w:before="120"/>
        <w:jc w:val="both"/>
        <w:rPr>
          <w:lang w:val="en-US"/>
        </w:rPr>
      </w:pPr>
      <w:r w:rsidRPr="00F45A80">
        <w:rPr>
          <w:lang w:val="en-US"/>
        </w:rPr>
        <w:t>The main sources of information for compiling balance of payments data are the State Customs Committee, State Statistics Committee, enterprises and operators’ data on production sharing agreements (PSA), State Border Protection Committee, State Personalization Center, Central Bank, Ministry of Finance, Ministry of Foreign Affairs, and other organizations.</w:t>
      </w:r>
    </w:p>
    <w:p w:rsidR="004817AF" w:rsidRPr="00F45A80" w:rsidRDefault="004817AF" w:rsidP="004817AF">
      <w:pPr>
        <w:spacing w:before="120"/>
        <w:jc w:val="both"/>
        <w:rPr>
          <w:lang w:val="en-US"/>
        </w:rPr>
      </w:pPr>
      <w:r w:rsidRPr="00F45A80">
        <w:rPr>
          <w:lang w:val="en-US"/>
        </w:rPr>
        <w:t>Along with the reports received, some changes are made to improve the quality of the data and ensure their compliance with the methodology.</w:t>
      </w:r>
    </w:p>
    <w:p w:rsidR="004817AF" w:rsidRPr="00F45A80" w:rsidRDefault="004817AF" w:rsidP="004817AF">
      <w:pPr>
        <w:spacing w:before="120"/>
        <w:jc w:val="both"/>
        <w:rPr>
          <w:rFonts w:cs="Calibri"/>
          <w:b/>
          <w:lang w:val="en-US"/>
        </w:rPr>
      </w:pPr>
      <w:r w:rsidRPr="00F45A80">
        <w:rPr>
          <w:rFonts w:cs="Calibri"/>
          <w:b/>
          <w:lang w:val="en-US"/>
        </w:rPr>
        <w:t>Data on imports/exports of goods</w:t>
      </w:r>
    </w:p>
    <w:p w:rsidR="004817AF" w:rsidRPr="00F45A80" w:rsidRDefault="004817AF" w:rsidP="004817AF">
      <w:pPr>
        <w:spacing w:before="120"/>
        <w:jc w:val="both"/>
        <w:rPr>
          <w:rFonts w:cs="Calibri"/>
          <w:lang w:val="en-US"/>
        </w:rPr>
      </w:pPr>
      <w:r w:rsidRPr="00F45A80">
        <w:rPr>
          <w:rFonts w:cs="Calibri"/>
          <w:lang w:val="en-US"/>
        </w:rPr>
        <w:t>Export and import data are reflected in FOB prices in the balance of payments. Data on the import and export of goods are obtained from the State Customs Committee. CIF prices of imported goods are adjusted based on the coefficients calculated by weight, taking into account the mode of transport at the border and the region of shipment of goods.</w:t>
      </w:r>
    </w:p>
    <w:p w:rsidR="004817AF" w:rsidRPr="00F45A80" w:rsidRDefault="004817AF" w:rsidP="004817AF">
      <w:pPr>
        <w:spacing w:before="120"/>
        <w:jc w:val="both"/>
        <w:rPr>
          <w:rFonts w:cs="Calibri"/>
          <w:lang w:val="en-US"/>
        </w:rPr>
      </w:pPr>
      <w:r w:rsidRPr="00F45A80">
        <w:rPr>
          <w:rFonts w:cs="Calibri"/>
          <w:lang w:val="en-US"/>
        </w:rPr>
        <w:t>Official data received from the State Customs Committee are supplemented with data on gold exports and are adjusted based on estimates of the Central Bank regarding shuttle exports and imports, as well as additional data obtained and identified statistical discrepancies in mirror statistics for the main trading partners.</w:t>
      </w:r>
    </w:p>
    <w:p w:rsidR="004817AF" w:rsidRPr="00F45A80" w:rsidRDefault="004817AF" w:rsidP="004817AF">
      <w:pPr>
        <w:spacing w:before="120"/>
        <w:jc w:val="both"/>
        <w:rPr>
          <w:rFonts w:cs="Calibri"/>
          <w:lang w:val="en-US"/>
        </w:rPr>
      </w:pPr>
      <w:r w:rsidRPr="00F45A80">
        <w:rPr>
          <w:rFonts w:cs="Calibri"/>
          <w:lang w:val="en-US"/>
        </w:rPr>
        <w:t>Estimation of the value of goods imported/exported by individuals for subsequent resale is calculated as the product of the number of "shuttles" and the average value of the goods imported and exported by them. The average value has been derived on the basis of a quarterly survey conducted at border posts and airports in all regions of the country.</w:t>
      </w:r>
    </w:p>
    <w:p w:rsidR="004817AF" w:rsidRPr="00F45A80" w:rsidRDefault="004817AF" w:rsidP="004817AF">
      <w:pPr>
        <w:spacing w:before="120"/>
        <w:jc w:val="both"/>
        <w:rPr>
          <w:rFonts w:cs="Calibri"/>
          <w:b/>
          <w:lang w:val="en-US"/>
        </w:rPr>
      </w:pPr>
      <w:r w:rsidRPr="00F45A80">
        <w:rPr>
          <w:rFonts w:cs="Calibri"/>
          <w:b/>
          <w:lang w:val="en-US"/>
        </w:rPr>
        <w:t>International services</w:t>
      </w:r>
    </w:p>
    <w:p w:rsidR="004817AF" w:rsidRPr="00F45A80" w:rsidRDefault="004817AF" w:rsidP="004817AF">
      <w:pPr>
        <w:spacing w:before="120"/>
        <w:jc w:val="both"/>
        <w:rPr>
          <w:rFonts w:cs="Calibri"/>
          <w:lang w:val="en-US"/>
        </w:rPr>
      </w:pPr>
      <w:r w:rsidRPr="00F45A80">
        <w:rPr>
          <w:rFonts w:cs="Calibri"/>
          <w:lang w:val="en-US"/>
        </w:rPr>
        <w:t>Initial data for the exports and imports of transport services are obtained from the State Committee on Statistics. Additional data are obtained and calculations are made for the most significant and missing components. In particular:</w:t>
      </w:r>
    </w:p>
    <w:p w:rsidR="00470F0E" w:rsidRDefault="00470F0E" w:rsidP="004817AF">
      <w:pPr>
        <w:spacing w:before="120"/>
        <w:jc w:val="both"/>
        <w:rPr>
          <w:rFonts w:cs="Calibri"/>
          <w:b/>
          <w:i/>
          <w:szCs w:val="22"/>
          <w:lang w:val="en-US"/>
        </w:rPr>
      </w:pPr>
    </w:p>
    <w:p w:rsidR="004817AF" w:rsidRPr="00F45A80" w:rsidRDefault="004817AF" w:rsidP="004817AF">
      <w:pPr>
        <w:spacing w:before="120"/>
        <w:jc w:val="both"/>
        <w:rPr>
          <w:rFonts w:cs="Calibri"/>
          <w:b/>
          <w:i/>
          <w:szCs w:val="22"/>
          <w:lang w:val="en-US"/>
        </w:rPr>
      </w:pPr>
      <w:r w:rsidRPr="00F45A80">
        <w:rPr>
          <w:rFonts w:cs="Calibri"/>
          <w:b/>
          <w:i/>
          <w:szCs w:val="22"/>
          <w:lang w:val="en-US"/>
        </w:rPr>
        <w:lastRenderedPageBreak/>
        <w:t>For transport services</w:t>
      </w:r>
    </w:p>
    <w:p w:rsidR="004817AF" w:rsidRPr="00F45A80" w:rsidRDefault="004817AF" w:rsidP="004817AF">
      <w:pPr>
        <w:spacing w:before="120"/>
        <w:jc w:val="both"/>
        <w:rPr>
          <w:rFonts w:cs="Calibri"/>
          <w:szCs w:val="22"/>
          <w:lang w:val="en-US"/>
        </w:rPr>
      </w:pPr>
      <w:r w:rsidRPr="00F45A80">
        <w:rPr>
          <w:rFonts w:cs="Calibri"/>
          <w:szCs w:val="22"/>
          <w:lang w:val="en-US"/>
        </w:rPr>
        <w:t>- estimations are made on the amount of imported air, rail and road transport services. For example, the import of air transport is calculated by multiplying the number of persons who entered and left the country by air, minus the number of citizens of Uzbekistan transported by the national carrier, to the average price of a ticket to the main countries of departure of citizens of Uzbekistan;</w:t>
      </w:r>
    </w:p>
    <w:p w:rsidR="004817AF" w:rsidRPr="00F45A80" w:rsidRDefault="004817AF" w:rsidP="004817AF">
      <w:pPr>
        <w:spacing w:before="120"/>
        <w:jc w:val="both"/>
        <w:rPr>
          <w:rFonts w:cs="Calibri"/>
          <w:szCs w:val="22"/>
          <w:lang w:val="en-US"/>
        </w:rPr>
      </w:pPr>
      <w:r w:rsidRPr="00F45A80">
        <w:rPr>
          <w:rFonts w:cs="Calibri"/>
          <w:szCs w:val="22"/>
          <w:lang w:val="en-US"/>
        </w:rPr>
        <w:t>- information on the amount of air transport exports is received from national air carrier, including the goods sold to foreign ships at airports in Uzbekistan and purchased by ships of Uzbekistan at foreign airports;</w:t>
      </w:r>
    </w:p>
    <w:p w:rsidR="004817AF" w:rsidRPr="00F45A80" w:rsidRDefault="004817AF" w:rsidP="004817AF">
      <w:pPr>
        <w:spacing w:before="120"/>
        <w:jc w:val="both"/>
        <w:rPr>
          <w:rFonts w:ascii="Times New Roman" w:hAnsi="Times New Roman"/>
          <w:sz w:val="22"/>
          <w:szCs w:val="22"/>
          <w:lang w:val="en-US"/>
        </w:rPr>
      </w:pPr>
      <w:r w:rsidRPr="00F45A80">
        <w:rPr>
          <w:lang w:val="en-US"/>
        </w:rPr>
        <w:t>- </w:t>
      </w:r>
      <w:r w:rsidRPr="00F45A80">
        <w:rPr>
          <w:rFonts w:cs="Calibri"/>
          <w:szCs w:val="22"/>
          <w:lang w:val="en-US"/>
        </w:rPr>
        <w:t>information on the amount and value of goods transported for non-residents is obtained from Uzbekistan Railways;</w:t>
      </w:r>
    </w:p>
    <w:p w:rsidR="004817AF" w:rsidRPr="00F45A80" w:rsidRDefault="004817AF" w:rsidP="004817AF">
      <w:pPr>
        <w:spacing w:before="120"/>
        <w:jc w:val="both"/>
        <w:rPr>
          <w:lang w:val="en-US"/>
        </w:rPr>
      </w:pPr>
      <w:r w:rsidRPr="00F45A80">
        <w:rPr>
          <w:lang w:val="en-US"/>
        </w:rPr>
        <w:t>- CIF-FOB corrections are added separately to the amount of imports for each mode of transport based on their share in total volume of imports.</w:t>
      </w:r>
    </w:p>
    <w:p w:rsidR="004817AF" w:rsidRPr="00F45A80" w:rsidRDefault="004817AF" w:rsidP="004817AF">
      <w:pPr>
        <w:spacing w:before="120"/>
        <w:jc w:val="both"/>
        <w:rPr>
          <w:rFonts w:ascii="Times New Roman" w:hAnsi="Times New Roman"/>
          <w:b/>
          <w:i/>
          <w:sz w:val="22"/>
          <w:szCs w:val="22"/>
          <w:lang w:val="en-US"/>
        </w:rPr>
      </w:pPr>
      <w:r w:rsidRPr="00F45A80">
        <w:rPr>
          <w:rFonts w:cs="Calibri"/>
          <w:b/>
          <w:i/>
          <w:szCs w:val="22"/>
          <w:lang w:val="en-US"/>
        </w:rPr>
        <w:t>For travel services</w:t>
      </w:r>
      <w:r w:rsidRPr="00F45A80">
        <w:rPr>
          <w:rFonts w:ascii="Times New Roman" w:hAnsi="Times New Roman"/>
          <w:b/>
          <w:i/>
          <w:sz w:val="22"/>
          <w:szCs w:val="22"/>
          <w:lang w:val="en-US"/>
        </w:rPr>
        <w:t>:</w:t>
      </w:r>
    </w:p>
    <w:p w:rsidR="004817AF" w:rsidRPr="00F45A80" w:rsidRDefault="004817AF" w:rsidP="004817AF">
      <w:pPr>
        <w:spacing w:before="120"/>
        <w:jc w:val="both"/>
        <w:rPr>
          <w:lang w:val="en-US"/>
        </w:rPr>
      </w:pPr>
      <w:r w:rsidRPr="00F45A80">
        <w:rPr>
          <w:lang w:val="en-US"/>
        </w:rPr>
        <w:t>- expenses of short-term workers during their stay abroad are added to the data of the State statistics committee on debit and credit of business travels;</w:t>
      </w:r>
    </w:p>
    <w:p w:rsidR="004817AF" w:rsidRPr="00F45A80" w:rsidRDefault="004817AF" w:rsidP="004817AF">
      <w:pPr>
        <w:spacing w:before="120"/>
        <w:jc w:val="both"/>
        <w:rPr>
          <w:lang w:val="en-US"/>
        </w:rPr>
      </w:pPr>
      <w:r w:rsidRPr="00F45A80">
        <w:rPr>
          <w:lang w:val="en-US"/>
        </w:rPr>
        <w:t>- the amount of exports and imports of personal travel services (tourism) are calculated based on data from the border service and the results of a survey on tourist statistics conducted by the State Statistics Committee in May 2018. Since the coefficients generated by the results of the tourist survey of residents also include the amount of transport expenses, they are deducted from the debit of travel services in order to avoid double counting.</w:t>
      </w:r>
    </w:p>
    <w:p w:rsidR="004817AF" w:rsidRPr="00F45A80" w:rsidRDefault="004817AF" w:rsidP="004817AF">
      <w:pPr>
        <w:spacing w:before="120"/>
        <w:jc w:val="both"/>
        <w:rPr>
          <w:b/>
          <w:i/>
          <w:lang w:val="en-US"/>
        </w:rPr>
      </w:pPr>
      <w:r w:rsidRPr="00F45A80">
        <w:rPr>
          <w:b/>
          <w:i/>
          <w:lang w:val="en-US"/>
        </w:rPr>
        <w:t>For other services:</w:t>
      </w:r>
    </w:p>
    <w:p w:rsidR="004817AF" w:rsidRPr="00F45A80" w:rsidRDefault="004817AF" w:rsidP="004817AF">
      <w:pPr>
        <w:spacing w:before="120"/>
        <w:jc w:val="both"/>
        <w:rPr>
          <w:lang w:val="en-US"/>
        </w:rPr>
      </w:pPr>
      <w:r w:rsidRPr="00F45A80">
        <w:rPr>
          <w:lang w:val="en-US"/>
        </w:rPr>
        <w:t>- to reflect information on public services not included elsewhere, information obtained from the Ministry of Foreign Affairs is used;</w:t>
      </w:r>
    </w:p>
    <w:p w:rsidR="004817AF" w:rsidRPr="00F45A80" w:rsidRDefault="004817AF" w:rsidP="004817AF">
      <w:pPr>
        <w:spacing w:before="120"/>
        <w:jc w:val="both"/>
        <w:rPr>
          <w:lang w:val="en-US"/>
        </w:rPr>
      </w:pPr>
      <w:r w:rsidRPr="00F45A80">
        <w:rPr>
          <w:lang w:val="en-US"/>
        </w:rPr>
        <w:t xml:space="preserve">- to reflect insurance services, data are obtained from insurance companies and adjustments are made if discrepancies are identified. In addition, the cost of the cargo insurance service, obtained </w:t>
      </w:r>
      <w:r w:rsidRPr="00F45A80">
        <w:rPr>
          <w:lang w:val="en-US"/>
        </w:rPr>
        <w:lastRenderedPageBreak/>
        <w:t>while calculating the CIF-FOB adjustment, is included in insurance services.</w:t>
      </w:r>
    </w:p>
    <w:p w:rsidR="004817AF" w:rsidRPr="00F45A80" w:rsidRDefault="004817AF" w:rsidP="004817AF">
      <w:pPr>
        <w:spacing w:before="120"/>
        <w:jc w:val="both"/>
        <w:rPr>
          <w:b/>
          <w:lang w:val="en-US"/>
        </w:rPr>
      </w:pPr>
      <w:r w:rsidRPr="00F45A80">
        <w:rPr>
          <w:b/>
          <w:lang w:val="en-US"/>
        </w:rPr>
        <w:t>Primary income</w:t>
      </w:r>
    </w:p>
    <w:p w:rsidR="004817AF" w:rsidRPr="00F45A80" w:rsidRDefault="004817AF" w:rsidP="004817AF">
      <w:pPr>
        <w:spacing w:before="120"/>
        <w:jc w:val="both"/>
        <w:rPr>
          <w:lang w:val="en-US"/>
        </w:rPr>
      </w:pPr>
      <w:r w:rsidRPr="00F45A80">
        <w:rPr>
          <w:lang w:val="en-US"/>
        </w:rPr>
        <w:t>- calculation of primary income is carried out on the basis of the cross-border money remittances data, generated by the Central Bank and cash imports of foreign currencies, formed by the State Customs Committee until 2018. The data are complemented by an estimate of the income of residents working at embassies and international institutions in the territory of the Republic of Uzbekistan.</w:t>
      </w:r>
    </w:p>
    <w:p w:rsidR="004817AF" w:rsidRPr="00F45A80" w:rsidRDefault="004817AF" w:rsidP="004817AF">
      <w:pPr>
        <w:spacing w:before="120"/>
        <w:jc w:val="both"/>
        <w:rPr>
          <w:lang w:val="en-US"/>
        </w:rPr>
      </w:pPr>
      <w:r w:rsidRPr="00F45A80">
        <w:rPr>
          <w:lang w:val="en-US"/>
        </w:rPr>
        <w:t xml:space="preserve">Calculation of wages of short-term workers is carried out in the methodology recommended by the IMF expert during the technical assistance mission. At the same time, the number of citizens of Uzbekistan who went abroad to work during the reporting and previous three quarters are multiplied to decreasing coefficients in order to determine the quantity of short-term workers in the calculations. The estimated number of short-term workers is multiplied by the average amount of their income to determine the total amount of their earnings. This approach also enables the determination of their travel expenses and mandatory payments in the form of taxes and patent fees. </w:t>
      </w:r>
    </w:p>
    <w:p w:rsidR="004817AF" w:rsidRPr="00F45A80" w:rsidRDefault="004817AF" w:rsidP="004817AF">
      <w:pPr>
        <w:spacing w:before="120"/>
        <w:jc w:val="both"/>
        <w:rPr>
          <w:lang w:val="en-US"/>
        </w:rPr>
      </w:pPr>
      <w:r w:rsidRPr="00F45A80">
        <w:rPr>
          <w:lang w:val="en-US"/>
        </w:rPr>
        <w:t>- investment income is calculated on the basis of data from the Central Bank, commercial banks, the Ministry of Finance and enterprises operating on the basis of the PSA. Wherein, commercial banks provide data on accrued interest on unsecured private debt, while the Ministry of Finance presents data on accrued interest on loans attracted by the government or under its guarantee.</w:t>
      </w:r>
    </w:p>
    <w:p w:rsidR="004817AF" w:rsidRPr="00F45A80" w:rsidRDefault="004817AF" w:rsidP="004817AF">
      <w:pPr>
        <w:spacing w:before="120"/>
        <w:jc w:val="both"/>
        <w:rPr>
          <w:b/>
          <w:lang w:val="en-US"/>
        </w:rPr>
      </w:pPr>
      <w:r w:rsidRPr="00F45A80">
        <w:rPr>
          <w:b/>
          <w:lang w:val="en-US"/>
        </w:rPr>
        <w:t>Secondary income</w:t>
      </w:r>
    </w:p>
    <w:p w:rsidR="004817AF" w:rsidRPr="00F45A80" w:rsidRDefault="004817AF" w:rsidP="004817AF">
      <w:pPr>
        <w:spacing w:before="120"/>
        <w:jc w:val="both"/>
        <w:rPr>
          <w:lang w:val="en-US"/>
        </w:rPr>
      </w:pPr>
      <w:r w:rsidRPr="00F45A80">
        <w:rPr>
          <w:lang w:val="en-US"/>
        </w:rPr>
        <w:t>- personal transfers are calculated on the basis of cross-border money remittances data, generated by the Central Bank and cash imports of foreign currencies, formed by the State Customs Committee until 2018. The net earnings of short-term workers are deducted from the total amount of remittances into the country and the cash import of foreign currency by the citizens of Uzbekistan and the balance is indicated as a transfer;</w:t>
      </w:r>
    </w:p>
    <w:p w:rsidR="004817AF" w:rsidRPr="00F45A80" w:rsidRDefault="004817AF" w:rsidP="004817AF">
      <w:pPr>
        <w:spacing w:before="120"/>
        <w:jc w:val="both"/>
        <w:rPr>
          <w:lang w:val="en-US"/>
        </w:rPr>
      </w:pPr>
      <w:r w:rsidRPr="00F45A80">
        <w:rPr>
          <w:lang w:val="en-US"/>
        </w:rPr>
        <w:lastRenderedPageBreak/>
        <w:t>- data on grants in monetary form are presented by commercial banks, while humanitarian assistance received in the form of goods is obtained from the database of the State Customs Committee;</w:t>
      </w:r>
    </w:p>
    <w:p w:rsidR="004817AF" w:rsidRPr="00F45A80" w:rsidRDefault="004817AF" w:rsidP="004817AF">
      <w:pPr>
        <w:spacing w:before="120"/>
        <w:jc w:val="both"/>
        <w:rPr>
          <w:lang w:val="en-US"/>
        </w:rPr>
      </w:pPr>
      <w:r w:rsidRPr="00F45A80">
        <w:rPr>
          <w:lang w:val="en-US"/>
        </w:rPr>
        <w:t>- the Ministry of Finance provides information on the contributions of the Republic of Uzbekistan to international organizations.</w:t>
      </w:r>
    </w:p>
    <w:p w:rsidR="004817AF" w:rsidRPr="00F45A80" w:rsidRDefault="004817AF" w:rsidP="004817AF">
      <w:pPr>
        <w:spacing w:before="120"/>
        <w:jc w:val="both"/>
        <w:rPr>
          <w:b/>
          <w:lang w:val="en-US"/>
        </w:rPr>
      </w:pPr>
      <w:r w:rsidRPr="00F45A80">
        <w:rPr>
          <w:b/>
          <w:lang w:val="en-US"/>
        </w:rPr>
        <w:t>Capital account</w:t>
      </w:r>
    </w:p>
    <w:p w:rsidR="004817AF" w:rsidRPr="00F45A80" w:rsidRDefault="004817AF" w:rsidP="004817AF">
      <w:pPr>
        <w:spacing w:before="120"/>
        <w:jc w:val="both"/>
        <w:rPr>
          <w:lang w:val="en-US"/>
        </w:rPr>
      </w:pPr>
      <w:r w:rsidRPr="00F45A80">
        <w:rPr>
          <w:lang w:val="en-US"/>
        </w:rPr>
        <w:t>- information on capital transfers is compiled on the basis of data obtained from commercial banks and other sources of data.</w:t>
      </w:r>
    </w:p>
    <w:p w:rsidR="004817AF" w:rsidRPr="00F45A80" w:rsidRDefault="004817AF" w:rsidP="004817AF">
      <w:pPr>
        <w:spacing w:before="120"/>
        <w:jc w:val="both"/>
        <w:rPr>
          <w:b/>
          <w:lang w:val="en-US"/>
        </w:rPr>
      </w:pPr>
      <w:r w:rsidRPr="00F45A80">
        <w:rPr>
          <w:b/>
          <w:lang w:val="en-US"/>
        </w:rPr>
        <w:t>Financial account</w:t>
      </w:r>
    </w:p>
    <w:p w:rsidR="004817AF" w:rsidRPr="00470F0E" w:rsidRDefault="004817AF" w:rsidP="004817AF">
      <w:pPr>
        <w:spacing w:before="120"/>
        <w:jc w:val="both"/>
        <w:rPr>
          <w:i/>
          <w:lang w:val="en-US"/>
        </w:rPr>
      </w:pPr>
      <w:r w:rsidRPr="00470F0E">
        <w:rPr>
          <w:i/>
          <w:lang w:val="en-US"/>
        </w:rPr>
        <w:t>Direct investment</w:t>
      </w:r>
    </w:p>
    <w:p w:rsidR="004817AF" w:rsidRPr="00F45A80" w:rsidRDefault="004817AF" w:rsidP="004817AF">
      <w:pPr>
        <w:spacing w:before="120"/>
        <w:jc w:val="both"/>
        <w:rPr>
          <w:lang w:val="en-US"/>
        </w:rPr>
      </w:pPr>
      <w:r w:rsidRPr="00F45A80">
        <w:rPr>
          <w:lang w:val="en-US"/>
        </w:rPr>
        <w:t>- data on direct investment are generated by using the results of a survey conducted by the State Statistics Committee. The form of the survey is based on the reporting forms recommended by the International Monetary Fund. Additionally, enterprises operating on the basis of PSA provide data on investments made. Furthermore, information on direct investment in commercial banks and other non-bank financial institutions is received from commercial banks and other non-bank financial institutions. Data on intercompany loans from related companies are submitted by commercial banks;</w:t>
      </w:r>
    </w:p>
    <w:p w:rsidR="004817AF" w:rsidRPr="00F45A80" w:rsidRDefault="004817AF" w:rsidP="004817AF">
      <w:pPr>
        <w:spacing w:before="120"/>
        <w:jc w:val="both"/>
        <w:rPr>
          <w:lang w:val="en-US"/>
        </w:rPr>
      </w:pPr>
      <w:r w:rsidRPr="00F45A80">
        <w:rPr>
          <w:lang w:val="en-US"/>
        </w:rPr>
        <w:t>- direct investments of enterprises of Uzbekistan abroad are insignificant. Moreover, the determination of their real volume from administrative data is not feasible.</w:t>
      </w:r>
    </w:p>
    <w:p w:rsidR="004817AF" w:rsidRPr="00F45A80" w:rsidRDefault="004817AF" w:rsidP="004817AF">
      <w:pPr>
        <w:spacing w:before="120"/>
        <w:jc w:val="both"/>
        <w:rPr>
          <w:i/>
          <w:lang w:val="en-US"/>
        </w:rPr>
      </w:pPr>
      <w:r w:rsidRPr="00F45A80">
        <w:rPr>
          <w:i/>
          <w:lang w:val="en-US"/>
        </w:rPr>
        <w:t>Portfolio investment</w:t>
      </w:r>
    </w:p>
    <w:p w:rsidR="004817AF" w:rsidRPr="004527DF" w:rsidRDefault="004817AF" w:rsidP="004817AF">
      <w:pPr>
        <w:spacing w:before="120"/>
        <w:jc w:val="both"/>
        <w:rPr>
          <w:i/>
          <w:lang w:val="uz-Cyrl-UZ"/>
        </w:rPr>
      </w:pPr>
      <w:r w:rsidRPr="00F45A80">
        <w:rPr>
          <w:lang w:val="en-US"/>
        </w:rPr>
        <w:t>- data on portfolio investments are generated by using the results of a survey conducted by the State Statistics Committee. The form of the survey is based on the reporting forms recommended by the International Monetary Fund. Information on portfolio investment in commercial banks and other non-bank financial institutions is received from commercial banks and other non-bank financial institutions</w:t>
      </w:r>
      <w:r w:rsidRPr="00F45A80">
        <w:rPr>
          <w:i/>
          <w:lang w:val="en-US"/>
        </w:rPr>
        <w:t>.</w:t>
      </w:r>
      <w:r>
        <w:rPr>
          <w:i/>
          <w:lang w:val="uz-Cyrl-UZ"/>
        </w:rPr>
        <w:t xml:space="preserve"> </w:t>
      </w:r>
      <w:r w:rsidRPr="00B75F3E">
        <w:rPr>
          <w:lang w:val="en-US"/>
        </w:rPr>
        <w:t xml:space="preserve">Data on market prices </w:t>
      </w:r>
      <w:r>
        <w:rPr>
          <w:lang w:val="en-US"/>
        </w:rPr>
        <w:t xml:space="preserve">of traded securities </w:t>
      </w:r>
      <w:r w:rsidRPr="00B75F3E">
        <w:rPr>
          <w:lang w:val="en-US"/>
        </w:rPr>
        <w:t>are derived from Bloomberg</w:t>
      </w:r>
      <w:r w:rsidRPr="00B75F3E">
        <w:rPr>
          <w:lang w:val="uz-Cyrl-UZ"/>
        </w:rPr>
        <w:t>.</w:t>
      </w:r>
    </w:p>
    <w:p w:rsidR="004817AF" w:rsidRDefault="004817AF" w:rsidP="004817AF">
      <w:pPr>
        <w:spacing w:before="120"/>
        <w:jc w:val="both"/>
        <w:rPr>
          <w:i/>
          <w:lang w:val="en-US"/>
        </w:rPr>
      </w:pPr>
    </w:p>
    <w:p w:rsidR="00470F0E" w:rsidRPr="00F45A80" w:rsidRDefault="00470F0E" w:rsidP="004817AF">
      <w:pPr>
        <w:spacing w:before="120"/>
        <w:jc w:val="both"/>
        <w:rPr>
          <w:i/>
          <w:lang w:val="en-US"/>
        </w:rPr>
      </w:pPr>
    </w:p>
    <w:p w:rsidR="004817AF" w:rsidRPr="00F45A80" w:rsidRDefault="004817AF" w:rsidP="004817AF">
      <w:pPr>
        <w:spacing w:before="120"/>
        <w:jc w:val="both"/>
        <w:rPr>
          <w:i/>
          <w:lang w:val="en-US"/>
        </w:rPr>
      </w:pPr>
      <w:r w:rsidRPr="00F45A80">
        <w:rPr>
          <w:i/>
          <w:lang w:val="en-US"/>
        </w:rPr>
        <w:lastRenderedPageBreak/>
        <w:t xml:space="preserve">Other investment </w:t>
      </w:r>
    </w:p>
    <w:p w:rsidR="004817AF" w:rsidRPr="004527DF" w:rsidRDefault="004817AF" w:rsidP="004817AF">
      <w:pPr>
        <w:spacing w:before="120"/>
        <w:jc w:val="both"/>
        <w:rPr>
          <w:lang w:val="uz-Cyrl-UZ"/>
        </w:rPr>
      </w:pPr>
      <w:r w:rsidRPr="00F45A80">
        <w:rPr>
          <w:lang w:val="en-US"/>
        </w:rPr>
        <w:t>- data on external loans and balances of correspondent accounts are formed on the basis of data of the Central Bank, the Ministry of Finance and commercial banks;</w:t>
      </w:r>
      <w:r>
        <w:rPr>
          <w:lang w:val="en-US"/>
        </w:rPr>
        <w:t xml:space="preserve"> </w:t>
      </w:r>
    </w:p>
    <w:p w:rsidR="004817AF" w:rsidRPr="00F45A80" w:rsidRDefault="004817AF" w:rsidP="004817AF">
      <w:pPr>
        <w:spacing w:before="120"/>
        <w:jc w:val="both"/>
        <w:rPr>
          <w:lang w:val="en-US"/>
        </w:rPr>
      </w:pPr>
      <w:r w:rsidRPr="00F45A80">
        <w:rPr>
          <w:lang w:val="en-US"/>
        </w:rPr>
        <w:t>- trade credits and advances are calculated on the basis of data received from commercial banks.</w:t>
      </w:r>
    </w:p>
    <w:p w:rsidR="004817AF" w:rsidRPr="00F45A80" w:rsidRDefault="004817AF" w:rsidP="004817AF">
      <w:pPr>
        <w:spacing w:before="120"/>
        <w:ind w:right="566"/>
        <w:rPr>
          <w:b/>
          <w:lang w:val="en-US"/>
        </w:rPr>
      </w:pPr>
      <w:r w:rsidRPr="00F45A80">
        <w:rPr>
          <w:b/>
          <w:lang w:val="en-US"/>
        </w:rPr>
        <w:t>Reserve assets</w:t>
      </w:r>
    </w:p>
    <w:p w:rsidR="004817AF" w:rsidRPr="00F45A80" w:rsidRDefault="004817AF" w:rsidP="004817AF">
      <w:pPr>
        <w:spacing w:before="120"/>
        <w:ind w:right="566"/>
        <w:rPr>
          <w:b/>
          <w:lang w:val="en-US"/>
        </w:rPr>
      </w:pPr>
      <w:r w:rsidRPr="00F45A80">
        <w:rPr>
          <w:lang w:val="en-US"/>
        </w:rPr>
        <w:t>- source of information on reserve assets is the Central Bank.</w:t>
      </w:r>
    </w:p>
    <w:p w:rsidR="004817AF" w:rsidRPr="00F45A80" w:rsidRDefault="004817AF" w:rsidP="004817AF">
      <w:pPr>
        <w:spacing w:before="120"/>
        <w:jc w:val="both"/>
        <w:rPr>
          <w:b/>
          <w:lang w:val="en-US"/>
        </w:rPr>
      </w:pPr>
      <w:r w:rsidRPr="00F45A80">
        <w:rPr>
          <w:b/>
          <w:lang w:val="en-US"/>
        </w:rPr>
        <w:t>1.3. Methodological standards of international investment position</w:t>
      </w:r>
    </w:p>
    <w:p w:rsidR="004817AF" w:rsidRPr="00F45A80" w:rsidRDefault="004817AF" w:rsidP="004817AF">
      <w:pPr>
        <w:spacing w:before="120"/>
        <w:jc w:val="both"/>
        <w:rPr>
          <w:lang w:val="en-US"/>
        </w:rPr>
      </w:pPr>
      <w:r w:rsidRPr="00F45A80">
        <w:rPr>
          <w:lang w:val="en-US"/>
        </w:rPr>
        <w:t>International Investment Position (IIP) of the Republic of Uzbekistan is compiled in accordance with the sixth edition of the Balance of Payments and International Investment Position Manual (BPM6, IMF,2009).</w:t>
      </w:r>
    </w:p>
    <w:p w:rsidR="004817AF" w:rsidRPr="00F45A80" w:rsidRDefault="004817AF" w:rsidP="004817AF">
      <w:pPr>
        <w:spacing w:before="120"/>
        <w:jc w:val="both"/>
        <w:rPr>
          <w:lang w:val="en-US"/>
        </w:rPr>
      </w:pPr>
      <w:r w:rsidRPr="00F45A80">
        <w:rPr>
          <w:lang w:val="en-US"/>
        </w:rPr>
        <w:t>The IIP shows the balance of the country's external financial assets and liabilities for a certain period of time. The IIP includes the full range of claims and obligations to non-residents from different institutional sectors: the Central Bank, depository corporations other than the Central Bank, the Government, and other sectors. The main articles of this report are identical to the articles of the financial account: direct investment, portfolio investment, financial derivatives, other investments and reserve assets.</w:t>
      </w:r>
    </w:p>
    <w:p w:rsidR="004817AF" w:rsidRPr="00F45A80" w:rsidRDefault="004817AF" w:rsidP="004817AF">
      <w:pPr>
        <w:spacing w:before="120"/>
        <w:jc w:val="both"/>
        <w:rPr>
          <w:lang w:val="en-US"/>
        </w:rPr>
      </w:pPr>
      <w:r w:rsidRPr="00F45A80">
        <w:rPr>
          <w:lang w:val="en-US"/>
        </w:rPr>
        <w:t>The difference between financial assets and liabilities of the economy is a net investment position. Thus, a sector in the IIP can either be a “net lender” or a “net borrower”.</w:t>
      </w:r>
    </w:p>
    <w:p w:rsidR="004817AF" w:rsidRDefault="004817AF" w:rsidP="004817AF">
      <w:pPr>
        <w:spacing w:before="120"/>
        <w:jc w:val="both"/>
        <w:rPr>
          <w:lang w:val="en-US"/>
        </w:rPr>
      </w:pPr>
      <w:r w:rsidRPr="00F45A80">
        <w:rPr>
          <w:lang w:val="en-US"/>
        </w:rPr>
        <w:t>The IIP is compiled in the form of a table reflecting flows and balances of operations.</w:t>
      </w:r>
    </w:p>
    <w:p w:rsidR="004817AF" w:rsidRPr="00F45A80" w:rsidRDefault="004817AF" w:rsidP="004817AF">
      <w:pPr>
        <w:spacing w:before="120"/>
        <w:jc w:val="both"/>
        <w:rPr>
          <w:b/>
          <w:lang w:val="en-US"/>
        </w:rPr>
      </w:pPr>
      <w:r>
        <w:rPr>
          <w:b/>
          <w:lang w:val="en-US"/>
        </w:rPr>
        <w:t xml:space="preserve">1.4. </w:t>
      </w:r>
      <w:r w:rsidRPr="00F45A80">
        <w:rPr>
          <w:b/>
          <w:lang w:val="en-US"/>
        </w:rPr>
        <w:t>Sources of information and the formation of data on the external debt of the Republic of Uzbekistan</w:t>
      </w:r>
    </w:p>
    <w:p w:rsidR="004817AF" w:rsidRPr="00F45A80" w:rsidRDefault="004817AF" w:rsidP="004817AF">
      <w:pPr>
        <w:spacing w:before="120"/>
        <w:jc w:val="both"/>
        <w:rPr>
          <w:lang w:val="en-US"/>
        </w:rPr>
      </w:pPr>
      <w:r w:rsidRPr="00F45A80">
        <w:rPr>
          <w:lang w:val="en-US"/>
        </w:rPr>
        <w:t xml:space="preserve">The external debt of the Republic of Uzbekistan consists of the outstanding balance of debt on foreign borrowings of residents of the Republic of Uzbekistan, as well as accrued but unpaid interest on those borrowings. External debt is divided into private sector external debt and government external debt. </w:t>
      </w:r>
    </w:p>
    <w:p w:rsidR="004817AF" w:rsidRPr="00F45A80" w:rsidRDefault="004817AF" w:rsidP="004817AF">
      <w:pPr>
        <w:spacing w:before="120"/>
        <w:jc w:val="both"/>
        <w:rPr>
          <w:lang w:val="en-US"/>
        </w:rPr>
      </w:pPr>
      <w:r w:rsidRPr="00F45A80">
        <w:rPr>
          <w:lang w:val="en-US"/>
        </w:rPr>
        <w:lastRenderedPageBreak/>
        <w:t>Government external debt includes loans received by the government or under the guarantee of the government of the Republic of Uzbekistan.</w:t>
      </w:r>
    </w:p>
    <w:p w:rsidR="004817AF" w:rsidRPr="00F45A80" w:rsidRDefault="004817AF" w:rsidP="004817AF">
      <w:pPr>
        <w:spacing w:before="120"/>
        <w:jc w:val="both"/>
        <w:rPr>
          <w:lang w:val="en-US"/>
        </w:rPr>
      </w:pPr>
      <w:r w:rsidRPr="00F45A80">
        <w:rPr>
          <w:lang w:val="en-US"/>
        </w:rPr>
        <w:t>The Ministry of Finance of the Republic of Uzbekistan provides data on the disbursements of funds, accrual of interest and payments related to the government external debt.</w:t>
      </w:r>
    </w:p>
    <w:p w:rsidR="004817AF" w:rsidRPr="00F45A80" w:rsidRDefault="004817AF" w:rsidP="004817AF">
      <w:pPr>
        <w:spacing w:before="120"/>
        <w:jc w:val="both"/>
        <w:rPr>
          <w:lang w:val="en-US"/>
        </w:rPr>
      </w:pPr>
      <w:r w:rsidRPr="00F45A80">
        <w:rPr>
          <w:lang w:val="en-US"/>
        </w:rPr>
        <w:t>The external debt of the private sector consists of external borrowings received without the guarantee of the government of the Republic of Uzbekistan, including debt on loans provided by foreign parent companies. Information on the external debt of the private sector is provided by commercial banks.</w:t>
      </w:r>
    </w:p>
    <w:p w:rsidR="004817AF" w:rsidRPr="00F45A80" w:rsidRDefault="004817AF" w:rsidP="004817AF">
      <w:pPr>
        <w:spacing w:before="120"/>
        <w:jc w:val="both"/>
        <w:rPr>
          <w:lang w:val="en-US"/>
        </w:rPr>
      </w:pPr>
      <w:r w:rsidRPr="00F45A80">
        <w:rPr>
          <w:lang w:val="en-US"/>
        </w:rPr>
        <w:t>Data on the external debt of the private sector are formed in the context of economic sectors (oil and gas and energy sector, banking, telecommunications, textile and other sectors).</w:t>
      </w:r>
    </w:p>
    <w:p w:rsidR="004817AF" w:rsidRDefault="004817AF" w:rsidP="004817AF">
      <w:pPr>
        <w:jc w:val="both"/>
        <w:rPr>
          <w:lang w:val="en-US"/>
        </w:rPr>
      </w:pPr>
      <w:r w:rsidRPr="00F45A80">
        <w:rPr>
          <w:lang w:val="en-US"/>
        </w:rPr>
        <w:t xml:space="preserve">Also, banks provide data on the forecasts relating to the future repayment of principal and interest. </w:t>
      </w:r>
    </w:p>
    <w:p w:rsidR="00DE36E4" w:rsidRDefault="00DE36E4" w:rsidP="00DE36E4">
      <w:pPr>
        <w:spacing w:before="120"/>
        <w:jc w:val="both"/>
        <w:rPr>
          <w:lang w:val="en-US"/>
        </w:rPr>
      </w:pPr>
      <w:r>
        <w:rPr>
          <w:lang w:val="en-US"/>
        </w:rPr>
        <w:t>Starting from 2020 along the transitioning to IMF Special data dissemination standart gross external debt is presented in accordance with External debt manual (IMF, 2013).</w:t>
      </w:r>
    </w:p>
    <w:p w:rsidR="00DE36E4" w:rsidRDefault="00DE36E4" w:rsidP="00DE36E4">
      <w:pPr>
        <w:spacing w:before="120"/>
        <w:jc w:val="both"/>
        <w:rPr>
          <w:lang w:val="en-US"/>
        </w:rPr>
      </w:pPr>
      <w:r>
        <w:rPr>
          <w:lang w:val="en-US"/>
        </w:rPr>
        <w:t>Following sectorization and detail is provided:</w:t>
      </w:r>
    </w:p>
    <w:p w:rsidR="00DE36E4" w:rsidRDefault="00DE36E4" w:rsidP="00DE36E4">
      <w:pPr>
        <w:pStyle w:val="af"/>
        <w:numPr>
          <w:ilvl w:val="0"/>
          <w:numId w:val="18"/>
        </w:numPr>
        <w:spacing w:before="120"/>
        <w:ind w:left="142" w:hanging="142"/>
        <w:jc w:val="both"/>
        <w:rPr>
          <w:lang w:val="en-US"/>
        </w:rPr>
      </w:pPr>
      <w:r>
        <w:rPr>
          <w:lang w:val="en-US"/>
        </w:rPr>
        <w:t>Sectors: General government sector, Central bank, Commercial banks, Other sectors.</w:t>
      </w:r>
    </w:p>
    <w:p w:rsidR="00DE36E4" w:rsidRDefault="00DE36E4" w:rsidP="00DE36E4">
      <w:pPr>
        <w:pStyle w:val="af"/>
        <w:numPr>
          <w:ilvl w:val="0"/>
          <w:numId w:val="18"/>
        </w:numPr>
        <w:spacing w:before="120"/>
        <w:ind w:left="142" w:hanging="142"/>
        <w:jc w:val="both"/>
        <w:rPr>
          <w:lang w:val="en-US"/>
        </w:rPr>
      </w:pPr>
      <w:r>
        <w:rPr>
          <w:lang w:val="en-US"/>
        </w:rPr>
        <w:t>Initial maturity: short term, long term.</w:t>
      </w:r>
    </w:p>
    <w:p w:rsidR="00DE36E4" w:rsidRDefault="00DE36E4" w:rsidP="00DE36E4">
      <w:pPr>
        <w:pStyle w:val="af"/>
        <w:numPr>
          <w:ilvl w:val="0"/>
          <w:numId w:val="18"/>
        </w:numPr>
        <w:spacing w:before="120"/>
        <w:ind w:left="142" w:hanging="142"/>
        <w:jc w:val="both"/>
        <w:rPr>
          <w:lang w:val="en-US"/>
        </w:rPr>
      </w:pPr>
      <w:r>
        <w:rPr>
          <w:lang w:val="en-US"/>
        </w:rPr>
        <w:t>Instruments: currency and deposits, debt securities, loans, trade credits and advances, other debt liabilities.</w:t>
      </w:r>
    </w:p>
    <w:p w:rsidR="00DE36E4" w:rsidRDefault="00DE36E4" w:rsidP="00DE36E4">
      <w:pPr>
        <w:spacing w:before="120"/>
        <w:jc w:val="both"/>
        <w:rPr>
          <w:lang w:val="en-US"/>
        </w:rPr>
      </w:pPr>
      <w:r>
        <w:rPr>
          <w:lang w:val="en-US"/>
        </w:rPr>
        <w:t>Debt securities are provided at market value; memorandum shows debt secutirites in nominal value with accrued interest.</w:t>
      </w:r>
    </w:p>
    <w:p w:rsidR="00DE36E4" w:rsidRPr="00DE36E4" w:rsidRDefault="00DE36E4" w:rsidP="00DE36E4">
      <w:pPr>
        <w:spacing w:before="120"/>
        <w:jc w:val="both"/>
        <w:rPr>
          <w:lang w:val="en-US"/>
        </w:rPr>
      </w:pPr>
      <w:r>
        <w:rPr>
          <w:lang w:val="en-US"/>
        </w:rPr>
        <w:t>Intragroup financing (ex. loans from parent companies) are shown in separate line.</w:t>
      </w:r>
    </w:p>
    <w:p w:rsidR="00DE36E4" w:rsidRPr="00F45A80" w:rsidRDefault="00DE36E4" w:rsidP="004817AF">
      <w:pPr>
        <w:jc w:val="both"/>
        <w:rPr>
          <w:lang w:val="en-US"/>
        </w:rPr>
      </w:pPr>
    </w:p>
    <w:p w:rsidR="004817AF" w:rsidRPr="00F45A80" w:rsidRDefault="004817AF" w:rsidP="004817AF">
      <w:pPr>
        <w:spacing w:before="120"/>
        <w:jc w:val="both"/>
        <w:rPr>
          <w:b/>
          <w:lang w:val="en-US"/>
        </w:rPr>
      </w:pPr>
      <w:r w:rsidRPr="00F45A80">
        <w:rPr>
          <w:b/>
          <w:lang w:val="en-US"/>
        </w:rPr>
        <w:t>1.5. Legal basis of data compilation</w:t>
      </w:r>
    </w:p>
    <w:p w:rsidR="004817AF" w:rsidRPr="00F45A80" w:rsidRDefault="004817AF" w:rsidP="004817AF">
      <w:pPr>
        <w:spacing w:before="120"/>
        <w:jc w:val="both"/>
        <w:rPr>
          <w:rFonts w:cs="Arial"/>
          <w:lang w:val="en-US"/>
        </w:rPr>
      </w:pPr>
      <w:r w:rsidRPr="00FE1C87">
        <w:rPr>
          <w:rFonts w:cs="Arial"/>
          <w:lang w:val="en-US"/>
        </w:rPr>
        <w:t>1</w:t>
      </w:r>
      <w:r w:rsidRPr="00B75F3E">
        <w:rPr>
          <w:rFonts w:cs="Arial"/>
          <w:lang w:val="en-US"/>
        </w:rPr>
        <w:t xml:space="preserve">. Laws of the Republic of Uzbekistan </w:t>
      </w:r>
      <w:r w:rsidRPr="00F45A80">
        <w:rPr>
          <w:lang w:val="en-US"/>
        </w:rPr>
        <w:t>«</w:t>
      </w:r>
      <w:r>
        <w:rPr>
          <w:rFonts w:cs="Arial"/>
          <w:lang w:val="en-US"/>
        </w:rPr>
        <w:t xml:space="preserve">On the </w:t>
      </w:r>
      <w:r w:rsidRPr="00B75F3E">
        <w:rPr>
          <w:rFonts w:cs="Arial"/>
          <w:lang w:val="en-US"/>
        </w:rPr>
        <w:t>Central bank of the Republic of Uzbekistan</w:t>
      </w:r>
      <w:r w:rsidRPr="00F45A80">
        <w:rPr>
          <w:lang w:val="en-US"/>
        </w:rPr>
        <w:t>»</w:t>
      </w:r>
      <w:r w:rsidRPr="00B75F3E">
        <w:rPr>
          <w:rFonts w:cs="Arial"/>
          <w:lang w:val="en-US"/>
        </w:rPr>
        <w:t xml:space="preserve"> and </w:t>
      </w:r>
      <w:r w:rsidRPr="00F45A80">
        <w:rPr>
          <w:lang w:val="en-US"/>
        </w:rPr>
        <w:t>«</w:t>
      </w:r>
      <w:r>
        <w:rPr>
          <w:rFonts w:cs="Arial"/>
          <w:lang w:val="en-US"/>
        </w:rPr>
        <w:t>On c</w:t>
      </w:r>
      <w:r w:rsidRPr="00B75F3E">
        <w:rPr>
          <w:rFonts w:cs="Arial"/>
          <w:lang w:val="en-US"/>
        </w:rPr>
        <w:t>urrency regulation</w:t>
      </w:r>
      <w:r w:rsidRPr="00F45A80">
        <w:rPr>
          <w:lang w:val="en-US"/>
        </w:rPr>
        <w:t>»</w:t>
      </w:r>
      <w:r>
        <w:rPr>
          <w:rFonts w:cs="Arial"/>
          <w:lang w:val="en-US"/>
        </w:rPr>
        <w:t xml:space="preserve"> (new edition).</w:t>
      </w:r>
    </w:p>
    <w:p w:rsidR="004817AF" w:rsidRPr="00F45A80" w:rsidRDefault="004817AF" w:rsidP="004817AF">
      <w:pPr>
        <w:spacing w:before="120"/>
        <w:jc w:val="both"/>
        <w:rPr>
          <w:lang w:val="en-US"/>
        </w:rPr>
      </w:pPr>
      <w:r w:rsidRPr="00FE1C87">
        <w:rPr>
          <w:lang w:val="en-US"/>
        </w:rPr>
        <w:t>2</w:t>
      </w:r>
      <w:r w:rsidRPr="00F45A80">
        <w:rPr>
          <w:lang w:val="en-US"/>
        </w:rPr>
        <w:t xml:space="preserve">. Decree by the President of the Republic of Uzbekistan dated January 9, 2018 № УП-5296 </w:t>
      </w:r>
      <w:r w:rsidRPr="00F45A80">
        <w:rPr>
          <w:lang w:val="en-US"/>
        </w:rPr>
        <w:br/>
      </w:r>
      <w:r w:rsidRPr="00F45A80">
        <w:rPr>
          <w:lang w:val="en-US"/>
        </w:rPr>
        <w:lastRenderedPageBreak/>
        <w:t>«On measures for fundamental improvement of activities of the Central bank of Uzbekistan.</w:t>
      </w:r>
    </w:p>
    <w:p w:rsidR="004817AF" w:rsidRPr="00F45A80" w:rsidRDefault="004817AF" w:rsidP="004817AF">
      <w:pPr>
        <w:spacing w:before="120"/>
        <w:jc w:val="both"/>
        <w:rPr>
          <w:lang w:val="en-US"/>
        </w:rPr>
      </w:pPr>
      <w:r w:rsidRPr="00FE1C87">
        <w:rPr>
          <w:lang w:val="en-US"/>
        </w:rPr>
        <w:t>3</w:t>
      </w:r>
      <w:r w:rsidRPr="00F45A80">
        <w:rPr>
          <w:lang w:val="en-US"/>
        </w:rPr>
        <w:t xml:space="preserve">. Decree by the President of the Republic of Uzbekistan dated September 12, 2017 </w:t>
      </w:r>
      <w:r w:rsidRPr="00F45A80">
        <w:rPr>
          <w:lang w:val="en-US"/>
        </w:rPr>
        <w:br/>
        <w:t>№ Р-5054 «On measures to ensure openness and transparency of economic and financial data on Republic of Uzbekistan»</w:t>
      </w:r>
    </w:p>
    <w:p w:rsidR="004817AF" w:rsidRPr="00F45A80" w:rsidRDefault="004817AF" w:rsidP="004817AF">
      <w:pPr>
        <w:spacing w:before="120"/>
        <w:jc w:val="both"/>
        <w:rPr>
          <w:lang w:val="en-US"/>
        </w:rPr>
      </w:pPr>
      <w:r w:rsidRPr="00016AF1">
        <w:rPr>
          <w:lang w:val="en-US"/>
        </w:rPr>
        <w:t>4</w:t>
      </w:r>
      <w:r w:rsidRPr="00F45A80">
        <w:rPr>
          <w:lang w:val="en-US"/>
        </w:rPr>
        <w:t xml:space="preserve">. Decree of the Cabinet of Ministers </w:t>
      </w:r>
      <w:r w:rsidRPr="00F45A80">
        <w:rPr>
          <w:lang w:val="en-US"/>
        </w:rPr>
        <w:br/>
        <w:t xml:space="preserve">of Uzbekistan dated April 3, 2018 № 263 </w:t>
      </w:r>
      <w:r w:rsidRPr="00F45A80">
        <w:rPr>
          <w:lang w:val="en-US"/>
        </w:rPr>
        <w:br/>
        <w:t>«On measures to ensure compilation of external sector statistics of the Republic of Uzbekistan».</w:t>
      </w:r>
    </w:p>
    <w:p w:rsidR="004817AF" w:rsidRDefault="004817AF" w:rsidP="004817AF">
      <w:pPr>
        <w:spacing w:before="120"/>
        <w:jc w:val="both"/>
        <w:rPr>
          <w:rFonts w:cs="Arial"/>
          <w:lang w:val="en-US"/>
        </w:rPr>
      </w:pPr>
    </w:p>
    <w:p w:rsidR="004817AF" w:rsidRDefault="004817AF" w:rsidP="004817AF">
      <w:pPr>
        <w:spacing w:before="120"/>
        <w:jc w:val="both"/>
        <w:rPr>
          <w:rFonts w:cs="Arial"/>
          <w:lang w:val="en-US"/>
        </w:rPr>
      </w:pPr>
    </w:p>
    <w:p w:rsidR="004817AF" w:rsidRDefault="004817AF" w:rsidP="004817AF">
      <w:pPr>
        <w:spacing w:before="120"/>
        <w:jc w:val="both"/>
        <w:rPr>
          <w:rFonts w:cs="Arial"/>
          <w:lang w:val="en-US"/>
        </w:rPr>
      </w:pPr>
    </w:p>
    <w:p w:rsidR="004817AF" w:rsidRDefault="004817AF" w:rsidP="004817AF">
      <w:pPr>
        <w:spacing w:before="120"/>
        <w:jc w:val="both"/>
        <w:rPr>
          <w:rFonts w:cs="Arial"/>
          <w:lang w:val="en-US"/>
        </w:rPr>
      </w:pPr>
    </w:p>
    <w:p w:rsidR="004817AF" w:rsidRDefault="004817AF" w:rsidP="004817AF">
      <w:pPr>
        <w:spacing w:before="120"/>
        <w:jc w:val="both"/>
        <w:rPr>
          <w:rFonts w:cs="Arial"/>
          <w:lang w:val="en-US"/>
        </w:rPr>
      </w:pPr>
    </w:p>
    <w:p w:rsidR="004817AF" w:rsidRDefault="004817AF" w:rsidP="004817AF">
      <w:pPr>
        <w:spacing w:before="120"/>
        <w:jc w:val="both"/>
        <w:rPr>
          <w:rFonts w:cs="Arial"/>
          <w:lang w:val="en-US"/>
        </w:rPr>
      </w:pPr>
    </w:p>
    <w:p w:rsidR="004817AF" w:rsidRDefault="004817AF" w:rsidP="004817AF">
      <w:pPr>
        <w:spacing w:before="120"/>
        <w:jc w:val="both"/>
        <w:rPr>
          <w:rFonts w:cs="Arial"/>
          <w:lang w:val="en-US"/>
        </w:rPr>
      </w:pPr>
    </w:p>
    <w:p w:rsidR="004817AF" w:rsidRDefault="004817AF" w:rsidP="004817AF">
      <w:pPr>
        <w:spacing w:before="120"/>
        <w:jc w:val="both"/>
        <w:rPr>
          <w:rFonts w:cs="Arial"/>
          <w:lang w:val="en-US"/>
        </w:rPr>
      </w:pPr>
    </w:p>
    <w:p w:rsidR="004817AF" w:rsidRDefault="004817AF" w:rsidP="004817AF">
      <w:pPr>
        <w:spacing w:before="120"/>
        <w:jc w:val="both"/>
        <w:rPr>
          <w:rFonts w:cs="Arial"/>
          <w:lang w:val="en-US"/>
        </w:rPr>
      </w:pPr>
    </w:p>
    <w:p w:rsidR="004817AF" w:rsidRDefault="004817AF" w:rsidP="004817AF">
      <w:pPr>
        <w:spacing w:before="120"/>
        <w:jc w:val="both"/>
        <w:rPr>
          <w:rFonts w:cs="Arial"/>
          <w:lang w:val="en-US"/>
        </w:rPr>
      </w:pPr>
    </w:p>
    <w:p w:rsidR="004817AF" w:rsidRDefault="004817AF" w:rsidP="004817AF">
      <w:pPr>
        <w:spacing w:before="120"/>
        <w:jc w:val="both"/>
        <w:rPr>
          <w:rFonts w:cs="Arial"/>
          <w:lang w:val="en-US"/>
        </w:rPr>
      </w:pPr>
    </w:p>
    <w:p w:rsidR="004817AF" w:rsidRDefault="004817AF" w:rsidP="004817AF">
      <w:pPr>
        <w:spacing w:before="120"/>
        <w:jc w:val="both"/>
        <w:rPr>
          <w:rFonts w:cs="Arial"/>
          <w:lang w:val="en-US"/>
        </w:rPr>
      </w:pPr>
    </w:p>
    <w:p w:rsidR="004817AF" w:rsidRDefault="004817AF" w:rsidP="004817AF">
      <w:pPr>
        <w:spacing w:before="120"/>
        <w:jc w:val="both"/>
        <w:rPr>
          <w:rFonts w:cs="Arial"/>
          <w:lang w:val="en-US"/>
        </w:rPr>
      </w:pPr>
    </w:p>
    <w:p w:rsidR="004817AF" w:rsidRPr="00F45A80" w:rsidRDefault="004817AF" w:rsidP="004817AF">
      <w:pPr>
        <w:spacing w:before="120"/>
        <w:jc w:val="both"/>
        <w:rPr>
          <w:rFonts w:cs="Arial"/>
          <w:lang w:val="en-US"/>
        </w:rPr>
      </w:pPr>
    </w:p>
    <w:p w:rsidR="004817AF" w:rsidRPr="00F45A80" w:rsidRDefault="004817AF" w:rsidP="004817AF">
      <w:pPr>
        <w:spacing w:before="120"/>
        <w:jc w:val="both"/>
        <w:rPr>
          <w:rFonts w:cs="Arial"/>
          <w:lang w:val="en-US"/>
        </w:rPr>
      </w:pPr>
    </w:p>
    <w:p w:rsidR="004817AF" w:rsidRPr="00F45A80" w:rsidRDefault="004817AF" w:rsidP="004817AF">
      <w:pPr>
        <w:spacing w:before="120"/>
        <w:jc w:val="both"/>
        <w:rPr>
          <w:rFonts w:cs="Arial"/>
          <w:lang w:val="en-US"/>
        </w:rPr>
        <w:sectPr w:rsidR="004817AF" w:rsidRPr="00F45A80" w:rsidSect="00355F78">
          <w:type w:val="continuous"/>
          <w:pgSz w:w="11906" w:h="16838" w:code="9"/>
          <w:pgMar w:top="1134" w:right="851" w:bottom="1134" w:left="1134" w:header="709" w:footer="664" w:gutter="0"/>
          <w:cols w:num="2" w:space="281"/>
          <w:titlePg/>
          <w:docGrid w:linePitch="360"/>
        </w:sectPr>
      </w:pPr>
    </w:p>
    <w:p w:rsidR="004817AF" w:rsidRPr="00F45A80" w:rsidRDefault="004817AF" w:rsidP="00470F0E">
      <w:pPr>
        <w:pStyle w:val="1"/>
        <w:spacing w:before="60" w:after="120"/>
        <w:ind w:left="709"/>
        <w:rPr>
          <w:rFonts w:ascii="Calibri" w:hAnsi="Calibri" w:cs="Calibri"/>
          <w:lang w:val="en-US"/>
        </w:rPr>
      </w:pPr>
      <w:bookmarkStart w:id="46" w:name="_Toc36453593"/>
      <w:bookmarkStart w:id="47" w:name="_Toc67050820"/>
      <w:r w:rsidRPr="00F45A80">
        <w:rPr>
          <w:rFonts w:ascii="Calibri" w:hAnsi="Calibri" w:cs="Calibri"/>
          <w:lang w:val="en-US"/>
        </w:rPr>
        <w:lastRenderedPageBreak/>
        <w:t>GLOSSARY OF TERMS</w:t>
      </w:r>
      <w:bookmarkEnd w:id="46"/>
      <w:bookmarkEnd w:id="47"/>
    </w:p>
    <w:tbl>
      <w:tblPr>
        <w:tblW w:w="0" w:type="auto"/>
        <w:tblBorders>
          <w:top w:val="single" w:sz="4" w:space="0" w:color="4472C4"/>
          <w:left w:val="single" w:sz="4" w:space="0" w:color="4472C4"/>
          <w:bottom w:val="single" w:sz="4" w:space="0" w:color="4472C4"/>
          <w:right w:val="single" w:sz="4" w:space="0" w:color="4472C4"/>
        </w:tblBorders>
        <w:tblLook w:val="00A0" w:firstRow="1" w:lastRow="0" w:firstColumn="1" w:lastColumn="0" w:noHBand="0" w:noVBand="0"/>
      </w:tblPr>
      <w:tblGrid>
        <w:gridCol w:w="2717"/>
        <w:gridCol w:w="7153"/>
      </w:tblGrid>
      <w:tr w:rsidR="004817AF" w:rsidRPr="00D5309B" w:rsidTr="00470F0E">
        <w:trPr>
          <w:trHeight w:val="488"/>
        </w:trPr>
        <w:tc>
          <w:tcPr>
            <w:tcW w:w="2717" w:type="dxa"/>
            <w:tcBorders>
              <w:bottom w:val="nil"/>
              <w:right w:val="nil"/>
            </w:tcBorders>
            <w:shd w:val="clear" w:color="auto" w:fill="9CC2E5"/>
            <w:vAlign w:val="center"/>
          </w:tcPr>
          <w:p w:rsidR="004817AF" w:rsidRPr="00D5309B" w:rsidRDefault="004817AF" w:rsidP="00C957A2">
            <w:pPr>
              <w:spacing w:before="60" w:after="60"/>
              <w:jc w:val="center"/>
              <w:rPr>
                <w:rFonts w:cs="Calibri"/>
                <w:b/>
                <w:bCs/>
                <w:color w:val="000000"/>
                <w:lang w:val="en-US"/>
              </w:rPr>
            </w:pPr>
            <w:r w:rsidRPr="00D5309B">
              <w:rPr>
                <w:rFonts w:cs="Calibri"/>
                <w:b/>
                <w:bCs/>
                <w:color w:val="000000"/>
                <w:lang w:val="en-US"/>
              </w:rPr>
              <w:t>Term</w:t>
            </w:r>
          </w:p>
        </w:tc>
        <w:tc>
          <w:tcPr>
            <w:tcW w:w="7153" w:type="dxa"/>
            <w:shd w:val="clear" w:color="auto" w:fill="9CC2E5"/>
            <w:vAlign w:val="center"/>
          </w:tcPr>
          <w:p w:rsidR="004817AF" w:rsidRPr="00D5309B" w:rsidRDefault="004817AF" w:rsidP="00C957A2">
            <w:pPr>
              <w:spacing w:before="60" w:after="60"/>
              <w:jc w:val="center"/>
              <w:rPr>
                <w:rFonts w:cs="Calibri"/>
                <w:b/>
                <w:bCs/>
                <w:color w:val="000000"/>
                <w:lang w:val="en-US"/>
              </w:rPr>
            </w:pPr>
            <w:r w:rsidRPr="00D5309B">
              <w:rPr>
                <w:rFonts w:cs="Calibri"/>
                <w:b/>
                <w:bCs/>
                <w:color w:val="000000"/>
                <w:lang w:val="en-US"/>
              </w:rPr>
              <w:t>Description</w:t>
            </w:r>
          </w:p>
        </w:tc>
      </w:tr>
      <w:tr w:rsidR="004817AF" w:rsidRPr="00D040FC" w:rsidTr="00470F0E">
        <w:trPr>
          <w:trHeight w:val="740"/>
        </w:trPr>
        <w:tc>
          <w:tcPr>
            <w:tcW w:w="2717" w:type="dxa"/>
            <w:tcBorders>
              <w:right w:val="nil"/>
            </w:tcBorders>
            <w:shd w:val="clear" w:color="auto" w:fill="FFFFFF"/>
          </w:tcPr>
          <w:p w:rsidR="004817AF" w:rsidRPr="00D5309B" w:rsidRDefault="004817AF" w:rsidP="00C957A2">
            <w:pPr>
              <w:spacing w:before="60" w:after="60"/>
              <w:rPr>
                <w:rFonts w:cs="Calibri"/>
                <w:b/>
                <w:bCs/>
                <w:color w:val="000000"/>
                <w:lang w:val="en-US"/>
              </w:rPr>
            </w:pPr>
            <w:r w:rsidRPr="00D5309B">
              <w:rPr>
                <w:rFonts w:cs="Calibri"/>
                <w:b/>
                <w:bCs/>
                <w:color w:val="000000"/>
                <w:lang w:val="en-US"/>
              </w:rPr>
              <w:t>Cross-border money remittances</w:t>
            </w:r>
          </w:p>
        </w:tc>
        <w:tc>
          <w:tcPr>
            <w:tcW w:w="7153" w:type="dxa"/>
            <w:shd w:val="clear" w:color="auto" w:fill="auto"/>
          </w:tcPr>
          <w:p w:rsidR="004817AF" w:rsidRPr="00D5309B" w:rsidRDefault="004817AF" w:rsidP="00C957A2">
            <w:pPr>
              <w:spacing w:before="60" w:after="60"/>
              <w:jc w:val="both"/>
              <w:rPr>
                <w:rFonts w:cs="Calibri"/>
                <w:color w:val="000000"/>
                <w:lang w:val="en-US"/>
              </w:rPr>
            </w:pPr>
            <w:r w:rsidRPr="00D5309B">
              <w:rPr>
                <w:rFonts w:cs="Calibri"/>
                <w:color w:val="000000"/>
                <w:lang w:val="en-US"/>
              </w:rPr>
              <w:t>Transfer of funds from sender to recipient through international payment systems in order to replenish to the recipient’s account or issue in cash.</w:t>
            </w:r>
          </w:p>
        </w:tc>
      </w:tr>
      <w:tr w:rsidR="004817AF" w:rsidRPr="00D040FC" w:rsidTr="00470F0E">
        <w:trPr>
          <w:trHeight w:val="370"/>
        </w:trPr>
        <w:tc>
          <w:tcPr>
            <w:tcW w:w="2717" w:type="dxa"/>
            <w:tcBorders>
              <w:top w:val="single" w:sz="4" w:space="0" w:color="4472C4"/>
              <w:bottom w:val="single" w:sz="4" w:space="0" w:color="4472C4"/>
              <w:right w:val="nil"/>
            </w:tcBorders>
            <w:shd w:val="clear" w:color="auto" w:fill="FFFFFF"/>
          </w:tcPr>
          <w:p w:rsidR="004817AF" w:rsidRPr="00D5309B" w:rsidRDefault="004817AF" w:rsidP="00C957A2">
            <w:pPr>
              <w:spacing w:before="60" w:after="60"/>
              <w:rPr>
                <w:rFonts w:cs="Calibri"/>
                <w:b/>
                <w:bCs/>
                <w:color w:val="000000"/>
                <w:lang w:val="en-US"/>
              </w:rPr>
            </w:pPr>
            <w:r w:rsidRPr="00D5309B">
              <w:rPr>
                <w:rFonts w:cs="Calibri"/>
                <w:b/>
                <w:bCs/>
                <w:color w:val="000000"/>
                <w:lang w:val="en-US"/>
              </w:rPr>
              <w:t xml:space="preserve">Factor income </w:t>
            </w:r>
          </w:p>
        </w:tc>
        <w:tc>
          <w:tcPr>
            <w:tcW w:w="7153" w:type="dxa"/>
            <w:tcBorders>
              <w:top w:val="single" w:sz="4" w:space="0" w:color="4472C4"/>
              <w:bottom w:val="single" w:sz="4" w:space="0" w:color="4472C4"/>
            </w:tcBorders>
            <w:shd w:val="clear" w:color="auto" w:fill="auto"/>
          </w:tcPr>
          <w:p w:rsidR="004817AF" w:rsidRPr="00D5309B" w:rsidRDefault="004817AF" w:rsidP="00C957A2">
            <w:pPr>
              <w:spacing w:before="60" w:after="60"/>
              <w:jc w:val="both"/>
              <w:rPr>
                <w:rFonts w:cs="Calibri"/>
                <w:color w:val="000000"/>
                <w:lang w:val="en-US"/>
              </w:rPr>
            </w:pPr>
            <w:r w:rsidRPr="00D5309B">
              <w:rPr>
                <w:rFonts w:cs="Calibri"/>
                <w:color w:val="000000"/>
                <w:shd w:val="clear" w:color="auto" w:fill="FFFFFF"/>
                <w:lang w:val="en-US"/>
              </w:rPr>
              <w:t>Income derived from resource exploitation or production factors (land, labor, capital).</w:t>
            </w:r>
          </w:p>
        </w:tc>
      </w:tr>
      <w:tr w:rsidR="004817AF" w:rsidRPr="005B7BB8" w:rsidTr="00470F0E">
        <w:trPr>
          <w:trHeight w:val="370"/>
        </w:trPr>
        <w:tc>
          <w:tcPr>
            <w:tcW w:w="2717" w:type="dxa"/>
            <w:tcBorders>
              <w:right w:val="nil"/>
            </w:tcBorders>
            <w:shd w:val="clear" w:color="auto" w:fill="FFFFFF"/>
          </w:tcPr>
          <w:p w:rsidR="004817AF" w:rsidRPr="00D5309B" w:rsidRDefault="004817AF" w:rsidP="00C957A2">
            <w:pPr>
              <w:spacing w:before="60" w:after="60"/>
              <w:rPr>
                <w:rFonts w:cs="Calibri"/>
                <w:b/>
                <w:bCs/>
                <w:color w:val="000000"/>
                <w:lang w:val="en-US"/>
              </w:rPr>
            </w:pPr>
            <w:r w:rsidRPr="00D5309B">
              <w:rPr>
                <w:rFonts w:cs="Calibri"/>
                <w:b/>
                <w:bCs/>
                <w:color w:val="000000"/>
                <w:lang w:val="en-US"/>
              </w:rPr>
              <w:t xml:space="preserve">Foreign trade turnover </w:t>
            </w:r>
          </w:p>
        </w:tc>
        <w:tc>
          <w:tcPr>
            <w:tcW w:w="7153" w:type="dxa"/>
            <w:shd w:val="clear" w:color="auto" w:fill="auto"/>
          </w:tcPr>
          <w:p w:rsidR="004817AF" w:rsidRPr="00D5309B" w:rsidRDefault="004817AF" w:rsidP="00C957A2">
            <w:pPr>
              <w:spacing w:before="60" w:after="60"/>
              <w:jc w:val="both"/>
              <w:rPr>
                <w:rFonts w:cs="Calibri"/>
                <w:color w:val="000000"/>
                <w:lang w:val="en-US"/>
              </w:rPr>
            </w:pPr>
            <w:r w:rsidRPr="00D5309B">
              <w:rPr>
                <w:rFonts w:cs="Calibri"/>
                <w:color w:val="000000"/>
                <w:lang w:val="en-US"/>
              </w:rPr>
              <w:t>Economic indicator which measured in money equivalent to identify volume of foreign trade of country, group of countries or administrative-territorial formation (region) for a certain period of time: month, quarter, year. Turnover is equal to sum of export and import.</w:t>
            </w:r>
          </w:p>
        </w:tc>
      </w:tr>
      <w:tr w:rsidR="004817AF" w:rsidRPr="00D040FC" w:rsidTr="00470F0E">
        <w:trPr>
          <w:trHeight w:val="370"/>
        </w:trPr>
        <w:tc>
          <w:tcPr>
            <w:tcW w:w="2717" w:type="dxa"/>
            <w:tcBorders>
              <w:top w:val="single" w:sz="4" w:space="0" w:color="4472C4"/>
              <w:bottom w:val="single" w:sz="4" w:space="0" w:color="4472C4"/>
              <w:right w:val="nil"/>
            </w:tcBorders>
            <w:shd w:val="clear" w:color="auto" w:fill="FFFFFF"/>
          </w:tcPr>
          <w:p w:rsidR="004817AF" w:rsidRPr="00D5309B" w:rsidRDefault="004817AF" w:rsidP="00C957A2">
            <w:pPr>
              <w:spacing w:before="60" w:after="60"/>
              <w:rPr>
                <w:rFonts w:cs="Calibri"/>
                <w:b/>
                <w:bCs/>
                <w:color w:val="000000"/>
                <w:lang w:val="en-US"/>
              </w:rPr>
            </w:pPr>
            <w:r w:rsidRPr="00D5309B">
              <w:rPr>
                <w:rFonts w:cs="Calibri"/>
                <w:b/>
                <w:bCs/>
                <w:color w:val="000000"/>
                <w:lang w:val="en-US"/>
              </w:rPr>
              <w:t xml:space="preserve">Adjustments in balance of payments </w:t>
            </w:r>
          </w:p>
        </w:tc>
        <w:tc>
          <w:tcPr>
            <w:tcW w:w="7153" w:type="dxa"/>
            <w:tcBorders>
              <w:top w:val="single" w:sz="4" w:space="0" w:color="4472C4"/>
              <w:bottom w:val="single" w:sz="4" w:space="0" w:color="4472C4"/>
            </w:tcBorders>
            <w:shd w:val="clear" w:color="auto" w:fill="auto"/>
          </w:tcPr>
          <w:p w:rsidR="004817AF" w:rsidRPr="00D5309B" w:rsidRDefault="004817AF" w:rsidP="00C957A2">
            <w:pPr>
              <w:spacing w:before="60" w:after="60"/>
              <w:jc w:val="both"/>
              <w:rPr>
                <w:rFonts w:cs="Calibri"/>
                <w:color w:val="000000"/>
                <w:lang w:val="en-US"/>
              </w:rPr>
            </w:pPr>
            <w:r w:rsidRPr="00D5309B">
              <w:rPr>
                <w:rFonts w:cs="Calibri"/>
                <w:color w:val="000000"/>
                <w:lang w:val="en-US"/>
              </w:rPr>
              <w:t>Necessary changes in coverage, classification, date of reporting or changes in price evaluation to meet requirements of balance of payments.</w:t>
            </w:r>
          </w:p>
        </w:tc>
      </w:tr>
      <w:tr w:rsidR="004817AF" w:rsidRPr="00D040FC" w:rsidTr="00470F0E">
        <w:trPr>
          <w:trHeight w:val="370"/>
        </w:trPr>
        <w:tc>
          <w:tcPr>
            <w:tcW w:w="2717" w:type="dxa"/>
            <w:tcBorders>
              <w:right w:val="nil"/>
            </w:tcBorders>
            <w:shd w:val="clear" w:color="auto" w:fill="FFFFFF"/>
          </w:tcPr>
          <w:p w:rsidR="004817AF" w:rsidRPr="00D5309B" w:rsidRDefault="004817AF" w:rsidP="00C957A2">
            <w:pPr>
              <w:spacing w:before="60" w:after="60"/>
              <w:rPr>
                <w:rFonts w:cs="Calibri"/>
                <w:b/>
                <w:bCs/>
                <w:color w:val="000000"/>
                <w:lang w:val="en-US"/>
              </w:rPr>
            </w:pPr>
            <w:r w:rsidRPr="00D5309B">
              <w:rPr>
                <w:rFonts w:cs="Calibri"/>
                <w:b/>
                <w:bCs/>
                <w:color w:val="000000"/>
                <w:lang w:val="en-US"/>
              </w:rPr>
              <w:t>Shuttle trade</w:t>
            </w:r>
          </w:p>
        </w:tc>
        <w:tc>
          <w:tcPr>
            <w:tcW w:w="7153" w:type="dxa"/>
            <w:shd w:val="clear" w:color="auto" w:fill="auto"/>
          </w:tcPr>
          <w:p w:rsidR="004817AF" w:rsidRPr="00D5309B" w:rsidRDefault="004817AF" w:rsidP="00C957A2">
            <w:pPr>
              <w:shd w:val="clear" w:color="auto" w:fill="F8F9FA"/>
              <w:spacing w:before="60" w:after="60"/>
              <w:jc w:val="both"/>
              <w:rPr>
                <w:rFonts w:cs="Calibri"/>
                <w:color w:val="000000"/>
                <w:lang w:val="en-US"/>
              </w:rPr>
            </w:pPr>
            <w:r w:rsidRPr="00D5309B">
              <w:rPr>
                <w:rFonts w:cs="Calibri"/>
                <w:color w:val="000000"/>
                <w:lang w:val="en-US"/>
              </w:rPr>
              <w:t>Refers to the activity in which individuals buy goods abroad and bring them for resale in domestic markets or vice versa.</w:t>
            </w:r>
          </w:p>
        </w:tc>
      </w:tr>
      <w:tr w:rsidR="004817AF" w:rsidRPr="00D040FC" w:rsidTr="00470F0E">
        <w:trPr>
          <w:trHeight w:val="335"/>
        </w:trPr>
        <w:tc>
          <w:tcPr>
            <w:tcW w:w="2717" w:type="dxa"/>
            <w:tcBorders>
              <w:top w:val="single" w:sz="4" w:space="0" w:color="4472C4"/>
              <w:bottom w:val="single" w:sz="4" w:space="0" w:color="4472C4"/>
              <w:right w:val="nil"/>
            </w:tcBorders>
            <w:shd w:val="clear" w:color="auto" w:fill="FFFFFF"/>
          </w:tcPr>
          <w:p w:rsidR="004817AF" w:rsidRPr="00D5309B" w:rsidRDefault="004817AF" w:rsidP="00C957A2">
            <w:pPr>
              <w:spacing w:before="60" w:after="60"/>
              <w:rPr>
                <w:rFonts w:cs="Calibri"/>
                <w:b/>
                <w:bCs/>
                <w:color w:val="000000"/>
                <w:lang w:val="en-US"/>
              </w:rPr>
            </w:pPr>
            <w:r w:rsidRPr="00D5309B">
              <w:rPr>
                <w:rFonts w:cs="Calibri"/>
                <w:b/>
                <w:bCs/>
                <w:color w:val="000000"/>
                <w:lang w:val="en-US"/>
              </w:rPr>
              <w:t>Export FOB</w:t>
            </w:r>
          </w:p>
        </w:tc>
        <w:tc>
          <w:tcPr>
            <w:tcW w:w="7153" w:type="dxa"/>
            <w:tcBorders>
              <w:top w:val="single" w:sz="4" w:space="0" w:color="4472C4"/>
              <w:bottom w:val="single" w:sz="4" w:space="0" w:color="4472C4"/>
            </w:tcBorders>
            <w:shd w:val="clear" w:color="auto" w:fill="auto"/>
          </w:tcPr>
          <w:p w:rsidR="004817AF" w:rsidRPr="00D5309B" w:rsidRDefault="004817AF" w:rsidP="00C957A2">
            <w:pPr>
              <w:spacing w:before="60" w:after="60"/>
              <w:jc w:val="both"/>
              <w:rPr>
                <w:rFonts w:cs="Calibri"/>
                <w:color w:val="000000"/>
                <w:shd w:val="clear" w:color="auto" w:fill="FFFFFF"/>
                <w:lang w:val="en-US"/>
              </w:rPr>
            </w:pPr>
            <w:r w:rsidRPr="00D5309B">
              <w:rPr>
                <w:rFonts w:cs="Calibri"/>
                <w:color w:val="000000"/>
                <w:shd w:val="clear" w:color="auto" w:fill="FFFFFF"/>
                <w:lang w:val="en-US"/>
              </w:rPr>
              <w:t xml:space="preserve">International trade term of Incoterms which means that the seller fulfills his obligation to deliver when the goods have passed over the ship’s rail at the named port of shipment. The seller has to bear costs of delivering goods to ship. </w:t>
            </w:r>
          </w:p>
        </w:tc>
      </w:tr>
      <w:tr w:rsidR="004817AF" w:rsidRPr="00D040FC" w:rsidTr="00470F0E">
        <w:trPr>
          <w:trHeight w:val="370"/>
        </w:trPr>
        <w:tc>
          <w:tcPr>
            <w:tcW w:w="2717" w:type="dxa"/>
            <w:tcBorders>
              <w:right w:val="nil"/>
            </w:tcBorders>
            <w:shd w:val="clear" w:color="auto" w:fill="FFFFFF"/>
          </w:tcPr>
          <w:p w:rsidR="004817AF" w:rsidRPr="00D5309B" w:rsidRDefault="004817AF" w:rsidP="00C957A2">
            <w:pPr>
              <w:spacing w:before="60" w:after="60"/>
              <w:rPr>
                <w:rFonts w:cs="Calibri"/>
                <w:b/>
                <w:bCs/>
                <w:color w:val="000000"/>
                <w:lang w:val="en-US"/>
              </w:rPr>
            </w:pPr>
            <w:r w:rsidRPr="00D5309B">
              <w:rPr>
                <w:rFonts w:cs="Calibri"/>
                <w:b/>
                <w:bCs/>
                <w:color w:val="000000"/>
                <w:lang w:val="en-US"/>
              </w:rPr>
              <w:t>Import CIF</w:t>
            </w:r>
          </w:p>
        </w:tc>
        <w:tc>
          <w:tcPr>
            <w:tcW w:w="7153" w:type="dxa"/>
            <w:shd w:val="clear" w:color="auto" w:fill="auto"/>
          </w:tcPr>
          <w:p w:rsidR="004817AF" w:rsidRPr="00D5309B" w:rsidRDefault="004817AF" w:rsidP="00C957A2">
            <w:pPr>
              <w:spacing w:before="60" w:after="60"/>
              <w:jc w:val="both"/>
              <w:rPr>
                <w:rFonts w:cs="Calibri"/>
                <w:color w:val="000000"/>
                <w:lang w:val="en-US"/>
              </w:rPr>
            </w:pPr>
            <w:r w:rsidRPr="00D5309B">
              <w:rPr>
                <w:rFonts w:cs="Calibri"/>
                <w:color w:val="000000"/>
                <w:shd w:val="clear" w:color="auto" w:fill="FFFFFF"/>
                <w:lang w:val="en-US"/>
              </w:rPr>
              <w:t>International trade term of Incoterms which means that the seller completed delivery when goods are loaded on the ship. Selling price includes price of good, freight, costs of transportation and insurance.</w:t>
            </w:r>
          </w:p>
        </w:tc>
      </w:tr>
      <w:tr w:rsidR="004817AF" w:rsidRPr="00D040FC" w:rsidTr="00470F0E">
        <w:trPr>
          <w:trHeight w:val="370"/>
        </w:trPr>
        <w:tc>
          <w:tcPr>
            <w:tcW w:w="2717" w:type="dxa"/>
            <w:tcBorders>
              <w:top w:val="single" w:sz="4" w:space="0" w:color="4472C4"/>
              <w:bottom w:val="single" w:sz="4" w:space="0" w:color="4472C4"/>
              <w:right w:val="nil"/>
            </w:tcBorders>
            <w:shd w:val="clear" w:color="auto" w:fill="FFFFFF"/>
          </w:tcPr>
          <w:p w:rsidR="004817AF" w:rsidRPr="00D5309B" w:rsidRDefault="004817AF" w:rsidP="00C957A2">
            <w:pPr>
              <w:spacing w:before="60" w:after="60"/>
              <w:rPr>
                <w:rFonts w:cs="Calibri"/>
                <w:b/>
                <w:bCs/>
                <w:color w:val="000000"/>
                <w:lang w:val="en-US"/>
              </w:rPr>
            </w:pPr>
            <w:r w:rsidRPr="00D5309B">
              <w:rPr>
                <w:rFonts w:cs="Calibri"/>
                <w:b/>
                <w:bCs/>
                <w:color w:val="000000"/>
                <w:lang w:val="en-US"/>
              </w:rPr>
              <w:t>Goods in ports</w:t>
            </w:r>
          </w:p>
        </w:tc>
        <w:tc>
          <w:tcPr>
            <w:tcW w:w="7153" w:type="dxa"/>
            <w:tcBorders>
              <w:top w:val="single" w:sz="4" w:space="0" w:color="4472C4"/>
              <w:bottom w:val="single" w:sz="4" w:space="0" w:color="4472C4"/>
            </w:tcBorders>
            <w:shd w:val="clear" w:color="auto" w:fill="auto"/>
          </w:tcPr>
          <w:p w:rsidR="004817AF" w:rsidRPr="00D5309B" w:rsidRDefault="004817AF" w:rsidP="00C957A2">
            <w:pPr>
              <w:spacing w:before="60" w:after="60"/>
              <w:jc w:val="both"/>
              <w:rPr>
                <w:rFonts w:cs="Calibri"/>
                <w:color w:val="000000"/>
                <w:lang w:val="en-US"/>
              </w:rPr>
            </w:pPr>
            <w:r w:rsidRPr="00D5309B">
              <w:rPr>
                <w:rFonts w:cs="Calibri"/>
                <w:color w:val="000000"/>
                <w:lang w:val="en-US"/>
              </w:rPr>
              <w:t>Goods bought by non-resident carriers in domestic ports and vice versa. Includes goods like fuel, provision, supplies, ballast, fixing materials and etc.</w:t>
            </w:r>
          </w:p>
        </w:tc>
      </w:tr>
      <w:tr w:rsidR="004817AF" w:rsidRPr="00D040FC" w:rsidTr="00470F0E">
        <w:trPr>
          <w:trHeight w:val="370"/>
        </w:trPr>
        <w:tc>
          <w:tcPr>
            <w:tcW w:w="2717" w:type="dxa"/>
            <w:tcBorders>
              <w:right w:val="nil"/>
            </w:tcBorders>
            <w:shd w:val="clear" w:color="auto" w:fill="FFFFFF"/>
          </w:tcPr>
          <w:p w:rsidR="004817AF" w:rsidRPr="00D5309B" w:rsidRDefault="004817AF" w:rsidP="00C957A2">
            <w:pPr>
              <w:spacing w:before="60" w:after="60"/>
              <w:rPr>
                <w:rFonts w:cs="Calibri"/>
                <w:b/>
                <w:bCs/>
                <w:color w:val="000000"/>
                <w:lang w:val="en-US"/>
              </w:rPr>
            </w:pPr>
            <w:r w:rsidRPr="00D5309B">
              <w:rPr>
                <w:rFonts w:cs="Calibri"/>
                <w:b/>
                <w:bCs/>
                <w:color w:val="000000"/>
                <w:lang w:val="en-US"/>
              </w:rPr>
              <w:t>Non-monetary gold</w:t>
            </w:r>
          </w:p>
        </w:tc>
        <w:tc>
          <w:tcPr>
            <w:tcW w:w="7153" w:type="dxa"/>
            <w:shd w:val="clear" w:color="auto" w:fill="auto"/>
          </w:tcPr>
          <w:p w:rsidR="004817AF" w:rsidRPr="00D5309B" w:rsidRDefault="004817AF" w:rsidP="00C957A2">
            <w:pPr>
              <w:spacing w:before="60" w:after="60"/>
              <w:jc w:val="both"/>
              <w:rPr>
                <w:rFonts w:cs="Calibri"/>
                <w:color w:val="000000"/>
                <w:lang w:val="en-US"/>
              </w:rPr>
            </w:pPr>
            <w:r w:rsidRPr="00D5309B">
              <w:rPr>
                <w:rFonts w:cs="Calibri"/>
                <w:color w:val="000000"/>
                <w:lang w:val="en-US"/>
              </w:rPr>
              <w:t xml:space="preserve">Includes all gold except monetary gold (gold bars owned by monetary authorities and stored as reserve assets). Not included – jewelry, parts that contain gold; they are recorded in export and import of goods. </w:t>
            </w:r>
          </w:p>
        </w:tc>
      </w:tr>
      <w:tr w:rsidR="004817AF" w:rsidRPr="00D040FC" w:rsidTr="00470F0E">
        <w:trPr>
          <w:trHeight w:val="740"/>
        </w:trPr>
        <w:tc>
          <w:tcPr>
            <w:tcW w:w="2717" w:type="dxa"/>
            <w:tcBorders>
              <w:top w:val="single" w:sz="4" w:space="0" w:color="4472C4"/>
              <w:bottom w:val="single" w:sz="4" w:space="0" w:color="4472C4"/>
              <w:right w:val="nil"/>
            </w:tcBorders>
            <w:shd w:val="clear" w:color="auto" w:fill="FFFFFF"/>
          </w:tcPr>
          <w:p w:rsidR="004817AF" w:rsidRPr="00D5309B" w:rsidRDefault="004817AF" w:rsidP="00C957A2">
            <w:pPr>
              <w:spacing w:before="60" w:after="60"/>
              <w:rPr>
                <w:rFonts w:cs="Calibri"/>
                <w:b/>
                <w:bCs/>
                <w:color w:val="000000"/>
                <w:lang w:val="en-US"/>
              </w:rPr>
            </w:pPr>
            <w:r w:rsidRPr="00D5309B">
              <w:rPr>
                <w:rFonts w:cs="Calibri"/>
                <w:b/>
                <w:bCs/>
                <w:color w:val="000000"/>
                <w:lang w:val="en-US"/>
              </w:rPr>
              <w:t>Special Drawing Rights</w:t>
            </w:r>
          </w:p>
        </w:tc>
        <w:tc>
          <w:tcPr>
            <w:tcW w:w="7153" w:type="dxa"/>
            <w:tcBorders>
              <w:top w:val="single" w:sz="4" w:space="0" w:color="4472C4"/>
              <w:bottom w:val="single" w:sz="4" w:space="0" w:color="4472C4"/>
            </w:tcBorders>
            <w:shd w:val="clear" w:color="auto" w:fill="auto"/>
          </w:tcPr>
          <w:p w:rsidR="004817AF" w:rsidRPr="00D5309B" w:rsidRDefault="004817AF" w:rsidP="00C957A2">
            <w:pPr>
              <w:spacing w:before="60" w:after="60"/>
              <w:jc w:val="both"/>
              <w:rPr>
                <w:rFonts w:cs="Calibri"/>
                <w:color w:val="000000"/>
                <w:lang w:val="en-US"/>
              </w:rPr>
            </w:pPr>
            <w:r w:rsidRPr="00D5309B">
              <w:rPr>
                <w:rFonts w:cs="Calibri"/>
                <w:color w:val="000000"/>
                <w:lang w:val="en-US"/>
              </w:rPr>
              <w:t>International reserve assets issued and allocated by IMF to support reserves of country members.</w:t>
            </w:r>
          </w:p>
        </w:tc>
      </w:tr>
      <w:tr w:rsidR="004817AF" w:rsidRPr="00D040FC" w:rsidTr="00470F0E">
        <w:trPr>
          <w:trHeight w:val="941"/>
        </w:trPr>
        <w:tc>
          <w:tcPr>
            <w:tcW w:w="2717" w:type="dxa"/>
            <w:tcBorders>
              <w:right w:val="nil"/>
            </w:tcBorders>
            <w:shd w:val="clear" w:color="auto" w:fill="FFFFFF"/>
          </w:tcPr>
          <w:p w:rsidR="004817AF" w:rsidRPr="00D5309B" w:rsidRDefault="004817AF" w:rsidP="00C957A2">
            <w:pPr>
              <w:spacing w:before="60" w:after="60"/>
              <w:rPr>
                <w:rFonts w:cs="Calibri"/>
                <w:b/>
                <w:bCs/>
                <w:color w:val="000000"/>
                <w:lang w:val="en-US"/>
              </w:rPr>
            </w:pPr>
            <w:r w:rsidRPr="00D5309B">
              <w:rPr>
                <w:rFonts w:cs="Calibri"/>
                <w:b/>
                <w:bCs/>
                <w:color w:val="000000"/>
                <w:lang w:val="en-US"/>
              </w:rPr>
              <w:t xml:space="preserve">International Investment Position </w:t>
            </w:r>
          </w:p>
        </w:tc>
        <w:tc>
          <w:tcPr>
            <w:tcW w:w="7153" w:type="dxa"/>
            <w:shd w:val="clear" w:color="auto" w:fill="auto"/>
          </w:tcPr>
          <w:p w:rsidR="004817AF" w:rsidRPr="00D5309B" w:rsidRDefault="004817AF" w:rsidP="00C957A2">
            <w:pPr>
              <w:spacing w:before="60" w:after="60"/>
              <w:jc w:val="both"/>
              <w:rPr>
                <w:rFonts w:cs="Calibri"/>
                <w:color w:val="000000"/>
                <w:shd w:val="clear" w:color="auto" w:fill="FFFFFF"/>
                <w:lang w:val="en-US"/>
              </w:rPr>
            </w:pPr>
            <w:r w:rsidRPr="00D5309B">
              <w:rPr>
                <w:rFonts w:cs="Calibri"/>
                <w:color w:val="000000"/>
                <w:shd w:val="clear" w:color="auto" w:fill="FFFFFF"/>
                <w:lang w:val="en-US"/>
              </w:rPr>
              <w:t>International investment position (IIP) – macroeconomic statement which shows volume and structure of financial assets and liabilities to non-residents.</w:t>
            </w:r>
          </w:p>
        </w:tc>
      </w:tr>
      <w:tr w:rsidR="004817AF" w:rsidRPr="00D040FC" w:rsidTr="00470F0E">
        <w:trPr>
          <w:trHeight w:val="1488"/>
        </w:trPr>
        <w:tc>
          <w:tcPr>
            <w:tcW w:w="2717" w:type="dxa"/>
            <w:tcBorders>
              <w:top w:val="single" w:sz="4" w:space="0" w:color="4472C4"/>
              <w:bottom w:val="single" w:sz="4" w:space="0" w:color="4472C4"/>
              <w:right w:val="nil"/>
            </w:tcBorders>
            <w:shd w:val="clear" w:color="auto" w:fill="FFFFFF"/>
          </w:tcPr>
          <w:p w:rsidR="004817AF" w:rsidRPr="00D5309B" w:rsidRDefault="004817AF" w:rsidP="00C957A2">
            <w:pPr>
              <w:spacing w:before="60" w:after="60"/>
              <w:rPr>
                <w:rFonts w:cs="Calibri"/>
                <w:b/>
                <w:bCs/>
                <w:color w:val="000000"/>
                <w:lang w:val="en-US"/>
              </w:rPr>
            </w:pPr>
            <w:r w:rsidRPr="00D5309B">
              <w:rPr>
                <w:rFonts w:cs="Calibri"/>
                <w:b/>
                <w:bCs/>
                <w:color w:val="000000"/>
                <w:lang w:val="en-US"/>
              </w:rPr>
              <w:t xml:space="preserve">Production sharing agreements </w:t>
            </w:r>
          </w:p>
        </w:tc>
        <w:tc>
          <w:tcPr>
            <w:tcW w:w="7153" w:type="dxa"/>
            <w:tcBorders>
              <w:top w:val="single" w:sz="4" w:space="0" w:color="4472C4"/>
              <w:bottom w:val="single" w:sz="4" w:space="0" w:color="4472C4"/>
            </w:tcBorders>
            <w:shd w:val="clear" w:color="auto" w:fill="auto"/>
          </w:tcPr>
          <w:p w:rsidR="004817AF" w:rsidRPr="00D5309B" w:rsidRDefault="004817AF" w:rsidP="00C957A2">
            <w:pPr>
              <w:spacing w:before="60" w:after="60"/>
              <w:jc w:val="both"/>
              <w:rPr>
                <w:rFonts w:cs="Calibri"/>
                <w:color w:val="000000"/>
                <w:lang w:val="en-US"/>
              </w:rPr>
            </w:pPr>
            <w:r w:rsidRPr="00D5309B">
              <w:rPr>
                <w:rFonts w:cs="Calibri"/>
                <w:color w:val="000000"/>
                <w:lang w:val="en-US"/>
              </w:rPr>
              <w:t xml:space="preserve">An agreement whereby the host country awards rights to execute exploration and extraction of minerals to a foreign investor on a reimbursable basis for certain period. Related work is executed at place which is specified in the agreement and investor bears all the expenses at its own risk. </w:t>
            </w:r>
          </w:p>
        </w:tc>
      </w:tr>
      <w:tr w:rsidR="004817AF" w:rsidRPr="00D040FC" w:rsidTr="00470F0E">
        <w:trPr>
          <w:trHeight w:val="370"/>
        </w:trPr>
        <w:tc>
          <w:tcPr>
            <w:tcW w:w="2717" w:type="dxa"/>
            <w:tcBorders>
              <w:right w:val="nil"/>
            </w:tcBorders>
            <w:shd w:val="clear" w:color="auto" w:fill="FFFFFF"/>
          </w:tcPr>
          <w:p w:rsidR="004817AF" w:rsidRPr="00D5309B" w:rsidRDefault="004817AF" w:rsidP="00C957A2">
            <w:pPr>
              <w:spacing w:before="60" w:after="60"/>
              <w:rPr>
                <w:rFonts w:cs="Calibri"/>
                <w:b/>
                <w:bCs/>
                <w:color w:val="000000"/>
                <w:lang w:val="en-US"/>
              </w:rPr>
            </w:pPr>
            <w:r w:rsidRPr="00D5309B">
              <w:rPr>
                <w:rFonts w:cs="Calibri"/>
                <w:b/>
                <w:bCs/>
                <w:color w:val="000000"/>
                <w:lang w:val="en-US"/>
              </w:rPr>
              <w:t xml:space="preserve">Net lender </w:t>
            </w:r>
          </w:p>
        </w:tc>
        <w:tc>
          <w:tcPr>
            <w:tcW w:w="7153" w:type="dxa"/>
            <w:shd w:val="clear" w:color="auto" w:fill="auto"/>
          </w:tcPr>
          <w:p w:rsidR="004817AF" w:rsidRPr="00D5309B" w:rsidRDefault="004817AF" w:rsidP="00C957A2">
            <w:pPr>
              <w:spacing w:before="60" w:after="60"/>
              <w:jc w:val="both"/>
              <w:rPr>
                <w:rFonts w:cs="Calibri"/>
                <w:color w:val="000000"/>
                <w:lang w:val="en-US"/>
              </w:rPr>
            </w:pPr>
            <w:r w:rsidRPr="00D5309B">
              <w:rPr>
                <w:rFonts w:cs="Calibri"/>
                <w:color w:val="000000"/>
                <w:lang w:val="en-US"/>
              </w:rPr>
              <w:t>Economic entity whose assets exceed liabilities.</w:t>
            </w:r>
          </w:p>
        </w:tc>
      </w:tr>
      <w:tr w:rsidR="004817AF" w:rsidRPr="00D040FC" w:rsidTr="00470F0E">
        <w:trPr>
          <w:trHeight w:val="370"/>
        </w:trPr>
        <w:tc>
          <w:tcPr>
            <w:tcW w:w="2717" w:type="dxa"/>
            <w:tcBorders>
              <w:top w:val="single" w:sz="4" w:space="0" w:color="4472C4"/>
              <w:bottom w:val="single" w:sz="4" w:space="0" w:color="4472C4"/>
              <w:right w:val="nil"/>
            </w:tcBorders>
            <w:shd w:val="clear" w:color="auto" w:fill="FFFFFF"/>
          </w:tcPr>
          <w:p w:rsidR="004817AF" w:rsidRPr="00D5309B" w:rsidRDefault="004817AF" w:rsidP="00C957A2">
            <w:pPr>
              <w:spacing w:before="60" w:after="60"/>
              <w:rPr>
                <w:rFonts w:cs="Calibri"/>
                <w:b/>
                <w:bCs/>
                <w:color w:val="000000"/>
                <w:lang w:val="en-US"/>
              </w:rPr>
            </w:pPr>
            <w:r w:rsidRPr="00D5309B">
              <w:rPr>
                <w:rFonts w:cs="Calibri"/>
                <w:b/>
                <w:bCs/>
                <w:color w:val="000000"/>
                <w:lang w:val="en-US"/>
              </w:rPr>
              <w:t xml:space="preserve">Net borrower </w:t>
            </w:r>
          </w:p>
        </w:tc>
        <w:tc>
          <w:tcPr>
            <w:tcW w:w="7153" w:type="dxa"/>
            <w:tcBorders>
              <w:top w:val="single" w:sz="4" w:space="0" w:color="4472C4"/>
              <w:bottom w:val="single" w:sz="4" w:space="0" w:color="4472C4"/>
            </w:tcBorders>
            <w:shd w:val="clear" w:color="auto" w:fill="auto"/>
          </w:tcPr>
          <w:p w:rsidR="004817AF" w:rsidRPr="00D5309B" w:rsidRDefault="004817AF" w:rsidP="00C957A2">
            <w:pPr>
              <w:spacing w:before="60" w:after="60"/>
              <w:jc w:val="both"/>
              <w:rPr>
                <w:rFonts w:cs="Calibri"/>
                <w:color w:val="000000"/>
                <w:lang w:val="en-US"/>
              </w:rPr>
            </w:pPr>
            <w:r w:rsidRPr="00D5309B">
              <w:rPr>
                <w:rFonts w:cs="Calibri"/>
                <w:color w:val="000000"/>
                <w:lang w:val="en-US"/>
              </w:rPr>
              <w:t>Economic entity whose liabilities exceed assets.</w:t>
            </w:r>
          </w:p>
        </w:tc>
      </w:tr>
      <w:tr w:rsidR="00DE36E4" w:rsidRPr="00D040FC" w:rsidTr="00470F0E">
        <w:trPr>
          <w:trHeight w:val="370"/>
        </w:trPr>
        <w:tc>
          <w:tcPr>
            <w:tcW w:w="2717" w:type="dxa"/>
            <w:tcBorders>
              <w:top w:val="single" w:sz="4" w:space="0" w:color="4472C4"/>
              <w:bottom w:val="single" w:sz="4" w:space="0" w:color="4472C4"/>
              <w:right w:val="nil"/>
            </w:tcBorders>
            <w:shd w:val="clear" w:color="auto" w:fill="FFFFFF"/>
          </w:tcPr>
          <w:p w:rsidR="00DE36E4" w:rsidRPr="00D5309B" w:rsidRDefault="00DE36E4" w:rsidP="00C957A2">
            <w:pPr>
              <w:spacing w:before="60" w:after="60"/>
              <w:rPr>
                <w:rFonts w:cs="Calibri"/>
                <w:b/>
                <w:bCs/>
                <w:color w:val="000000"/>
                <w:lang w:val="en-US"/>
              </w:rPr>
            </w:pPr>
            <w:r>
              <w:rPr>
                <w:rFonts w:cs="Calibri"/>
                <w:b/>
                <w:bCs/>
                <w:color w:val="000000"/>
                <w:lang w:val="en-US"/>
              </w:rPr>
              <w:lastRenderedPageBreak/>
              <w:t>Gross external debt</w:t>
            </w:r>
          </w:p>
        </w:tc>
        <w:tc>
          <w:tcPr>
            <w:tcW w:w="7153" w:type="dxa"/>
            <w:tcBorders>
              <w:top w:val="single" w:sz="4" w:space="0" w:color="4472C4"/>
              <w:bottom w:val="single" w:sz="4" w:space="0" w:color="4472C4"/>
            </w:tcBorders>
            <w:shd w:val="clear" w:color="auto" w:fill="auto"/>
          </w:tcPr>
          <w:p w:rsidR="00DE36E4" w:rsidRPr="00D5309B" w:rsidRDefault="00DE36E4" w:rsidP="00C957A2">
            <w:pPr>
              <w:spacing w:before="60" w:after="60"/>
              <w:jc w:val="both"/>
              <w:rPr>
                <w:rFonts w:cs="Calibri"/>
                <w:color w:val="000000"/>
                <w:lang w:val="en-US"/>
              </w:rPr>
            </w:pPr>
            <w:r>
              <w:rPr>
                <w:rFonts w:cs="Calibri"/>
                <w:color w:val="000000"/>
                <w:lang w:val="en-US"/>
              </w:rPr>
              <w:t xml:space="preserve">Shows all liabilities of resident to non-residents irrespective of marurity and respective instruments. </w:t>
            </w:r>
          </w:p>
        </w:tc>
      </w:tr>
      <w:tr w:rsidR="001E4719" w:rsidRPr="00D040FC" w:rsidTr="00470F0E">
        <w:trPr>
          <w:trHeight w:val="370"/>
        </w:trPr>
        <w:tc>
          <w:tcPr>
            <w:tcW w:w="2717" w:type="dxa"/>
            <w:tcBorders>
              <w:top w:val="single" w:sz="4" w:space="0" w:color="4472C4"/>
              <w:bottom w:val="single" w:sz="4" w:space="0" w:color="4472C4"/>
              <w:right w:val="nil"/>
            </w:tcBorders>
            <w:shd w:val="clear" w:color="auto" w:fill="FFFFFF"/>
          </w:tcPr>
          <w:p w:rsidR="001E4719" w:rsidRDefault="001E4719" w:rsidP="00C957A2">
            <w:pPr>
              <w:spacing w:before="60" w:after="60"/>
              <w:rPr>
                <w:rFonts w:cs="Calibri"/>
                <w:b/>
                <w:bCs/>
                <w:color w:val="000000"/>
                <w:lang w:val="en-US"/>
              </w:rPr>
            </w:pPr>
            <w:r>
              <w:rPr>
                <w:rFonts w:cs="Calibri"/>
                <w:b/>
                <w:bCs/>
                <w:color w:val="000000"/>
                <w:lang w:val="en-US"/>
              </w:rPr>
              <w:t>Monetary gold</w:t>
            </w:r>
          </w:p>
        </w:tc>
        <w:tc>
          <w:tcPr>
            <w:tcW w:w="7153" w:type="dxa"/>
            <w:tcBorders>
              <w:top w:val="single" w:sz="4" w:space="0" w:color="4472C4"/>
              <w:bottom w:val="single" w:sz="4" w:space="0" w:color="4472C4"/>
            </w:tcBorders>
            <w:shd w:val="clear" w:color="auto" w:fill="auto"/>
          </w:tcPr>
          <w:p w:rsidR="001E4719" w:rsidRDefault="001E4719" w:rsidP="00C957A2">
            <w:pPr>
              <w:spacing w:before="60" w:after="60"/>
              <w:jc w:val="both"/>
              <w:rPr>
                <w:rFonts w:cs="Calibri"/>
                <w:color w:val="000000"/>
                <w:lang w:val="en-US"/>
              </w:rPr>
            </w:pPr>
            <w:r w:rsidRPr="00D5309B">
              <w:rPr>
                <w:rFonts w:cs="Calibri"/>
                <w:color w:val="000000"/>
                <w:lang w:val="en-US"/>
              </w:rPr>
              <w:t xml:space="preserve">Gold </w:t>
            </w:r>
            <w:r w:rsidRPr="00D5309B">
              <w:rPr>
                <w:rFonts w:cs="Calibri"/>
                <w:color w:val="000000"/>
                <w:lang w:val="en-US"/>
              </w:rPr>
              <w:t>bars owned by monetary authorities and stored as reserve assets</w:t>
            </w:r>
            <w:r>
              <w:rPr>
                <w:rFonts w:cs="Calibri"/>
                <w:color w:val="000000"/>
                <w:lang w:val="en-US"/>
              </w:rPr>
              <w:t>. Gold bars sold to other institutions are demonetized and considered as non-monetary gold.</w:t>
            </w:r>
          </w:p>
        </w:tc>
      </w:tr>
      <w:tr w:rsidR="00DE36E4" w:rsidRPr="00D040FC" w:rsidTr="00470F0E">
        <w:trPr>
          <w:trHeight w:val="370"/>
        </w:trPr>
        <w:tc>
          <w:tcPr>
            <w:tcW w:w="2717" w:type="dxa"/>
            <w:tcBorders>
              <w:top w:val="single" w:sz="4" w:space="0" w:color="4472C4"/>
              <w:bottom w:val="single" w:sz="4" w:space="0" w:color="4472C4"/>
              <w:right w:val="nil"/>
            </w:tcBorders>
            <w:shd w:val="clear" w:color="auto" w:fill="FFFFFF"/>
          </w:tcPr>
          <w:p w:rsidR="00DE36E4" w:rsidRPr="001E4719" w:rsidRDefault="001E4719" w:rsidP="00C957A2">
            <w:pPr>
              <w:spacing w:before="60" w:after="60"/>
              <w:rPr>
                <w:rFonts w:cs="Calibri"/>
                <w:b/>
                <w:bCs/>
                <w:color w:val="000000"/>
                <w:lang w:val="en-US"/>
              </w:rPr>
            </w:pPr>
            <w:r w:rsidRPr="001E4719">
              <w:rPr>
                <w:rFonts w:cs="Calibri"/>
                <w:b/>
                <w:color w:val="000000"/>
                <w:lang w:val="en-US"/>
              </w:rPr>
              <w:t>NPISHs</w:t>
            </w:r>
          </w:p>
        </w:tc>
        <w:tc>
          <w:tcPr>
            <w:tcW w:w="7153" w:type="dxa"/>
            <w:tcBorders>
              <w:top w:val="single" w:sz="4" w:space="0" w:color="4472C4"/>
              <w:bottom w:val="single" w:sz="4" w:space="0" w:color="4472C4"/>
            </w:tcBorders>
            <w:shd w:val="clear" w:color="auto" w:fill="auto"/>
          </w:tcPr>
          <w:p w:rsidR="00DE36E4" w:rsidRDefault="001E4719" w:rsidP="00C957A2">
            <w:pPr>
              <w:spacing w:before="60" w:after="60"/>
              <w:jc w:val="both"/>
              <w:rPr>
                <w:rFonts w:cs="Calibri"/>
                <w:color w:val="000000"/>
                <w:lang w:val="en-US"/>
              </w:rPr>
            </w:pPr>
            <w:r>
              <w:rPr>
                <w:rFonts w:cs="Calibri"/>
                <w:color w:val="000000"/>
                <w:lang w:val="en-US"/>
              </w:rPr>
              <w:t>Non-profit institutions serving households</w:t>
            </w:r>
          </w:p>
        </w:tc>
      </w:tr>
      <w:tr w:rsidR="001E4719" w:rsidRPr="00D040FC" w:rsidTr="00470F0E">
        <w:trPr>
          <w:trHeight w:val="370"/>
        </w:trPr>
        <w:tc>
          <w:tcPr>
            <w:tcW w:w="2717" w:type="dxa"/>
            <w:tcBorders>
              <w:top w:val="single" w:sz="4" w:space="0" w:color="4472C4"/>
              <w:bottom w:val="single" w:sz="4" w:space="0" w:color="4472C4"/>
              <w:right w:val="nil"/>
            </w:tcBorders>
            <w:shd w:val="clear" w:color="auto" w:fill="FFFFFF"/>
          </w:tcPr>
          <w:p w:rsidR="001E4719" w:rsidRPr="001E4719" w:rsidRDefault="001E4719" w:rsidP="00C957A2">
            <w:pPr>
              <w:spacing w:before="60" w:after="60"/>
              <w:rPr>
                <w:rFonts w:cs="Calibri"/>
                <w:b/>
                <w:color w:val="000000"/>
                <w:lang w:val="en-US"/>
              </w:rPr>
            </w:pPr>
            <w:r>
              <w:rPr>
                <w:rFonts w:cs="Calibri"/>
                <w:b/>
                <w:color w:val="000000"/>
                <w:lang w:val="en-US"/>
              </w:rPr>
              <w:t>Reverse investment</w:t>
            </w:r>
          </w:p>
        </w:tc>
        <w:tc>
          <w:tcPr>
            <w:tcW w:w="7153" w:type="dxa"/>
            <w:tcBorders>
              <w:top w:val="single" w:sz="4" w:space="0" w:color="4472C4"/>
              <w:bottom w:val="single" w:sz="4" w:space="0" w:color="4472C4"/>
            </w:tcBorders>
            <w:shd w:val="clear" w:color="auto" w:fill="auto"/>
          </w:tcPr>
          <w:p w:rsidR="001E4719" w:rsidRDefault="001E4719" w:rsidP="001E4719">
            <w:pPr>
              <w:spacing w:before="60" w:after="60"/>
              <w:jc w:val="both"/>
              <w:rPr>
                <w:rFonts w:cs="Calibri"/>
                <w:color w:val="000000"/>
                <w:lang w:val="en-US"/>
              </w:rPr>
            </w:pPr>
            <w:r>
              <w:rPr>
                <w:rFonts w:cs="Calibri"/>
                <w:color w:val="000000"/>
                <w:lang w:val="en-US"/>
              </w:rPr>
              <w:t>Purchase of shares direct investor’s share by direct investment enterprise</w:t>
            </w:r>
          </w:p>
        </w:tc>
      </w:tr>
      <w:tr w:rsidR="001E4719" w:rsidRPr="00D040FC" w:rsidTr="00470F0E">
        <w:trPr>
          <w:trHeight w:val="370"/>
        </w:trPr>
        <w:tc>
          <w:tcPr>
            <w:tcW w:w="2717" w:type="dxa"/>
            <w:tcBorders>
              <w:top w:val="single" w:sz="4" w:space="0" w:color="4472C4"/>
              <w:bottom w:val="single" w:sz="4" w:space="0" w:color="4472C4"/>
              <w:right w:val="nil"/>
            </w:tcBorders>
            <w:shd w:val="clear" w:color="auto" w:fill="FFFFFF"/>
          </w:tcPr>
          <w:p w:rsidR="001E4719" w:rsidRDefault="001E4719" w:rsidP="00C957A2">
            <w:pPr>
              <w:spacing w:before="60" w:after="60"/>
              <w:rPr>
                <w:rFonts w:cs="Calibri"/>
                <w:b/>
                <w:color w:val="000000"/>
                <w:lang w:val="en-US"/>
              </w:rPr>
            </w:pPr>
            <w:r w:rsidRPr="001E4719">
              <w:rPr>
                <w:rFonts w:cs="Calibri"/>
                <w:b/>
                <w:color w:val="000000"/>
                <w:lang w:val="en-US"/>
              </w:rPr>
              <w:t>Fellow enterprises</w:t>
            </w:r>
          </w:p>
        </w:tc>
        <w:tc>
          <w:tcPr>
            <w:tcW w:w="7153" w:type="dxa"/>
            <w:tcBorders>
              <w:top w:val="single" w:sz="4" w:space="0" w:color="4472C4"/>
              <w:bottom w:val="single" w:sz="4" w:space="0" w:color="4472C4"/>
            </w:tcBorders>
            <w:shd w:val="clear" w:color="auto" w:fill="auto"/>
          </w:tcPr>
          <w:p w:rsidR="001E4719" w:rsidRDefault="001E4719" w:rsidP="001E4719">
            <w:pPr>
              <w:spacing w:before="60" w:after="60"/>
              <w:jc w:val="both"/>
              <w:rPr>
                <w:rFonts w:cs="Calibri"/>
                <w:color w:val="000000"/>
                <w:lang w:val="en-US"/>
              </w:rPr>
            </w:pPr>
            <w:r>
              <w:rPr>
                <w:rFonts w:cs="Calibri"/>
                <w:color w:val="000000"/>
                <w:lang w:val="en-US"/>
              </w:rPr>
              <w:t>Two or more companies located in different jurisdiction and having common foreign owner’s share</w:t>
            </w:r>
          </w:p>
        </w:tc>
      </w:tr>
      <w:tr w:rsidR="001E4719" w:rsidRPr="00D040FC" w:rsidTr="00470F0E">
        <w:trPr>
          <w:trHeight w:val="370"/>
        </w:trPr>
        <w:tc>
          <w:tcPr>
            <w:tcW w:w="2717" w:type="dxa"/>
            <w:tcBorders>
              <w:top w:val="single" w:sz="4" w:space="0" w:color="4472C4"/>
              <w:bottom w:val="single" w:sz="4" w:space="0" w:color="4472C4"/>
              <w:right w:val="nil"/>
            </w:tcBorders>
            <w:shd w:val="clear" w:color="auto" w:fill="FFFFFF"/>
          </w:tcPr>
          <w:p w:rsidR="001E4719" w:rsidRPr="001E4719" w:rsidRDefault="001E4719" w:rsidP="00C957A2">
            <w:pPr>
              <w:spacing w:before="60" w:after="60"/>
              <w:rPr>
                <w:rFonts w:cs="Calibri"/>
                <w:b/>
                <w:color w:val="000000"/>
                <w:lang w:val="en-US"/>
              </w:rPr>
            </w:pPr>
            <w:r>
              <w:rPr>
                <w:rFonts w:cs="Calibri"/>
                <w:b/>
                <w:color w:val="000000"/>
                <w:lang w:val="en-US"/>
              </w:rPr>
              <w:t>UFRD</w:t>
            </w:r>
          </w:p>
        </w:tc>
        <w:tc>
          <w:tcPr>
            <w:tcW w:w="7153" w:type="dxa"/>
            <w:tcBorders>
              <w:top w:val="single" w:sz="4" w:space="0" w:color="4472C4"/>
              <w:bottom w:val="single" w:sz="4" w:space="0" w:color="4472C4"/>
            </w:tcBorders>
            <w:shd w:val="clear" w:color="auto" w:fill="auto"/>
          </w:tcPr>
          <w:p w:rsidR="001E4719" w:rsidRDefault="001E4719" w:rsidP="001E4719">
            <w:pPr>
              <w:spacing w:before="60" w:after="60"/>
              <w:jc w:val="both"/>
              <w:rPr>
                <w:rFonts w:cs="Calibri"/>
                <w:color w:val="000000"/>
                <w:lang w:val="en-US"/>
              </w:rPr>
            </w:pPr>
            <w:r>
              <w:rPr>
                <w:rFonts w:cs="Calibri"/>
                <w:color w:val="000000"/>
                <w:lang w:val="en-US"/>
              </w:rPr>
              <w:t>Uzbekistan’s fund for reconstruction and development</w:t>
            </w:r>
          </w:p>
        </w:tc>
      </w:tr>
      <w:tr w:rsidR="001E4719" w:rsidRPr="00D040FC" w:rsidTr="00470F0E">
        <w:trPr>
          <w:trHeight w:val="370"/>
        </w:trPr>
        <w:tc>
          <w:tcPr>
            <w:tcW w:w="2717" w:type="dxa"/>
            <w:tcBorders>
              <w:top w:val="single" w:sz="4" w:space="0" w:color="4472C4"/>
              <w:bottom w:val="single" w:sz="4" w:space="0" w:color="4472C4"/>
              <w:right w:val="nil"/>
            </w:tcBorders>
            <w:shd w:val="clear" w:color="auto" w:fill="FFFFFF"/>
          </w:tcPr>
          <w:p w:rsidR="001E4719" w:rsidRDefault="001E4719" w:rsidP="00C957A2">
            <w:pPr>
              <w:spacing w:before="60" w:after="60"/>
              <w:rPr>
                <w:rFonts w:cs="Calibri"/>
                <w:b/>
                <w:color w:val="000000"/>
                <w:lang w:val="en-US"/>
              </w:rPr>
            </w:pPr>
            <w:r>
              <w:rPr>
                <w:rFonts w:cs="Calibri"/>
                <w:b/>
                <w:color w:val="000000"/>
                <w:lang w:val="en-US"/>
              </w:rPr>
              <w:t>IMF</w:t>
            </w:r>
          </w:p>
        </w:tc>
        <w:tc>
          <w:tcPr>
            <w:tcW w:w="7153" w:type="dxa"/>
            <w:tcBorders>
              <w:top w:val="single" w:sz="4" w:space="0" w:color="4472C4"/>
              <w:bottom w:val="single" w:sz="4" w:space="0" w:color="4472C4"/>
            </w:tcBorders>
            <w:shd w:val="clear" w:color="auto" w:fill="auto"/>
          </w:tcPr>
          <w:p w:rsidR="001E4719" w:rsidRDefault="001E4719" w:rsidP="001E4719">
            <w:pPr>
              <w:spacing w:before="60" w:after="60"/>
              <w:jc w:val="both"/>
              <w:rPr>
                <w:rFonts w:cs="Calibri"/>
                <w:color w:val="000000"/>
                <w:lang w:val="en-US"/>
              </w:rPr>
            </w:pPr>
            <w:r>
              <w:rPr>
                <w:rFonts w:cs="Calibri"/>
                <w:color w:val="000000"/>
                <w:lang w:val="en-US"/>
              </w:rPr>
              <w:t>International monetary fund</w:t>
            </w:r>
          </w:p>
        </w:tc>
      </w:tr>
    </w:tbl>
    <w:p w:rsidR="004817AF" w:rsidRPr="006C6E02" w:rsidRDefault="004817AF" w:rsidP="006C6E02">
      <w:pPr>
        <w:jc w:val="right"/>
        <w:rPr>
          <w:i/>
          <w:sz w:val="6"/>
          <w:szCs w:val="6"/>
          <w:lang w:val="en-US"/>
        </w:rPr>
      </w:pPr>
    </w:p>
    <w:sectPr w:rsidR="004817AF" w:rsidRPr="006C6E02" w:rsidSect="004817AF">
      <w:footerReference w:type="first" r:id="rId55"/>
      <w:pgSz w:w="11906" w:h="16838"/>
      <w:pgMar w:top="1134" w:right="70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722" w:rsidRDefault="00E72722" w:rsidP="000031B1">
      <w:r>
        <w:separator/>
      </w:r>
    </w:p>
  </w:endnote>
  <w:endnote w:type="continuationSeparator" w:id="0">
    <w:p w:rsidR="00E72722" w:rsidRDefault="00E72722" w:rsidP="0000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Pr="00211205" w:rsidRDefault="001B2CDA" w:rsidP="00DC6A47">
    <w:pPr>
      <w:pStyle w:val="ac"/>
      <w:spacing w:before="120"/>
      <w:rPr>
        <w:rFonts w:cs="Calibri"/>
        <w:sz w:val="22"/>
        <w:szCs w:val="22"/>
        <w:lang w:val="en-US"/>
      </w:rPr>
    </w:pPr>
    <w:r w:rsidRPr="00633FE0">
      <w:rPr>
        <w:rFonts w:cs="Calibri"/>
        <w:noProof/>
        <w:sz w:val="22"/>
        <w:szCs w:val="22"/>
      </w:rPr>
      <mc:AlternateContent>
        <mc:Choice Requires="wpg">
          <w:drawing>
            <wp:anchor distT="0" distB="0" distL="0" distR="0" simplePos="0" relativeHeight="251656192" behindDoc="0" locked="0" layoutInCell="1" allowOverlap="1">
              <wp:simplePos x="0" y="0"/>
              <wp:positionH relativeFrom="page">
                <wp:posOffset>774700</wp:posOffset>
              </wp:positionH>
              <wp:positionV relativeFrom="page">
                <wp:posOffset>9955530</wp:posOffset>
              </wp:positionV>
              <wp:extent cx="5918200" cy="464820"/>
              <wp:effectExtent l="12700" t="11430" r="12700" b="9525"/>
              <wp:wrapSquare wrapText="bothSides"/>
              <wp:docPr id="10"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0" cy="464820"/>
                        <a:chOff x="0" y="0"/>
                        <a:chExt cx="5962650" cy="323851"/>
                      </a:xfrm>
                    </wpg:grpSpPr>
                    <wps:wsp>
                      <wps:cNvPr id="11" name="Прямоугольник 38"/>
                      <wps:cNvSpPr>
                        <a:spLocks noChangeArrowheads="1"/>
                      </wps:cNvSpPr>
                      <wps:spPr bwMode="auto">
                        <a:xfrm>
                          <a:off x="19050" y="0"/>
                          <a:ext cx="5943600" cy="18826"/>
                        </a:xfrm>
                        <a:prstGeom prst="rect">
                          <a:avLst/>
                        </a:prstGeom>
                        <a:solidFill>
                          <a:srgbClr val="00B0F0"/>
                        </a:solidFill>
                        <a:ln w="12700" algn="ctr">
                          <a:solidFill>
                            <a:srgbClr val="8EAADB"/>
                          </a:solidFill>
                          <a:miter lim="800000"/>
                          <a:headEnd/>
                          <a:tailEnd/>
                        </a:ln>
                      </wps:spPr>
                      <wps:bodyPr rot="0" vert="horz" wrap="square" lIns="91440" tIns="45720" rIns="91440" bIns="45720" anchor="ctr" anchorCtr="0" upright="1">
                        <a:noAutofit/>
                      </wps:bodyPr>
                    </wps:wsp>
                    <wps:wsp>
                      <wps:cNvPr id="12" name="Текстовое поле 39"/>
                      <wps:cNvSpPr txBox="1">
                        <a:spLocks noChangeArrowheads="1"/>
                      </wps:cNvSpPr>
                      <wps:spPr bwMode="auto">
                        <a:xfrm>
                          <a:off x="0" y="66676"/>
                          <a:ext cx="5943600" cy="2571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B2CDA" w:rsidRDefault="001B2CDA" w:rsidP="00537E67">
                            <w:pPr>
                              <w:spacing w:before="100" w:beforeAutospacing="1"/>
                              <w:rPr>
                                <w:rFonts w:cs="Calibri"/>
                                <w:i/>
                                <w:sz w:val="18"/>
                                <w:szCs w:val="18"/>
                                <w:lang w:val="en-US"/>
                              </w:rPr>
                            </w:pPr>
                            <w:r>
                              <w:rPr>
                                <w:rFonts w:cs="Calibri"/>
                                <w:i/>
                                <w:sz w:val="18"/>
                                <w:szCs w:val="18"/>
                                <w:lang w:val="en-US"/>
                              </w:rPr>
                              <w:t xml:space="preserve">BALANCE OF PAYMENTS, INTERNATIONAL INVESTMENT POSITION AND EXTERNAL DEBT OF UZBEKISTAN </w:t>
                            </w:r>
                            <w:r>
                              <w:rPr>
                                <w:rFonts w:cs="Calibri"/>
                                <w:i/>
                                <w:sz w:val="18"/>
                                <w:szCs w:val="18"/>
                                <w:lang w:val="en-US"/>
                              </w:rPr>
                              <w:br/>
                              <w:t>FOR 2020</w:t>
                            </w:r>
                          </w:p>
                          <w:p w:rsidR="001B2CDA" w:rsidRPr="00537E67" w:rsidRDefault="001B2CDA" w:rsidP="00086BAA">
                            <w:pPr>
                              <w:spacing w:before="100" w:beforeAutospacing="1"/>
                              <w:rPr>
                                <w:rFonts w:cs="Calibri"/>
                                <w:color w:val="808080"/>
                                <w:sz w:val="18"/>
                                <w:szCs w:val="18"/>
                                <w:lang w:val="en-US"/>
                              </w:rPr>
                            </w:pPr>
                          </w:p>
                        </w:txbxContent>
                      </wps:txbx>
                      <wps:bodyPr rot="0" vert="horz" wrap="square" lIns="91440" tIns="45720" rIns="91440" bIns="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id="Группа 37" o:spid="_x0000_s1035" style="position:absolute;margin-left:61pt;margin-top:783.9pt;width:466pt;height:36.6pt;z-index:251656192;mso-wrap-distance-left:0;mso-wrap-distance-right:0;mso-position-horizontal-relative:page;mso-position-vertical-relative:page;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">
              <v:rect id="Прямоугольник 38" o:spid="_x0000_s1036"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" fillcolor="#00b0f0" strokecolor="#8eaadb" strokeweight="1pt"/>
              <v:shapetype id="_x0000_t202" coordsize="21600,21600" o:spt="202" path="m,l,21600r21600,l21600,xe">
                <v:stroke joinstyle="miter"/>
                <v:path gradientshapeok="t" o:connecttype="rect"/>
              </v:shapetype>
              <v:shape id="Текстовое поле 39" o:spid="_x0000_s1037"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" filled="f" strokecolor="white" strokeweight=".5pt">
                <v:textbox inset=",,,0">
                  <w:txbxContent>
                    <w:p w:rsidR="001B2CDA" w:rsidRDefault="001B2CDA" w:rsidP="00537E67">
                      <w:pPr>
                        <w:spacing w:before="100" w:beforeAutospacing="1"/>
                        <w:rPr>
                          <w:rFonts w:cs="Calibri"/>
                          <w:i/>
                          <w:sz w:val="18"/>
                          <w:szCs w:val="18"/>
                          <w:lang w:val="en-US"/>
                        </w:rPr>
                      </w:pPr>
                      <w:r>
                        <w:rPr>
                          <w:rFonts w:cs="Calibri"/>
                          <w:i/>
                          <w:sz w:val="18"/>
                          <w:szCs w:val="18"/>
                          <w:lang w:val="en-US"/>
                        </w:rPr>
                        <w:t xml:space="preserve">BALANCE OF PAYMENTS, INTERNATIONAL INVESTMENT POSITION AND EXTERNAL DEBT OF UZBEKISTAN </w:t>
                      </w:r>
                      <w:r>
                        <w:rPr>
                          <w:rFonts w:cs="Calibri"/>
                          <w:i/>
                          <w:sz w:val="18"/>
                          <w:szCs w:val="18"/>
                          <w:lang w:val="en-US"/>
                        </w:rPr>
                        <w:br/>
                        <w:t>FOR 2020</w:t>
                      </w:r>
                    </w:p>
                    <w:p w:rsidR="001B2CDA" w:rsidRPr="00537E67" w:rsidRDefault="001B2CDA" w:rsidP="00086BAA">
                      <w:pPr>
                        <w:spacing w:before="100" w:beforeAutospacing="1"/>
                        <w:rPr>
                          <w:rFonts w:cs="Calibri"/>
                          <w:color w:val="808080"/>
                          <w:sz w:val="18"/>
                          <w:szCs w:val="18"/>
                          <w:lang w:val="en-US"/>
                        </w:rPr>
                      </w:pPr>
                    </w:p>
                  </w:txbxContent>
                </v:textbox>
              </v:shape>
              <w10:wrap type="square" anchorx="page" anchory="page"/>
            </v:group>
          </w:pict>
        </mc:Fallback>
      </mc:AlternateContent>
    </w:r>
    <w:r w:rsidRPr="00633FE0">
      <w:rPr>
        <w:rFonts w:cs="Calibri"/>
        <w:noProof/>
        <w:sz w:val="22"/>
        <w:szCs w:val="22"/>
      </w:rPr>
      <mc:AlternateContent>
        <mc:Choice Requires="wps">
          <w:drawing>
            <wp:anchor distT="0" distB="0" distL="0" distR="0" simplePos="0" relativeHeight="251655168" behindDoc="0" locked="0" layoutInCell="1" allowOverlap="1">
              <wp:simplePos x="0" y="0"/>
              <wp:positionH relativeFrom="page">
                <wp:posOffset>6711950</wp:posOffset>
              </wp:positionH>
              <wp:positionV relativeFrom="page">
                <wp:posOffset>9955530</wp:posOffset>
              </wp:positionV>
              <wp:extent cx="339725" cy="405130"/>
              <wp:effectExtent l="0" t="0" r="3175" b="0"/>
              <wp:wrapSquare wrapText="bothSides"/>
              <wp:docPr id="9"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405130"/>
                      </a:xfrm>
                      <a:prstGeom prst="rect">
                        <a:avLst/>
                      </a:prstGeom>
                      <a:solidFill>
                        <a:srgbClr val="00B0F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rsidR="001B2CDA" w:rsidRPr="00633FE0" w:rsidRDefault="001B2CDA" w:rsidP="000E1507">
                          <w:pPr>
                            <w:jc w:val="center"/>
                            <w:rPr>
                              <w:rFonts w:cs="Calibri"/>
                              <w:color w:val="FFFFFF"/>
                              <w:sz w:val="22"/>
                              <w:szCs w:val="22"/>
                            </w:rPr>
                          </w:pPr>
                          <w:r w:rsidRPr="00633FE0">
                            <w:rPr>
                              <w:rFonts w:cs="Calibri"/>
                              <w:color w:val="FFFFFF"/>
                              <w:sz w:val="22"/>
                              <w:szCs w:val="22"/>
                            </w:rPr>
                            <w:fldChar w:fldCharType="begin"/>
                          </w:r>
                          <w:r w:rsidRPr="00633FE0">
                            <w:rPr>
                              <w:rFonts w:cs="Calibri"/>
                              <w:color w:val="FFFFFF"/>
                              <w:sz w:val="22"/>
                              <w:szCs w:val="22"/>
                            </w:rPr>
                            <w:instrText>PAGE   \* MERGEFORMAT</w:instrText>
                          </w:r>
                          <w:r w:rsidRPr="00633FE0">
                            <w:rPr>
                              <w:rFonts w:cs="Calibri"/>
                              <w:color w:val="FFFFFF"/>
                              <w:sz w:val="22"/>
                              <w:szCs w:val="22"/>
                            </w:rPr>
                            <w:fldChar w:fldCharType="separate"/>
                          </w:r>
                          <w:r w:rsidR="007D5B72">
                            <w:rPr>
                              <w:rFonts w:cs="Calibri"/>
                              <w:noProof/>
                              <w:color w:val="FFFFFF"/>
                              <w:sz w:val="22"/>
                              <w:szCs w:val="22"/>
                            </w:rPr>
                            <w:t>20</w:t>
                          </w:r>
                          <w:r w:rsidRPr="00633FE0">
                            <w:rPr>
                              <w:rFonts w:cs="Calibri"/>
                              <w:color w:val="FFFFFF"/>
                              <w:sz w:val="22"/>
                              <w:szCs w:val="22"/>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margin-left:528.5pt;margin-top:783.9pt;width:26.75pt;height:31.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" fillcolor="#00b0f0" stroked="f" strokeweight="3pt">
              <v:textbox>
                <w:txbxContent>
                  <w:p w:rsidR="001B2CDA" w:rsidRPr="00633FE0" w:rsidRDefault="001B2CDA" w:rsidP="000E1507">
                    <w:pPr>
                      <w:jc w:val="center"/>
                      <w:rPr>
                        <w:rFonts w:cs="Calibri"/>
                        <w:color w:val="FFFFFF"/>
                        <w:sz w:val="22"/>
                        <w:szCs w:val="22"/>
                      </w:rPr>
                    </w:pPr>
                    <w:r w:rsidRPr="00633FE0">
                      <w:rPr>
                        <w:rFonts w:cs="Calibri"/>
                        <w:color w:val="FFFFFF"/>
                        <w:sz w:val="22"/>
                        <w:szCs w:val="22"/>
                      </w:rPr>
                      <w:fldChar w:fldCharType="begin"/>
                    </w:r>
                    <w:r w:rsidRPr="00633FE0">
                      <w:rPr>
                        <w:rFonts w:cs="Calibri"/>
                        <w:color w:val="FFFFFF"/>
                        <w:sz w:val="22"/>
                        <w:szCs w:val="22"/>
                      </w:rPr>
                      <w:instrText>PAGE   \* MERGEFORMAT</w:instrText>
                    </w:r>
                    <w:r w:rsidRPr="00633FE0">
                      <w:rPr>
                        <w:rFonts w:cs="Calibri"/>
                        <w:color w:val="FFFFFF"/>
                        <w:sz w:val="22"/>
                        <w:szCs w:val="22"/>
                      </w:rPr>
                      <w:fldChar w:fldCharType="separate"/>
                    </w:r>
                    <w:r w:rsidR="007D5B72">
                      <w:rPr>
                        <w:rFonts w:cs="Calibri"/>
                        <w:noProof/>
                        <w:color w:val="FFFFFF"/>
                        <w:sz w:val="22"/>
                        <w:szCs w:val="22"/>
                      </w:rPr>
                      <w:t>20</w:t>
                    </w:r>
                    <w:r w:rsidRPr="00633FE0">
                      <w:rPr>
                        <w:rFonts w:cs="Calibri"/>
                        <w:color w:val="FFFFFF"/>
                        <w:sz w:val="22"/>
                        <w:szCs w:val="22"/>
                      </w:rPr>
                      <w:fldChar w:fldCharType="end"/>
                    </w:r>
                  </w:p>
                </w:txbxContent>
              </v:textbox>
              <w10:wrap type="square" anchorx="page" anchory="page"/>
            </v:rect>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436274"/>
      <w:docPartObj>
        <w:docPartGallery w:val="Page Numbers (Bottom of Page)"/>
        <w:docPartUnique/>
      </w:docPartObj>
    </w:sdtPr>
    <w:sdtContent>
      <w:p w:rsidR="001B2CDA" w:rsidRDefault="001B2CDA">
        <w:pPr>
          <w:pStyle w:val="ac"/>
          <w:jc w:val="right"/>
        </w:pPr>
        <w:r>
          <w:fldChar w:fldCharType="begin"/>
        </w:r>
        <w:r>
          <w:instrText>PAGE   \* MERGEFORMAT</w:instrText>
        </w:r>
        <w:r>
          <w:fldChar w:fldCharType="separate"/>
        </w:r>
        <w:r w:rsidR="007D5B72">
          <w:rPr>
            <w:noProof/>
          </w:rPr>
          <w:t>81</w:t>
        </w:r>
        <w:r>
          <w:fldChar w:fldCharType="end"/>
        </w:r>
      </w:p>
    </w:sdtContent>
  </w:sdt>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Pr="00034B8C" w:rsidRDefault="001B2CDA" w:rsidP="00034B8C">
    <w:pPr>
      <w:pStyle w:val="ac"/>
      <w:jc w:val="right"/>
    </w:pPr>
    <w:r>
      <w:t>66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Pr="00034B8C" w:rsidRDefault="001B2CDA" w:rsidP="00034B8C">
    <w:pPr>
      <w:pStyle w:val="ac"/>
      <w:jc w:val="right"/>
    </w:pPr>
    <w:r>
      <w:t>62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Pr="00AC403E" w:rsidRDefault="001B2CDA" w:rsidP="00AC403E">
    <w:pPr>
      <w:pStyle w:val="ac"/>
      <w:spacing w:before="120"/>
    </w:pPr>
    <w:r w:rsidRPr="00633FE0">
      <w:rPr>
        <w:rFonts w:cs="Calibri"/>
        <w:noProof/>
        <w:sz w:val="22"/>
        <w:szCs w:val="22"/>
      </w:rPr>
      <mc:AlternateContent>
        <mc:Choice Requires="wpg">
          <w:drawing>
            <wp:anchor distT="0" distB="0" distL="0" distR="0" simplePos="0" relativeHeight="251658240" behindDoc="0" locked="0" layoutInCell="1" allowOverlap="1" wp14:anchorId="327D1538" wp14:editId="03A3DA3E">
              <wp:simplePos x="0" y="0"/>
              <wp:positionH relativeFrom="page">
                <wp:posOffset>774700</wp:posOffset>
              </wp:positionH>
              <wp:positionV relativeFrom="page">
                <wp:posOffset>9955530</wp:posOffset>
              </wp:positionV>
              <wp:extent cx="5918200" cy="464820"/>
              <wp:effectExtent l="12700" t="11430" r="12700" b="9525"/>
              <wp:wrapSquare wrapText="bothSides"/>
              <wp:docPr id="6"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0" cy="464820"/>
                        <a:chOff x="0" y="0"/>
                        <a:chExt cx="5962650" cy="323851"/>
                      </a:xfrm>
                    </wpg:grpSpPr>
                    <wps:wsp>
                      <wps:cNvPr id="7" name="Прямоугольник 38"/>
                      <wps:cNvSpPr>
                        <a:spLocks noChangeArrowheads="1"/>
                      </wps:cNvSpPr>
                      <wps:spPr bwMode="auto">
                        <a:xfrm>
                          <a:off x="19050" y="0"/>
                          <a:ext cx="5943600" cy="18826"/>
                        </a:xfrm>
                        <a:prstGeom prst="rect">
                          <a:avLst/>
                        </a:prstGeom>
                        <a:solidFill>
                          <a:srgbClr val="00B0F0"/>
                        </a:solidFill>
                        <a:ln w="12700" algn="ctr">
                          <a:solidFill>
                            <a:srgbClr val="8EAADB"/>
                          </a:solidFill>
                          <a:miter lim="800000"/>
                          <a:headEnd/>
                          <a:tailEnd/>
                        </a:ln>
                      </wps:spPr>
                      <wps:bodyPr rot="0" vert="horz" wrap="square" lIns="91440" tIns="45720" rIns="91440" bIns="45720" anchor="ctr" anchorCtr="0" upright="1">
                        <a:noAutofit/>
                      </wps:bodyPr>
                    </wps:wsp>
                    <wps:wsp>
                      <wps:cNvPr id="8" name="Текстовое поле 39"/>
                      <wps:cNvSpPr txBox="1">
                        <a:spLocks noChangeArrowheads="1"/>
                      </wps:cNvSpPr>
                      <wps:spPr bwMode="auto">
                        <a:xfrm>
                          <a:off x="0" y="66676"/>
                          <a:ext cx="5943600" cy="2571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B2CDA" w:rsidRDefault="001B2CDA" w:rsidP="00AC403E">
                            <w:pPr>
                              <w:spacing w:before="100" w:beforeAutospacing="1"/>
                              <w:rPr>
                                <w:rFonts w:cs="Calibri"/>
                                <w:i/>
                                <w:sz w:val="18"/>
                                <w:szCs w:val="18"/>
                                <w:lang w:val="en-US"/>
                              </w:rPr>
                            </w:pPr>
                            <w:r>
                              <w:rPr>
                                <w:rFonts w:cs="Calibri"/>
                                <w:i/>
                                <w:sz w:val="18"/>
                                <w:szCs w:val="18"/>
                                <w:lang w:val="en-US"/>
                              </w:rPr>
                              <w:t xml:space="preserve">BALANCE OF PAYMENTS, INTERNATIONAL INVESTMENT POSITION AND EXTERNAL DEBT OF UZBEKISTAN </w:t>
                            </w:r>
                            <w:r>
                              <w:rPr>
                                <w:rFonts w:cs="Calibri"/>
                                <w:i/>
                                <w:sz w:val="18"/>
                                <w:szCs w:val="18"/>
                                <w:lang w:val="en-US"/>
                              </w:rPr>
                              <w:br/>
                              <w:t>FOR 2020</w:t>
                            </w:r>
                          </w:p>
                          <w:p w:rsidR="001B2CDA" w:rsidRPr="005551C0" w:rsidRDefault="001B2CDA" w:rsidP="00AC403E">
                            <w:pPr>
                              <w:spacing w:before="100" w:beforeAutospacing="1"/>
                              <w:rPr>
                                <w:rFonts w:cs="Calibri"/>
                                <w:color w:val="808080"/>
                                <w:sz w:val="18"/>
                                <w:szCs w:val="18"/>
                                <w:lang w:val="en-US"/>
                              </w:rPr>
                            </w:pPr>
                          </w:p>
                        </w:txbxContent>
                      </wps:txbx>
                      <wps:bodyPr rot="0" vert="horz" wrap="square" lIns="91440" tIns="45720" rIns="91440" bIns="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27D1538" id="_x0000_s1039" style="position:absolute;margin-left:61pt;margin-top:783.9pt;width:466pt;height:36.6pt;z-index:251658240;mso-wrap-distance-left:0;mso-wrap-distance-right:0;mso-position-horizontal-relative:page;mso-position-vertical-relative:page;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">
              <v:rect id="Прямоугольник 38" o:spid="_x0000_s104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" fillcolor="#00b0f0" strokecolor="#8eaadb" strokeweight="1pt"/>
              <v:shapetype id="_x0000_t202" coordsize="21600,21600" o:spt="202" path="m,l,21600r21600,l21600,xe">
                <v:stroke joinstyle="miter"/>
                <v:path gradientshapeok="t" o:connecttype="rect"/>
              </v:shapetype>
              <v:shape id="Текстовое поле 39" o:spid="_x0000_s1041"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" filled="f" strokecolor="white" strokeweight=".5pt">
                <v:textbox inset=",,,0">
                  <w:txbxContent>
                    <w:p w:rsidR="001B2CDA" w:rsidRDefault="001B2CDA" w:rsidP="00AC403E">
                      <w:pPr>
                        <w:spacing w:before="100" w:beforeAutospacing="1"/>
                        <w:rPr>
                          <w:rFonts w:cs="Calibri"/>
                          <w:i/>
                          <w:sz w:val="18"/>
                          <w:szCs w:val="18"/>
                          <w:lang w:val="en-US"/>
                        </w:rPr>
                      </w:pPr>
                      <w:r>
                        <w:rPr>
                          <w:rFonts w:cs="Calibri"/>
                          <w:i/>
                          <w:sz w:val="18"/>
                          <w:szCs w:val="18"/>
                          <w:lang w:val="en-US"/>
                        </w:rPr>
                        <w:t xml:space="preserve">BALANCE OF PAYMENTS, INTERNATIONAL INVESTMENT POSITION AND EXTERNAL DEBT OF UZBEKISTAN </w:t>
                      </w:r>
                      <w:r>
                        <w:rPr>
                          <w:rFonts w:cs="Calibri"/>
                          <w:i/>
                          <w:sz w:val="18"/>
                          <w:szCs w:val="18"/>
                          <w:lang w:val="en-US"/>
                        </w:rPr>
                        <w:br/>
                        <w:t>FOR 2020</w:t>
                      </w:r>
                    </w:p>
                    <w:p w:rsidR="001B2CDA" w:rsidRPr="005551C0" w:rsidRDefault="001B2CDA" w:rsidP="00AC403E">
                      <w:pPr>
                        <w:spacing w:before="100" w:beforeAutospacing="1"/>
                        <w:rPr>
                          <w:rFonts w:cs="Calibri"/>
                          <w:color w:val="808080"/>
                          <w:sz w:val="18"/>
                          <w:szCs w:val="18"/>
                          <w:lang w:val="en-US"/>
                        </w:rPr>
                      </w:pPr>
                    </w:p>
                  </w:txbxContent>
                </v:textbox>
              </v:shape>
              <w10:wrap type="square" anchorx="page" anchory="page"/>
            </v:group>
          </w:pict>
        </mc:Fallback>
      </mc:AlternateContent>
    </w:r>
    <w:r w:rsidRPr="00633FE0">
      <w:rPr>
        <w:rFonts w:cs="Calibri"/>
        <w:noProof/>
        <w:sz w:val="22"/>
        <w:szCs w:val="22"/>
      </w:rPr>
      <mc:AlternateContent>
        <mc:Choice Requires="wps">
          <w:drawing>
            <wp:anchor distT="0" distB="0" distL="0" distR="0" simplePos="0" relativeHeight="251657216" behindDoc="0" locked="0" layoutInCell="1" allowOverlap="1" wp14:anchorId="3FF82848" wp14:editId="2E2E2EFE">
              <wp:simplePos x="0" y="0"/>
              <wp:positionH relativeFrom="page">
                <wp:posOffset>6711950</wp:posOffset>
              </wp:positionH>
              <wp:positionV relativeFrom="page">
                <wp:posOffset>9955530</wp:posOffset>
              </wp:positionV>
              <wp:extent cx="339725" cy="405130"/>
              <wp:effectExtent l="0" t="1905" r="0" b="2540"/>
              <wp:wrapSquare wrapText="bothSides"/>
              <wp:docPr id="5"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405130"/>
                      </a:xfrm>
                      <a:prstGeom prst="rect">
                        <a:avLst/>
                      </a:prstGeom>
                      <a:solidFill>
                        <a:srgbClr val="00B0F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rsidR="001B2CDA" w:rsidRPr="00C24CE9" w:rsidRDefault="001B2CDA" w:rsidP="00AC403E">
                          <w:pPr>
                            <w:jc w:val="center"/>
                            <w:rPr>
                              <w:rFonts w:ascii="Times New Roman" w:hAnsi="Times New Roman"/>
                              <w:color w:val="FFFFFF"/>
                              <w:sz w:val="10"/>
                              <w:szCs w:val="10"/>
                            </w:rPr>
                          </w:pPr>
                        </w:p>
                        <w:p w:rsidR="001B2CDA" w:rsidRPr="00633FE0" w:rsidRDefault="001B2CDA" w:rsidP="00AC403E">
                          <w:pPr>
                            <w:jc w:val="center"/>
                            <w:rPr>
                              <w:rFonts w:cs="Calibri"/>
                              <w:color w:val="FFFFFF"/>
                              <w:sz w:val="22"/>
                              <w:szCs w:val="22"/>
                            </w:rPr>
                          </w:pPr>
                          <w:r w:rsidRPr="00633FE0">
                            <w:rPr>
                              <w:rFonts w:cs="Calibri"/>
                              <w:color w:val="FFFFFF"/>
                              <w:sz w:val="22"/>
                              <w:szCs w:val="22"/>
                            </w:rPr>
                            <w:fldChar w:fldCharType="begin"/>
                          </w:r>
                          <w:r w:rsidRPr="00633FE0">
                            <w:rPr>
                              <w:rFonts w:cs="Calibri"/>
                              <w:color w:val="FFFFFF"/>
                              <w:sz w:val="22"/>
                              <w:szCs w:val="22"/>
                            </w:rPr>
                            <w:instrText>PAGE   \* MERGEFORMAT</w:instrText>
                          </w:r>
                          <w:r w:rsidRPr="00633FE0">
                            <w:rPr>
                              <w:rFonts w:cs="Calibri"/>
                              <w:color w:val="FFFFFF"/>
                              <w:sz w:val="22"/>
                              <w:szCs w:val="22"/>
                            </w:rPr>
                            <w:fldChar w:fldCharType="separate"/>
                          </w:r>
                          <w:r w:rsidR="007D5B72">
                            <w:rPr>
                              <w:rFonts w:cs="Calibri"/>
                              <w:noProof/>
                              <w:color w:val="FFFFFF"/>
                              <w:sz w:val="22"/>
                              <w:szCs w:val="22"/>
                            </w:rPr>
                            <w:t>21</w:t>
                          </w:r>
                          <w:r w:rsidRPr="00633FE0">
                            <w:rPr>
                              <w:rFonts w:cs="Calibri"/>
                              <w:color w:val="FFFFFF"/>
                              <w:sz w:val="22"/>
                              <w:szCs w:val="22"/>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3FF82848" id="_x0000_s1042" style="position:absolute;margin-left:528.5pt;margin-top:783.9pt;width:26.75pt;height:31.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" fillcolor="#00b0f0" stroked="f" strokeweight="3pt">
              <v:textbox>
                <w:txbxContent>
                  <w:p w:rsidR="001B2CDA" w:rsidRPr="00C24CE9" w:rsidRDefault="001B2CDA" w:rsidP="00AC403E">
                    <w:pPr>
                      <w:jc w:val="center"/>
                      <w:rPr>
                        <w:rFonts w:ascii="Times New Roman" w:hAnsi="Times New Roman"/>
                        <w:color w:val="FFFFFF"/>
                        <w:sz w:val="10"/>
                        <w:szCs w:val="10"/>
                      </w:rPr>
                    </w:pPr>
                  </w:p>
                  <w:p w:rsidR="001B2CDA" w:rsidRPr="00633FE0" w:rsidRDefault="001B2CDA" w:rsidP="00AC403E">
                    <w:pPr>
                      <w:jc w:val="center"/>
                      <w:rPr>
                        <w:rFonts w:cs="Calibri"/>
                        <w:color w:val="FFFFFF"/>
                        <w:sz w:val="22"/>
                        <w:szCs w:val="22"/>
                      </w:rPr>
                    </w:pPr>
                    <w:r w:rsidRPr="00633FE0">
                      <w:rPr>
                        <w:rFonts w:cs="Calibri"/>
                        <w:color w:val="FFFFFF"/>
                        <w:sz w:val="22"/>
                        <w:szCs w:val="22"/>
                      </w:rPr>
                      <w:fldChar w:fldCharType="begin"/>
                    </w:r>
                    <w:r w:rsidRPr="00633FE0">
                      <w:rPr>
                        <w:rFonts w:cs="Calibri"/>
                        <w:color w:val="FFFFFF"/>
                        <w:sz w:val="22"/>
                        <w:szCs w:val="22"/>
                      </w:rPr>
                      <w:instrText>PAGE   \* MERGEFORMAT</w:instrText>
                    </w:r>
                    <w:r w:rsidRPr="00633FE0">
                      <w:rPr>
                        <w:rFonts w:cs="Calibri"/>
                        <w:color w:val="FFFFFF"/>
                        <w:sz w:val="22"/>
                        <w:szCs w:val="22"/>
                      </w:rPr>
                      <w:fldChar w:fldCharType="separate"/>
                    </w:r>
                    <w:r w:rsidR="007D5B72">
                      <w:rPr>
                        <w:rFonts w:cs="Calibri"/>
                        <w:noProof/>
                        <w:color w:val="FFFFFF"/>
                        <w:sz w:val="22"/>
                        <w:szCs w:val="22"/>
                      </w:rPr>
                      <w:t>21</w:t>
                    </w:r>
                    <w:r w:rsidRPr="00633FE0">
                      <w:rPr>
                        <w:rFonts w:cs="Calibri"/>
                        <w:color w:val="FFFFFF"/>
                        <w:sz w:val="22"/>
                        <w:szCs w:val="22"/>
                      </w:rPr>
                      <w:fldChar w:fldCharType="end"/>
                    </w:r>
                  </w:p>
                </w:txbxContent>
              </v:textbox>
              <w10:wrap type="square" anchorx="page" anchory="page"/>
            </v:rect>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Pr="00211205" w:rsidRDefault="001B2CDA" w:rsidP="00355F78">
    <w:pPr>
      <w:pStyle w:val="ac"/>
      <w:jc w:val="right"/>
    </w:pPr>
    <w:r>
      <w:fldChar w:fldCharType="begin"/>
    </w:r>
    <w:r>
      <w:instrText>PAGE   \* MERGEFORMAT</w:instrText>
    </w:r>
    <w:r>
      <w:fldChar w:fldCharType="separate"/>
    </w:r>
    <w:r w:rsidR="007D5B72">
      <w:rPr>
        <w:noProof/>
      </w:rPr>
      <w:t>89</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Pr="00F35FE0" w:rsidRDefault="001B2CDA" w:rsidP="00F62B80">
    <w:pPr>
      <w:pStyle w:val="ac"/>
      <w:spacing w:before="120"/>
      <w:jc w:val="right"/>
      <w:rPr>
        <w:lang w:val="en-US"/>
      </w:rPr>
    </w:pPr>
    <w:r w:rsidRPr="00633FE0">
      <w:rPr>
        <w:rFonts w:cs="Calibri"/>
        <w:noProof/>
        <w:sz w:val="22"/>
        <w:szCs w:val="22"/>
      </w:rPr>
      <mc:AlternateContent>
        <mc:Choice Requires="wpg">
          <w:drawing>
            <wp:anchor distT="0" distB="0" distL="0" distR="0" simplePos="0" relativeHeight="251660288" behindDoc="0" locked="0" layoutInCell="1" allowOverlap="1" wp14:anchorId="3CCDA223" wp14:editId="37D1E6B7">
              <wp:simplePos x="0" y="0"/>
              <wp:positionH relativeFrom="page">
                <wp:posOffset>774700</wp:posOffset>
              </wp:positionH>
              <wp:positionV relativeFrom="page">
                <wp:posOffset>9955530</wp:posOffset>
              </wp:positionV>
              <wp:extent cx="5918200" cy="464820"/>
              <wp:effectExtent l="12700" t="11430" r="12700" b="9525"/>
              <wp:wrapSquare wrapText="bothSides"/>
              <wp:docPr id="2"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0" cy="464820"/>
                        <a:chOff x="0" y="0"/>
                        <a:chExt cx="5962650" cy="323851"/>
                      </a:xfrm>
                    </wpg:grpSpPr>
                    <wps:wsp>
                      <wps:cNvPr id="3" name="Прямоугольник 38"/>
                      <wps:cNvSpPr>
                        <a:spLocks noChangeArrowheads="1"/>
                      </wps:cNvSpPr>
                      <wps:spPr bwMode="auto">
                        <a:xfrm>
                          <a:off x="19050" y="0"/>
                          <a:ext cx="5943600" cy="18826"/>
                        </a:xfrm>
                        <a:prstGeom prst="rect">
                          <a:avLst/>
                        </a:prstGeom>
                        <a:solidFill>
                          <a:srgbClr val="00B0F0"/>
                        </a:solidFill>
                        <a:ln w="12700" algn="ctr">
                          <a:solidFill>
                            <a:srgbClr val="8EAADB"/>
                          </a:solidFill>
                          <a:miter lim="800000"/>
                          <a:headEnd/>
                          <a:tailEnd/>
                        </a:ln>
                      </wps:spPr>
                      <wps:bodyPr rot="0" vert="horz" wrap="square" lIns="91440" tIns="45720" rIns="91440" bIns="45720" anchor="ctr" anchorCtr="0" upright="1">
                        <a:noAutofit/>
                      </wps:bodyPr>
                    </wps:wsp>
                    <wps:wsp>
                      <wps:cNvPr id="4" name="Текстовое поле 39"/>
                      <wps:cNvSpPr txBox="1">
                        <a:spLocks noChangeArrowheads="1"/>
                      </wps:cNvSpPr>
                      <wps:spPr bwMode="auto">
                        <a:xfrm>
                          <a:off x="0" y="66676"/>
                          <a:ext cx="5943600" cy="2571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B2CDA" w:rsidRPr="00F13DBF" w:rsidRDefault="001B2CDA" w:rsidP="00AC403E">
                            <w:pPr>
                              <w:spacing w:before="100" w:beforeAutospacing="1"/>
                              <w:rPr>
                                <w:rFonts w:cs="Calibri"/>
                                <w:color w:val="808080"/>
                                <w:sz w:val="18"/>
                                <w:szCs w:val="18"/>
                              </w:rPr>
                            </w:pPr>
                            <w:r w:rsidRPr="00F13DBF">
                              <w:rPr>
                                <w:rFonts w:cs="Calibri"/>
                                <w:i/>
                                <w:sz w:val="18"/>
                                <w:szCs w:val="18"/>
                              </w:rPr>
                              <w:t xml:space="preserve">ПЛАТЁЖНЫЙ БАЛАНС, МЕЖДУНАРОДНАЯ ИНВЕСТИЦИОННАЯ ПОЗИЦИЯ И ВНЕШНИЙ ДОЛГ РЕСПУБЛИКИ УЗБЕКИСТАН ЗА </w:t>
                            </w:r>
                            <w:r w:rsidRPr="00F13DBF">
                              <w:rPr>
                                <w:rFonts w:cs="Calibri"/>
                                <w:i/>
                                <w:sz w:val="18"/>
                                <w:szCs w:val="18"/>
                                <w:lang w:val="en-US"/>
                              </w:rPr>
                              <w:t>I</w:t>
                            </w:r>
                            <w:r w:rsidRPr="00F13DBF">
                              <w:rPr>
                                <w:rFonts w:cs="Calibri"/>
                                <w:i/>
                                <w:sz w:val="18"/>
                                <w:szCs w:val="18"/>
                              </w:rPr>
                              <w:t xml:space="preserve"> КВАРТАЛ 2019 ГОДА</w:t>
                            </w:r>
                          </w:p>
                        </w:txbxContent>
                      </wps:txbx>
                      <wps:bodyPr rot="0" vert="horz" wrap="square" lIns="91440" tIns="45720" rIns="91440" bIns="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CDA223" id="_x0000_s1043" style="position:absolute;left:0;text-align:left;margin-left:61pt;margin-top:783.9pt;width:466pt;height:36.6pt;z-index:251660288;mso-wrap-distance-left:0;mso-wrap-distance-right:0;mso-position-horizontal-relative:page;mso-position-vertical-relative:page;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">
              <v:rect id="Прямоугольник 38" o:spid="_x0000_s1044"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" fillcolor="#00b0f0" strokecolor="#8eaadb" strokeweight="1pt"/>
              <v:shapetype id="_x0000_t202" coordsize="21600,21600" o:spt="202" path="m,l,21600r21600,l21600,xe">
                <v:stroke joinstyle="miter"/>
                <v:path gradientshapeok="t" o:connecttype="rect"/>
              </v:shapetype>
              <v:shape id="Текстовое поле 39" o:spid="_x0000_s1045"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" filled="f" strokecolor="white" strokeweight=".5pt">
                <v:textbox inset=",,,0">
                  <w:txbxContent>
                    <w:p w:rsidR="001B2CDA" w:rsidRPr="00F13DBF" w:rsidRDefault="001B2CDA" w:rsidP="00AC403E">
                      <w:pPr>
                        <w:spacing w:before="100" w:beforeAutospacing="1"/>
                        <w:rPr>
                          <w:rFonts w:cs="Calibri"/>
                          <w:color w:val="808080"/>
                          <w:sz w:val="18"/>
                          <w:szCs w:val="18"/>
                        </w:rPr>
                      </w:pPr>
                      <w:r w:rsidRPr="00F13DBF">
                        <w:rPr>
                          <w:rFonts w:cs="Calibri"/>
                          <w:i/>
                          <w:sz w:val="18"/>
                          <w:szCs w:val="18"/>
                        </w:rPr>
                        <w:t xml:space="preserve">ПЛАТЁЖНЫЙ БАЛАНС, МЕЖДУНАРОДНАЯ ИНВЕСТИЦИОННАЯ ПОЗИЦИЯ И ВНЕШНИЙ ДОЛГ РЕСПУБЛИКИ УЗБЕКИСТАН ЗА </w:t>
                      </w:r>
                      <w:r w:rsidRPr="00F13DBF">
                        <w:rPr>
                          <w:rFonts w:cs="Calibri"/>
                          <w:i/>
                          <w:sz w:val="18"/>
                          <w:szCs w:val="18"/>
                          <w:lang w:val="en-US"/>
                        </w:rPr>
                        <w:t>I</w:t>
                      </w:r>
                      <w:r w:rsidRPr="00F13DBF">
                        <w:rPr>
                          <w:rFonts w:cs="Calibri"/>
                          <w:i/>
                          <w:sz w:val="18"/>
                          <w:szCs w:val="18"/>
                        </w:rPr>
                        <w:t xml:space="preserve"> КВАРТАЛ 2019 ГОДА</w:t>
                      </w:r>
                    </w:p>
                  </w:txbxContent>
                </v:textbox>
              </v:shape>
              <w10:wrap type="square" anchorx="page" anchory="page"/>
            </v:group>
          </w:pict>
        </mc:Fallback>
      </mc:AlternateContent>
    </w:r>
    <w:r w:rsidRPr="00633FE0">
      <w:rPr>
        <w:rFonts w:cs="Calibri"/>
        <w:noProof/>
        <w:sz w:val="22"/>
        <w:szCs w:val="22"/>
      </w:rPr>
      <mc:AlternateContent>
        <mc:Choice Requires="wps">
          <w:drawing>
            <wp:anchor distT="0" distB="0" distL="0" distR="0" simplePos="0" relativeHeight="251659264" behindDoc="0" locked="0" layoutInCell="1" allowOverlap="1" wp14:anchorId="0A8CD7B2" wp14:editId="583B79A4">
              <wp:simplePos x="0" y="0"/>
              <wp:positionH relativeFrom="page">
                <wp:posOffset>6711950</wp:posOffset>
              </wp:positionH>
              <wp:positionV relativeFrom="page">
                <wp:posOffset>9955530</wp:posOffset>
              </wp:positionV>
              <wp:extent cx="339725" cy="405130"/>
              <wp:effectExtent l="0" t="1905" r="0" b="2540"/>
              <wp:wrapSquare wrapText="bothSides"/>
              <wp:docPr id="1"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405130"/>
                      </a:xfrm>
                      <a:prstGeom prst="rect">
                        <a:avLst/>
                      </a:prstGeom>
                      <a:solidFill>
                        <a:srgbClr val="00B0F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rsidR="001B2CDA" w:rsidRPr="00C24CE9" w:rsidRDefault="001B2CDA" w:rsidP="00AC403E">
                          <w:pPr>
                            <w:jc w:val="center"/>
                            <w:rPr>
                              <w:rFonts w:ascii="Times New Roman" w:hAnsi="Times New Roman"/>
                              <w:color w:val="FFFFFF"/>
                              <w:sz w:val="10"/>
                              <w:szCs w:val="10"/>
                            </w:rPr>
                          </w:pPr>
                        </w:p>
                        <w:p w:rsidR="001B2CDA" w:rsidRPr="00633FE0" w:rsidRDefault="001B2CDA" w:rsidP="00AC403E">
                          <w:pPr>
                            <w:jc w:val="center"/>
                            <w:rPr>
                              <w:rFonts w:cs="Calibri"/>
                              <w:color w:val="FFFFFF"/>
                              <w:sz w:val="22"/>
                              <w:szCs w:val="22"/>
                            </w:rPr>
                          </w:pPr>
                          <w:r w:rsidRPr="00633FE0">
                            <w:rPr>
                              <w:rFonts w:cs="Calibri"/>
                              <w:color w:val="FFFFFF"/>
                              <w:sz w:val="22"/>
                              <w:szCs w:val="22"/>
                            </w:rPr>
                            <w:fldChar w:fldCharType="begin"/>
                          </w:r>
                          <w:r w:rsidRPr="00633FE0">
                            <w:rPr>
                              <w:rFonts w:cs="Calibri"/>
                              <w:color w:val="FFFFFF"/>
                              <w:sz w:val="22"/>
                              <w:szCs w:val="22"/>
                            </w:rPr>
                            <w:instrText>PAGE   \* MERGEFORMAT</w:instrText>
                          </w:r>
                          <w:r w:rsidRPr="00633FE0">
                            <w:rPr>
                              <w:rFonts w:cs="Calibri"/>
                              <w:color w:val="FFFFFF"/>
                              <w:sz w:val="22"/>
                              <w:szCs w:val="22"/>
                            </w:rPr>
                            <w:fldChar w:fldCharType="separate"/>
                          </w:r>
                          <w:r w:rsidR="007D5B72">
                            <w:rPr>
                              <w:rFonts w:cs="Calibri"/>
                              <w:noProof/>
                              <w:color w:val="FFFFFF"/>
                              <w:sz w:val="22"/>
                              <w:szCs w:val="22"/>
                            </w:rPr>
                            <w:t>37</w:t>
                          </w:r>
                          <w:r w:rsidRPr="00633FE0">
                            <w:rPr>
                              <w:rFonts w:cs="Calibri"/>
                              <w:color w:val="FFFFFF"/>
                              <w:sz w:val="22"/>
                              <w:szCs w:val="22"/>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0A8CD7B2" id="_x0000_s1046" style="position:absolute;left:0;text-align:left;margin-left:528.5pt;margin-top:783.9pt;width:26.75pt;height:31.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" fillcolor="#00b0f0" stroked="f" strokeweight="3pt">
              <v:textbox>
                <w:txbxContent>
                  <w:p w:rsidR="001B2CDA" w:rsidRPr="00C24CE9" w:rsidRDefault="001B2CDA" w:rsidP="00AC403E">
                    <w:pPr>
                      <w:jc w:val="center"/>
                      <w:rPr>
                        <w:rFonts w:ascii="Times New Roman" w:hAnsi="Times New Roman"/>
                        <w:color w:val="FFFFFF"/>
                        <w:sz w:val="10"/>
                        <w:szCs w:val="10"/>
                      </w:rPr>
                    </w:pPr>
                  </w:p>
                  <w:p w:rsidR="001B2CDA" w:rsidRPr="00633FE0" w:rsidRDefault="001B2CDA" w:rsidP="00AC403E">
                    <w:pPr>
                      <w:jc w:val="center"/>
                      <w:rPr>
                        <w:rFonts w:cs="Calibri"/>
                        <w:color w:val="FFFFFF"/>
                        <w:sz w:val="22"/>
                        <w:szCs w:val="22"/>
                      </w:rPr>
                    </w:pPr>
                    <w:r w:rsidRPr="00633FE0">
                      <w:rPr>
                        <w:rFonts w:cs="Calibri"/>
                        <w:color w:val="FFFFFF"/>
                        <w:sz w:val="22"/>
                        <w:szCs w:val="22"/>
                      </w:rPr>
                      <w:fldChar w:fldCharType="begin"/>
                    </w:r>
                    <w:r w:rsidRPr="00633FE0">
                      <w:rPr>
                        <w:rFonts w:cs="Calibri"/>
                        <w:color w:val="FFFFFF"/>
                        <w:sz w:val="22"/>
                        <w:szCs w:val="22"/>
                      </w:rPr>
                      <w:instrText>PAGE   \* MERGEFORMAT</w:instrText>
                    </w:r>
                    <w:r w:rsidRPr="00633FE0">
                      <w:rPr>
                        <w:rFonts w:cs="Calibri"/>
                        <w:color w:val="FFFFFF"/>
                        <w:sz w:val="22"/>
                        <w:szCs w:val="22"/>
                      </w:rPr>
                      <w:fldChar w:fldCharType="separate"/>
                    </w:r>
                    <w:r w:rsidR="007D5B72">
                      <w:rPr>
                        <w:rFonts w:cs="Calibri"/>
                        <w:noProof/>
                        <w:color w:val="FFFFFF"/>
                        <w:sz w:val="22"/>
                        <w:szCs w:val="22"/>
                      </w:rPr>
                      <w:t>37</w:t>
                    </w:r>
                    <w:r w:rsidRPr="00633FE0">
                      <w:rPr>
                        <w:rFonts w:cs="Calibri"/>
                        <w:color w:val="FFFFFF"/>
                        <w:sz w:val="22"/>
                        <w:szCs w:val="22"/>
                      </w:rPr>
                      <w:fldChar w:fldCharType="end"/>
                    </w:r>
                  </w:p>
                </w:txbxContent>
              </v:textbox>
              <w10:wrap type="square" anchorx="page" anchory="page"/>
            </v:rect>
          </w:pict>
        </mc:Fallback>
      </mc:AlternateContent>
    </w:r>
    <w:r>
      <w:t>3</w:t>
    </w:r>
    <w:r>
      <w:rPr>
        <w:lang w:val="en-US"/>
      </w:rPr>
      <w:t>7</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882171"/>
      <w:docPartObj>
        <w:docPartGallery w:val="Page Numbers (Bottom of Page)"/>
        <w:docPartUnique/>
      </w:docPartObj>
    </w:sdtPr>
    <w:sdtContent>
      <w:p w:rsidR="001B2CDA" w:rsidRDefault="001B2CDA">
        <w:pPr>
          <w:pStyle w:val="ac"/>
          <w:jc w:val="right"/>
        </w:pPr>
        <w:r>
          <w:fldChar w:fldCharType="begin"/>
        </w:r>
        <w:r>
          <w:instrText>PAGE   \* MERGEFORMAT</w:instrText>
        </w:r>
        <w:r>
          <w:fldChar w:fldCharType="separate"/>
        </w:r>
        <w:r w:rsidR="007D5B72">
          <w:rPr>
            <w:noProof/>
          </w:rPr>
          <w:t>67</w:t>
        </w:r>
        <w:r>
          <w:fldChar w:fldCharType="end"/>
        </w:r>
      </w:p>
    </w:sdtContent>
  </w:sdt>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962407"/>
      <w:docPartObj>
        <w:docPartGallery w:val="Page Numbers (Bottom of Page)"/>
        <w:docPartUnique/>
      </w:docPartObj>
    </w:sdtPr>
    <w:sdtContent>
      <w:p w:rsidR="001B2CDA" w:rsidRDefault="001B2CDA">
        <w:pPr>
          <w:pStyle w:val="ac"/>
          <w:jc w:val="right"/>
        </w:pPr>
        <w:r>
          <w:fldChar w:fldCharType="begin"/>
        </w:r>
        <w:r>
          <w:instrText>PAGE   \* MERGEFORMAT</w:instrText>
        </w:r>
        <w:r>
          <w:fldChar w:fldCharType="separate"/>
        </w:r>
        <w:r w:rsidR="007D5B72">
          <w:rPr>
            <w:noProof/>
          </w:rPr>
          <w:t>68</w:t>
        </w:r>
        <w:r>
          <w:fldChar w:fldCharType="end"/>
        </w:r>
      </w:p>
    </w:sdtContent>
  </w:sdt>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120755"/>
      <w:docPartObj>
        <w:docPartGallery w:val="Page Numbers (Bottom of Page)"/>
        <w:docPartUnique/>
      </w:docPartObj>
    </w:sdtPr>
    <w:sdtContent>
      <w:p w:rsidR="001B2CDA" w:rsidRDefault="001B2CDA">
        <w:pPr>
          <w:pStyle w:val="ac"/>
          <w:jc w:val="right"/>
        </w:pPr>
        <w:r>
          <w:fldChar w:fldCharType="begin"/>
        </w:r>
        <w:r>
          <w:instrText>PAGE   \* MERGEFORMAT</w:instrText>
        </w:r>
        <w:r>
          <w:fldChar w:fldCharType="separate"/>
        </w:r>
        <w:r w:rsidR="007D5B72">
          <w:rPr>
            <w:noProof/>
          </w:rPr>
          <w:t>69</w:t>
        </w:r>
        <w:r>
          <w:fldChar w:fldCharType="end"/>
        </w:r>
      </w:p>
    </w:sdtContent>
  </w:sdt>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478788"/>
      <w:docPartObj>
        <w:docPartGallery w:val="Page Numbers (Bottom of Page)"/>
        <w:docPartUnique/>
      </w:docPartObj>
    </w:sdtPr>
    <w:sdtContent>
      <w:p w:rsidR="001B2CDA" w:rsidRDefault="001B2CDA">
        <w:pPr>
          <w:pStyle w:val="ac"/>
          <w:jc w:val="right"/>
        </w:pPr>
        <w:r>
          <w:fldChar w:fldCharType="begin"/>
        </w:r>
        <w:r>
          <w:instrText>PAGE   \* MERGEFORMAT</w:instrText>
        </w:r>
        <w:r>
          <w:fldChar w:fldCharType="separate"/>
        </w:r>
        <w:r w:rsidR="007D5B72">
          <w:rPr>
            <w:noProof/>
          </w:rPr>
          <w:t>73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722" w:rsidRDefault="00E72722" w:rsidP="000031B1">
      <w:r>
        <w:separator/>
      </w:r>
    </w:p>
  </w:footnote>
  <w:footnote w:type="continuationSeparator" w:id="0">
    <w:p w:rsidR="00E72722" w:rsidRDefault="00E72722" w:rsidP="000031B1">
      <w:r>
        <w:continuationSeparator/>
      </w:r>
    </w:p>
  </w:footnote>
  <w:footnote w:id="1">
    <w:p w:rsidR="001B2CDA" w:rsidRPr="00A11015" w:rsidRDefault="001B2CDA">
      <w:pPr>
        <w:pStyle w:val="a7"/>
        <w:rPr>
          <w:lang w:val="en-US"/>
        </w:rPr>
      </w:pPr>
      <w:r>
        <w:rPr>
          <w:rStyle w:val="a9"/>
        </w:rPr>
        <w:footnoteRef/>
      </w:r>
      <w:r>
        <w:t xml:space="preserve"> </w:t>
      </w:r>
      <w:r>
        <w:rPr>
          <w:lang w:val="en-US"/>
        </w:rPr>
        <w:t>Loans, borrowed from parent enterprises indicated in sector foreign direct investment; Eurobonds, issued by commercial banks and general government indicated in sector portfolio investment</w:t>
      </w:r>
    </w:p>
  </w:footnote>
  <w:footnote w:id="2">
    <w:p w:rsidR="001B2CDA" w:rsidRPr="00A11015" w:rsidRDefault="001B2CDA">
      <w:pPr>
        <w:pStyle w:val="a7"/>
        <w:rPr>
          <w:lang w:val="en-US"/>
        </w:rPr>
      </w:pPr>
      <w:r>
        <w:rPr>
          <w:rStyle w:val="a9"/>
        </w:rPr>
        <w:footnoteRef/>
      </w:r>
      <w:r>
        <w:t xml:space="preserve"> </w:t>
      </w:r>
      <w:r w:rsidRPr="00BD38DB">
        <w:rPr>
          <w:rFonts w:asciiTheme="minorHAnsi" w:hAnsiTheme="minorHAnsi" w:cstheme="minorHAnsi"/>
          <w:sz w:val="18"/>
          <w:szCs w:val="18"/>
          <w:lang w:val="en-US"/>
        </w:rPr>
        <w:t>T</w:t>
      </w:r>
      <w:r>
        <w:rPr>
          <w:rFonts w:asciiTheme="minorHAnsi" w:hAnsiTheme="minorHAnsi" w:cstheme="minorHAnsi"/>
          <w:sz w:val="18"/>
          <w:szCs w:val="18"/>
          <w:lang w:val="en-US"/>
        </w:rPr>
        <w:t>he real exchange rates of the s</w:t>
      </w:r>
      <w:r w:rsidRPr="00BD38DB">
        <w:rPr>
          <w:rFonts w:asciiTheme="minorHAnsi" w:hAnsiTheme="minorHAnsi" w:cstheme="minorHAnsi"/>
          <w:sz w:val="18"/>
          <w:szCs w:val="18"/>
          <w:lang w:val="en-US"/>
        </w:rPr>
        <w:t>um to the currencies of the main trading partners are calculated taking into account changes in the price level in the countries of the main trading partners and represent the change in the index relative to the base period. An increase in the index means a strengthening of the sum to the currencies of the main trading partners. Moreover, the index growth rate is sensitive to the choice of the base period.</w:t>
      </w:r>
    </w:p>
  </w:footnote>
  <w:footnote w:id="3">
    <w:p w:rsidR="001B2CDA" w:rsidRPr="00F01FF2" w:rsidRDefault="001B2CDA" w:rsidP="00F31792">
      <w:pPr>
        <w:pStyle w:val="a7"/>
        <w:rPr>
          <w:lang w:val="en-US"/>
        </w:rPr>
      </w:pPr>
      <w:r>
        <w:rPr>
          <w:rStyle w:val="a9"/>
        </w:rPr>
        <w:footnoteRef/>
      </w:r>
      <w:r>
        <w:t xml:space="preserve"> </w:t>
      </w:r>
      <w:r w:rsidRPr="00F01FF2">
        <w:rPr>
          <w:lang w:val="en-US"/>
        </w:rPr>
        <w:t>Including account of shuttle trade w</w:t>
      </w:r>
      <w:r>
        <w:rPr>
          <w:lang w:val="en-US"/>
        </w:rPr>
        <w:t>hich calculated on the basis of</w:t>
      </w:r>
      <w:r w:rsidRPr="00F01FF2">
        <w:rPr>
          <w:lang w:val="en-US"/>
        </w:rPr>
        <w:t xml:space="preserve"> a survey at border posts, and products </w:t>
      </w:r>
      <w:r>
        <w:rPr>
          <w:lang w:val="uz-Cyrl-UZ"/>
        </w:rPr>
        <w:t>(</w:t>
      </w:r>
      <w:r>
        <w:rPr>
          <w:lang w:val="en-US"/>
        </w:rPr>
        <w:t>jet fuel, etc.</w:t>
      </w:r>
      <w:r>
        <w:rPr>
          <w:lang w:val="uz-Cyrl-UZ"/>
        </w:rPr>
        <w:t xml:space="preserve">) </w:t>
      </w:r>
      <w:r w:rsidRPr="00F01FF2">
        <w:rPr>
          <w:lang w:val="en-US"/>
        </w:rPr>
        <w:t>purchased a</w:t>
      </w:r>
      <w:r>
        <w:rPr>
          <w:lang w:val="en-US"/>
        </w:rPr>
        <w:t>t airports by foreign airplanes</w:t>
      </w:r>
    </w:p>
  </w:footnote>
  <w:footnote w:id="4">
    <w:p w:rsidR="001B2CDA" w:rsidRPr="00CE4CD8" w:rsidRDefault="001B2CDA" w:rsidP="005906C1">
      <w:pPr>
        <w:pStyle w:val="a7"/>
        <w:rPr>
          <w:lang w:val="uz-Cyrl-UZ"/>
        </w:rPr>
      </w:pPr>
      <w:r>
        <w:rPr>
          <w:rStyle w:val="a9"/>
        </w:rPr>
        <w:footnoteRef/>
      </w:r>
      <w:r>
        <w:t xml:space="preserve"> </w:t>
      </w:r>
      <w:r>
        <w:rPr>
          <w:lang w:val="en-US"/>
        </w:rPr>
        <w:t>Data on direct investment is collected by</w:t>
      </w:r>
      <w:r w:rsidRPr="00CE4CD8">
        <w:rPr>
          <w:lang w:val="en-US"/>
        </w:rPr>
        <w:t xml:space="preserve"> </w:t>
      </w:r>
      <w:r>
        <w:rPr>
          <w:lang w:val="en-US"/>
        </w:rPr>
        <w:t>survey of State committee of Republic of Uzbekistan on statistics.</w:t>
      </w:r>
    </w:p>
  </w:footnote>
  <w:footnote w:id="5">
    <w:p w:rsidR="001B2CDA" w:rsidRPr="0029212E" w:rsidRDefault="001B2CDA">
      <w:pPr>
        <w:pStyle w:val="a7"/>
      </w:pPr>
      <w:r>
        <w:rPr>
          <w:rStyle w:val="a9"/>
        </w:rPr>
        <w:footnoteRef/>
      </w:r>
      <w:r>
        <w:t xml:space="preserve"> </w:t>
      </w:r>
      <w:r>
        <w:rPr>
          <w:lang w:val="en-US"/>
        </w:rPr>
        <w:t>Data on direct investment is compiled according to BPM6. IMF, 2009.</w:t>
      </w:r>
    </w:p>
  </w:footnote>
  <w:footnote w:id="6">
    <w:p w:rsidR="001B2CDA" w:rsidRPr="00465C73" w:rsidRDefault="001B2CDA" w:rsidP="005906C1">
      <w:pPr>
        <w:pStyle w:val="a7"/>
        <w:jc w:val="both"/>
        <w:rPr>
          <w:rFonts w:cs="Calibri"/>
          <w:lang w:val="en-US"/>
        </w:rPr>
      </w:pPr>
      <w:r w:rsidRPr="00465C73">
        <w:rPr>
          <w:rStyle w:val="a9"/>
          <w:rFonts w:cs="Calibri"/>
        </w:rPr>
        <w:footnoteRef/>
      </w:r>
      <w:r w:rsidRPr="005E6C6F">
        <w:rPr>
          <w:rFonts w:cs="Calibri"/>
          <w:lang w:val="en-US"/>
        </w:rPr>
        <w:t xml:space="preserve"> Non-operational changes consist of exchange rate, price and other changes that are not included in the financial account as </w:t>
      </w:r>
      <w:r w:rsidRPr="00465C73">
        <w:rPr>
          <w:rFonts w:cs="Calibri"/>
          <w:lang w:val="en-US"/>
        </w:rPr>
        <w:t>operations.</w:t>
      </w:r>
    </w:p>
  </w:footnote>
  <w:footnote w:id="7">
    <w:p w:rsidR="001B2CDA" w:rsidRPr="005E6C6F" w:rsidRDefault="001B2CDA" w:rsidP="005906C1">
      <w:pPr>
        <w:pStyle w:val="a7"/>
        <w:jc w:val="both"/>
        <w:rPr>
          <w:rFonts w:cs="Calibri"/>
          <w:lang w:val="en-US"/>
        </w:rPr>
      </w:pPr>
      <w:r w:rsidRPr="00465C73">
        <w:rPr>
          <w:rStyle w:val="a9"/>
          <w:rFonts w:cs="Calibri"/>
        </w:rPr>
        <w:footnoteRef/>
      </w:r>
      <w:r w:rsidRPr="005E6C6F">
        <w:rPr>
          <w:rFonts w:cs="Calibri"/>
          <w:lang w:val="en-US"/>
        </w:rPr>
        <w:t xml:space="preserve"> The </w:t>
      </w:r>
      <w:r w:rsidRPr="00465C73">
        <w:rPr>
          <w:rFonts w:cs="Calibri"/>
          <w:lang w:val="en-US"/>
        </w:rPr>
        <w:t>general government</w:t>
      </w:r>
      <w:r w:rsidRPr="005E6C6F">
        <w:rPr>
          <w:rFonts w:cs="Calibri"/>
          <w:lang w:val="en-US"/>
        </w:rPr>
        <w:t xml:space="preserve"> sector includes ministries and </w:t>
      </w:r>
      <w:r w:rsidRPr="00465C73">
        <w:rPr>
          <w:rFonts w:cs="Calibri"/>
          <w:lang w:val="en-US"/>
        </w:rPr>
        <w:t>institutions</w:t>
      </w:r>
      <w:r w:rsidRPr="005E6C6F">
        <w:rPr>
          <w:rFonts w:cs="Calibri"/>
          <w:lang w:val="en-US"/>
        </w:rPr>
        <w:t xml:space="preserve"> of </w:t>
      </w:r>
      <w:r w:rsidRPr="00465C73">
        <w:rPr>
          <w:rFonts w:cs="Calibri"/>
          <w:lang w:val="en-US"/>
        </w:rPr>
        <w:t>general government</w:t>
      </w:r>
      <w:r w:rsidRPr="005E6C6F">
        <w:rPr>
          <w:rFonts w:cs="Calibri"/>
          <w:lang w:val="en-US"/>
        </w:rPr>
        <w:t>, as well as the Central Bank. The banking sector includes all commercial banks</w:t>
      </w:r>
    </w:p>
  </w:footnote>
  <w:footnote w:id="8">
    <w:p w:rsidR="001B2CDA" w:rsidRPr="005E6C6F" w:rsidRDefault="001B2CDA" w:rsidP="005906C1">
      <w:pPr>
        <w:pStyle w:val="a7"/>
        <w:jc w:val="both"/>
        <w:rPr>
          <w:lang w:val="en-US"/>
        </w:rPr>
      </w:pPr>
      <w:r w:rsidRPr="00465C73">
        <w:rPr>
          <w:rStyle w:val="a9"/>
          <w:rFonts w:cs="Calibri"/>
        </w:rPr>
        <w:footnoteRef/>
      </w:r>
      <w:r w:rsidRPr="005E6C6F">
        <w:rPr>
          <w:rFonts w:cs="Calibri"/>
          <w:lang w:val="en-US"/>
        </w:rPr>
        <w:t> Net creditor - assets of the sector in question exceed</w:t>
      </w:r>
      <w:r w:rsidRPr="00465C73">
        <w:rPr>
          <w:rFonts w:cs="Calibri"/>
          <w:lang w:val="en-US"/>
        </w:rPr>
        <w:t xml:space="preserve"> its</w:t>
      </w:r>
      <w:r w:rsidRPr="005E6C6F">
        <w:rPr>
          <w:rFonts w:cs="Calibri"/>
          <w:lang w:val="en-US"/>
        </w:rPr>
        <w:t xml:space="preserve"> liabilities; Net borrower - liabilities of the sector under consideration exceed</w:t>
      </w:r>
      <w:r w:rsidRPr="00465C73">
        <w:rPr>
          <w:rFonts w:cs="Calibri"/>
          <w:lang w:val="en-US"/>
        </w:rPr>
        <w:t xml:space="preserve"> its</w:t>
      </w:r>
      <w:r w:rsidRPr="005E6C6F">
        <w:rPr>
          <w:rFonts w:cs="Calibri"/>
          <w:lang w:val="en-US"/>
        </w:rPr>
        <w:t xml:space="preserve"> assets</w:t>
      </w:r>
    </w:p>
  </w:footnote>
  <w:footnote w:id="9">
    <w:p w:rsidR="001B2CDA" w:rsidRPr="00E0203A" w:rsidRDefault="001B2CDA" w:rsidP="005906C1">
      <w:pPr>
        <w:pStyle w:val="a7"/>
        <w:jc w:val="both"/>
        <w:rPr>
          <w:rFonts w:cs="Calibri"/>
          <w:lang w:val="en-US"/>
        </w:rPr>
      </w:pPr>
      <w:r>
        <w:rPr>
          <w:rStyle w:val="a9"/>
        </w:rPr>
        <w:footnoteRef/>
      </w:r>
      <w:r w:rsidRPr="00E0203A">
        <w:rPr>
          <w:lang w:val="en-US"/>
        </w:rPr>
        <w:t> </w:t>
      </w:r>
      <w:r>
        <w:rPr>
          <w:rFonts w:cs="Calibri"/>
          <w:lang w:val="en-US"/>
        </w:rPr>
        <w:t xml:space="preserve">Receipts </w:t>
      </w:r>
      <w:r w:rsidRPr="00350CA1">
        <w:rPr>
          <w:rFonts w:cs="Calibri"/>
          <w:lang w:val="en-US"/>
        </w:rPr>
        <w:t xml:space="preserve">from foreign investors under the PSA are estimated as an inflow of foreign investment and are recorded as </w:t>
      </w:r>
      <w:r w:rsidRPr="001739DD">
        <w:rPr>
          <w:rFonts w:cs="Calibri"/>
          <w:lang w:val="en-US"/>
        </w:rPr>
        <w:t>direct investment. The above funds</w:t>
      </w:r>
      <w:r w:rsidRPr="00E0203A">
        <w:rPr>
          <w:lang w:val="en-US"/>
        </w:rPr>
        <w:t xml:space="preserve"> </w:t>
      </w:r>
      <w:r>
        <w:rPr>
          <w:rFonts w:cs="Calibri"/>
          <w:lang w:val="en-US"/>
        </w:rPr>
        <w:t>have been</w:t>
      </w:r>
      <w:r w:rsidRPr="000C788E">
        <w:rPr>
          <w:rFonts w:cs="Calibri"/>
          <w:lang w:val="en-US"/>
        </w:rPr>
        <w:t xml:space="preserve"> received to special account of PSA operator </w:t>
      </w:r>
      <w:r w:rsidRPr="001739DD">
        <w:rPr>
          <w:rFonts w:cs="Calibri"/>
          <w:lang w:val="en-US"/>
        </w:rPr>
        <w:t>opened abroad as part of the project.</w:t>
      </w:r>
    </w:p>
  </w:footnote>
  <w:footnote w:id="10">
    <w:p w:rsidR="001B2CDA" w:rsidRPr="00E52D82" w:rsidRDefault="001B2CDA" w:rsidP="005906C1">
      <w:pPr>
        <w:pStyle w:val="a7"/>
        <w:jc w:val="both"/>
        <w:rPr>
          <w:lang w:val="en-US"/>
        </w:rPr>
      </w:pPr>
      <w:r w:rsidRPr="001739DD">
        <w:rPr>
          <w:rStyle w:val="a9"/>
          <w:rFonts w:cs="Calibri"/>
        </w:rPr>
        <w:footnoteRef/>
      </w:r>
      <w:r w:rsidRPr="00E52D82">
        <w:rPr>
          <w:rFonts w:cs="Calibri"/>
          <w:lang w:val="en-US"/>
        </w:rPr>
        <w:t> </w:t>
      </w:r>
      <w:r w:rsidRPr="001739DD">
        <w:rPr>
          <w:rFonts w:cs="Calibri"/>
          <w:lang w:val="en-US"/>
        </w:rPr>
        <w:t xml:space="preserve">The data </w:t>
      </w:r>
      <w:r>
        <w:rPr>
          <w:rFonts w:cs="Calibri"/>
          <w:lang w:val="en-US"/>
        </w:rPr>
        <w:t>was</w:t>
      </w:r>
      <w:r w:rsidRPr="001739DD">
        <w:rPr>
          <w:rFonts w:cs="Calibri"/>
          <w:lang w:val="en-US"/>
        </w:rPr>
        <w:t xml:space="preserve"> revised </w:t>
      </w:r>
      <w:r>
        <w:rPr>
          <w:rFonts w:cs="Calibri"/>
          <w:lang w:val="en-US"/>
        </w:rPr>
        <w:t>based on</w:t>
      </w:r>
      <w:r w:rsidRPr="001739DD">
        <w:rPr>
          <w:rFonts w:cs="Calibri"/>
          <w:lang w:val="en-US"/>
        </w:rPr>
        <w:t xml:space="preserve"> updated information from the State Committee of the Republic of Uzbekistan on Statistics and PSA operators.</w:t>
      </w:r>
    </w:p>
  </w:footnote>
  <w:footnote w:id="11">
    <w:p w:rsidR="001B2CDA" w:rsidRPr="000D2A6C" w:rsidRDefault="001B2CDA" w:rsidP="00D271D8">
      <w:pPr>
        <w:pStyle w:val="a7"/>
        <w:jc w:val="both"/>
        <w:rPr>
          <w:lang w:val="en-US"/>
        </w:rPr>
      </w:pPr>
      <w:r w:rsidRPr="001E0A02">
        <w:rPr>
          <w:rStyle w:val="a9"/>
        </w:rPr>
        <w:footnoteRef/>
      </w:r>
      <w:r w:rsidRPr="001E0A02">
        <w:rPr>
          <w:lang w:val="en-US"/>
        </w:rPr>
        <w:t> </w:t>
      </w:r>
      <w:r w:rsidRPr="00CF6748">
        <w:rPr>
          <w:rFonts w:cs="Calibri"/>
        </w:rPr>
        <w:t>At the beginning of 2018, the methodology for calculating external debt was revised, and starting from 2018, when calculating the debt on foreign borrowings, accrued but unpaid inter</w:t>
      </w:r>
      <w:r>
        <w:rPr>
          <w:rFonts w:cs="Calibri"/>
        </w:rPr>
        <w:t>est is also taken into account</w:t>
      </w:r>
      <w:r>
        <w:rPr>
          <w:rFonts w:cs="Calibri"/>
          <w:lang w:val="en-US"/>
        </w:rPr>
        <w:t>.</w:t>
      </w:r>
      <w:r>
        <w:rPr>
          <w:rFonts w:cs="Calibri"/>
        </w:rPr>
        <w:t xml:space="preserve"> </w:t>
      </w:r>
    </w:p>
  </w:footnote>
  <w:footnote w:id="12">
    <w:p w:rsidR="001B2CDA" w:rsidRPr="00CF6748" w:rsidRDefault="001B2CDA" w:rsidP="007D7C71">
      <w:pPr>
        <w:pStyle w:val="a7"/>
        <w:rPr>
          <w:rFonts w:cs="Calibri"/>
        </w:rPr>
      </w:pPr>
      <w:r w:rsidRPr="00CF6748">
        <w:rPr>
          <w:rStyle w:val="a9"/>
          <w:rFonts w:cs="Calibri"/>
        </w:rPr>
        <w:footnoteRef/>
      </w:r>
      <w:r w:rsidRPr="00CF6748">
        <w:rPr>
          <w:rFonts w:cs="Calibri"/>
          <w:lang w:val="en-US"/>
        </w:rPr>
        <w:t xml:space="preserve"> </w:t>
      </w:r>
      <w:r w:rsidRPr="00CF6748">
        <w:rPr>
          <w:rFonts w:cs="Calibri"/>
        </w:rPr>
        <w:t>Total external debt includes debt provided by parent companies.</w:t>
      </w:r>
    </w:p>
  </w:footnote>
  <w:footnote w:id="13">
    <w:p w:rsidR="001B2CDA" w:rsidRPr="000D2A6C" w:rsidRDefault="001B2CDA" w:rsidP="00D271D8">
      <w:pPr>
        <w:pStyle w:val="a7"/>
        <w:jc w:val="both"/>
        <w:rPr>
          <w:rFonts w:cs="Arial"/>
          <w:lang w:val="en-US"/>
        </w:rPr>
      </w:pPr>
      <w:r w:rsidRPr="00CF6748">
        <w:rPr>
          <w:rStyle w:val="a9"/>
          <w:rFonts w:cs="Calibri"/>
        </w:rPr>
        <w:footnoteRef/>
      </w:r>
      <w:r w:rsidRPr="00CF6748">
        <w:rPr>
          <w:rFonts w:cs="Calibri"/>
          <w:lang w:val="en-US"/>
        </w:rPr>
        <w:t> </w:t>
      </w:r>
      <w:r w:rsidRPr="00CF6748">
        <w:rPr>
          <w:rFonts w:cs="Calibri"/>
        </w:rPr>
        <w:t>Government external debt is composed of debt raised by government and debt received against guarantee of government. Private external debt is composed of external borrowings of business entities including government enterprises, which are not guaranteed by government.</w:t>
      </w:r>
      <w:r>
        <w:rPr>
          <w:rFonts w:cs="Calibri"/>
          <w:lang w:val="en-US"/>
        </w:rPr>
        <w:t xml:space="preserve"> </w:t>
      </w:r>
    </w:p>
  </w:footnote>
  <w:footnote w:id="14">
    <w:p w:rsidR="001B2CDA" w:rsidRPr="00497BD9" w:rsidRDefault="001B2CDA" w:rsidP="00497BD9">
      <w:pPr>
        <w:pStyle w:val="a7"/>
      </w:pPr>
      <w:r w:rsidRPr="001E0A02">
        <w:rPr>
          <w:rStyle w:val="a9"/>
        </w:rPr>
        <w:footnoteRef/>
      </w:r>
      <w:r w:rsidRPr="001E0A02">
        <w:t xml:space="preserve"> </w:t>
      </w:r>
      <w:r w:rsidRPr="00497BD9">
        <w:t>External debt is divided based on initial term of borrowings maturity</w:t>
      </w:r>
    </w:p>
  </w:footnote>
  <w:footnote w:id="15">
    <w:p w:rsidR="001B2CDA" w:rsidRPr="00BA1CA0" w:rsidRDefault="001B2CDA" w:rsidP="00345821">
      <w:pPr>
        <w:pStyle w:val="a7"/>
        <w:rPr>
          <w:sz w:val="16"/>
          <w:szCs w:val="16"/>
          <w:lang w:val="en-US"/>
        </w:rPr>
      </w:pPr>
      <w:r>
        <w:rPr>
          <w:rStyle w:val="a9"/>
        </w:rPr>
        <w:footnoteRef/>
      </w:r>
      <w:r>
        <w:t xml:space="preserve"> </w:t>
      </w:r>
      <w:r>
        <w:rPr>
          <w:sz w:val="16"/>
          <w:szCs w:val="16"/>
          <w:lang w:val="en-US"/>
        </w:rPr>
        <w:t>Information</w:t>
      </w:r>
      <w:r w:rsidRPr="004338D4">
        <w:rPr>
          <w:sz w:val="16"/>
          <w:szCs w:val="16"/>
          <w:lang w:val="en-US"/>
        </w:rPr>
        <w:t xml:space="preserve"> </w:t>
      </w:r>
      <w:r>
        <w:rPr>
          <w:sz w:val="16"/>
          <w:szCs w:val="16"/>
          <w:lang w:val="en-US"/>
        </w:rPr>
        <w:t>about</w:t>
      </w:r>
      <w:r w:rsidRPr="004338D4">
        <w:rPr>
          <w:sz w:val="16"/>
          <w:szCs w:val="16"/>
          <w:lang w:val="en-US"/>
        </w:rPr>
        <w:t xml:space="preserve"> </w:t>
      </w:r>
      <w:r>
        <w:rPr>
          <w:sz w:val="16"/>
          <w:szCs w:val="16"/>
          <w:lang w:val="en-US"/>
        </w:rPr>
        <w:t>gross</w:t>
      </w:r>
      <w:r w:rsidRPr="004338D4">
        <w:rPr>
          <w:sz w:val="16"/>
          <w:szCs w:val="16"/>
          <w:lang w:val="en-US"/>
        </w:rPr>
        <w:t xml:space="preserve"> </w:t>
      </w:r>
      <w:r>
        <w:rPr>
          <w:sz w:val="16"/>
          <w:szCs w:val="16"/>
          <w:lang w:val="en-US"/>
        </w:rPr>
        <w:t>external</w:t>
      </w:r>
      <w:r w:rsidRPr="004338D4">
        <w:rPr>
          <w:sz w:val="16"/>
          <w:szCs w:val="16"/>
          <w:lang w:val="en-US"/>
        </w:rPr>
        <w:t xml:space="preserve"> </w:t>
      </w:r>
      <w:r>
        <w:rPr>
          <w:sz w:val="16"/>
          <w:szCs w:val="16"/>
          <w:lang w:val="en-US"/>
        </w:rPr>
        <w:t>debt</w:t>
      </w:r>
      <w:r w:rsidRPr="004338D4">
        <w:rPr>
          <w:sz w:val="16"/>
          <w:szCs w:val="16"/>
          <w:lang w:val="en-US"/>
        </w:rPr>
        <w:t xml:space="preserve"> </w:t>
      </w:r>
      <w:r>
        <w:rPr>
          <w:sz w:val="16"/>
          <w:szCs w:val="16"/>
          <w:lang w:val="en-US"/>
        </w:rPr>
        <w:t>shows</w:t>
      </w:r>
      <w:r w:rsidRPr="004338D4">
        <w:rPr>
          <w:sz w:val="16"/>
          <w:szCs w:val="16"/>
          <w:lang w:val="en-US"/>
        </w:rPr>
        <w:t xml:space="preserve"> </w:t>
      </w:r>
      <w:r>
        <w:rPr>
          <w:sz w:val="16"/>
          <w:szCs w:val="16"/>
          <w:lang w:val="en-US"/>
        </w:rPr>
        <w:t>according</w:t>
      </w:r>
      <w:r w:rsidRPr="004338D4">
        <w:rPr>
          <w:sz w:val="16"/>
          <w:szCs w:val="16"/>
          <w:lang w:val="en-US"/>
        </w:rPr>
        <w:t xml:space="preserve"> </w:t>
      </w:r>
      <w:r>
        <w:rPr>
          <w:sz w:val="16"/>
          <w:szCs w:val="16"/>
          <w:lang w:val="en-US"/>
        </w:rPr>
        <w:t>to</w:t>
      </w:r>
      <w:r w:rsidRPr="004338D4">
        <w:rPr>
          <w:sz w:val="16"/>
          <w:szCs w:val="16"/>
          <w:lang w:val="en-US"/>
        </w:rPr>
        <w:t xml:space="preserve"> </w:t>
      </w:r>
      <w:r>
        <w:rPr>
          <w:sz w:val="16"/>
          <w:szCs w:val="16"/>
          <w:lang w:val="en-US"/>
        </w:rPr>
        <w:t>external debt statistics manual of IMF from 2013 sector</w:t>
      </w:r>
      <w:r w:rsidRPr="004338D4">
        <w:rPr>
          <w:sz w:val="16"/>
          <w:szCs w:val="16"/>
          <w:lang w:val="en-US"/>
        </w:rPr>
        <w:t xml:space="preserve"> 4 «</w:t>
      </w:r>
      <w:r>
        <w:rPr>
          <w:sz w:val="16"/>
          <w:szCs w:val="16"/>
          <w:lang w:val="en-US"/>
        </w:rPr>
        <w:t>Compiling data</w:t>
      </w:r>
      <w:r w:rsidRPr="004338D4">
        <w:rPr>
          <w:sz w:val="16"/>
          <w:szCs w:val="16"/>
          <w:lang w:val="en-US"/>
        </w:rPr>
        <w:t xml:space="preserve"> </w:t>
      </w:r>
      <w:r>
        <w:rPr>
          <w:sz w:val="16"/>
          <w:szCs w:val="16"/>
          <w:lang w:val="en-US"/>
        </w:rPr>
        <w:t xml:space="preserve">of external </w:t>
      </w:r>
      <w:r w:rsidRPr="00BA1CA0">
        <w:rPr>
          <w:sz w:val="16"/>
          <w:szCs w:val="16"/>
          <w:lang w:val="en-US"/>
        </w:rPr>
        <w:t>debt».</w:t>
      </w:r>
    </w:p>
  </w:footnote>
  <w:footnote w:id="16">
    <w:p w:rsidR="00BA1CA0" w:rsidRPr="00BA1CA0" w:rsidRDefault="00BA1CA0">
      <w:pPr>
        <w:pStyle w:val="a7"/>
        <w:rPr>
          <w:lang w:val="en-US"/>
        </w:rPr>
      </w:pPr>
      <w:r w:rsidRPr="00BA1CA0">
        <w:rPr>
          <w:rStyle w:val="a9"/>
          <w:sz w:val="16"/>
          <w:szCs w:val="16"/>
        </w:rPr>
        <w:footnoteRef/>
      </w:r>
      <w:r w:rsidRPr="00BA1CA0">
        <w:rPr>
          <w:sz w:val="16"/>
          <w:szCs w:val="16"/>
        </w:rPr>
        <w:t xml:space="preserve"> </w:t>
      </w:r>
      <w:r w:rsidRPr="00BA1CA0">
        <w:rPr>
          <w:sz w:val="16"/>
          <w:szCs w:val="16"/>
          <w:lang w:val="en-US"/>
        </w:rPr>
        <w:t>SDR allocations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Pr="00995B2E" w:rsidRDefault="001B2CDA" w:rsidP="00995B2E">
    <w:pPr>
      <w:pStyle w:val="aa"/>
      <w:pBdr>
        <w:bottom w:val="single" w:sz="4" w:space="1" w:color="auto"/>
      </w:pBdr>
      <w:jc w:val="right"/>
      <w:rPr>
        <w:i/>
        <w:lang w:val="en-US"/>
      </w:rPr>
    </w:pPr>
    <w:r>
      <w:rPr>
        <w:i/>
        <w:lang w:val="en-US"/>
      </w:rPr>
      <w:t>CENTRAL BANK OF UZBEKISTAN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Pr="005551C0" w:rsidRDefault="001B2CDA" w:rsidP="00F13126">
    <w:pPr>
      <w:pStyle w:val="aa"/>
      <w:pBdr>
        <w:bottom w:val="single" w:sz="4" w:space="1" w:color="auto"/>
      </w:pBdr>
      <w:jc w:val="right"/>
      <w:rPr>
        <w:i/>
        <w:lang w:val="en-US"/>
      </w:rPr>
    </w:pPr>
    <w:r>
      <w:rPr>
        <w:i/>
        <w:lang w:val="en-US"/>
      </w:rPr>
      <w:t>CENTRAL BANK OF UZBEKISTAN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D26D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236C1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035B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06293C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C4C2AA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52005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0AE79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8E2C7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126CB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300645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D3D1476"/>
    <w:multiLevelType w:val="hybridMultilevel"/>
    <w:tmpl w:val="56A0BC1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4653AF"/>
    <w:multiLevelType w:val="hybridMultilevel"/>
    <w:tmpl w:val="1DA8018C"/>
    <w:lvl w:ilvl="0" w:tplc="91726C3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77611043"/>
    <w:multiLevelType w:val="hybridMultilevel"/>
    <w:tmpl w:val="96CED4BA"/>
    <w:lvl w:ilvl="0" w:tplc="7C809B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8"/>
    <w:lvlOverride w:ilvl="0">
      <w:startOverride w:val="1"/>
    </w:lvlOverride>
  </w:num>
  <w:num w:numId="5">
    <w:abstractNumId w:val="7"/>
  </w:num>
  <w:num w:numId="6">
    <w:abstractNumId w:val="6"/>
  </w:num>
  <w:num w:numId="7">
    <w:abstractNumId w:val="5"/>
  </w:num>
  <w:num w:numId="8">
    <w:abstractNumId w:val="4"/>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8"/>
  </w:num>
  <w:num w:numId="14">
    <w:abstractNumId w:val="3"/>
  </w:num>
  <w:num w:numId="15">
    <w:abstractNumId w:val="2"/>
  </w:num>
  <w:num w:numId="16">
    <w:abstractNumId w:val="1"/>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hideSpellingErrors/>
  <w:defaultTabStop w:val="708"/>
  <w:drawingGridHorizontalSpacing w:val="110"/>
  <w:displayHorizontalDrawingGridEvery w:val="2"/>
  <w:characterSpacingControl w:val="doNotCompress"/>
  <w:hdrShapeDefaults>
    <o:shapedefaults v:ext="edit" spidmax="2049" style="mso-width-percent:900;v-text-anchor:bottom" fill="f" fillcolor="white" strokecolor="white">
      <v:fill color="white" on="f"/>
      <v:stroke color="white" weight=".5pt"/>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5F"/>
    <w:rsid w:val="00000311"/>
    <w:rsid w:val="00000905"/>
    <w:rsid w:val="00000988"/>
    <w:rsid w:val="00001505"/>
    <w:rsid w:val="00001722"/>
    <w:rsid w:val="00002465"/>
    <w:rsid w:val="00002ACB"/>
    <w:rsid w:val="000031B1"/>
    <w:rsid w:val="0000491C"/>
    <w:rsid w:val="00004AF2"/>
    <w:rsid w:val="0000525A"/>
    <w:rsid w:val="000054C8"/>
    <w:rsid w:val="00005957"/>
    <w:rsid w:val="00006668"/>
    <w:rsid w:val="00006A29"/>
    <w:rsid w:val="000070A3"/>
    <w:rsid w:val="00007945"/>
    <w:rsid w:val="00007F85"/>
    <w:rsid w:val="00010C81"/>
    <w:rsid w:val="00011530"/>
    <w:rsid w:val="000117FC"/>
    <w:rsid w:val="00011AB8"/>
    <w:rsid w:val="000126C1"/>
    <w:rsid w:val="000127DD"/>
    <w:rsid w:val="000132F5"/>
    <w:rsid w:val="0001498B"/>
    <w:rsid w:val="00014D66"/>
    <w:rsid w:val="0001545F"/>
    <w:rsid w:val="00015587"/>
    <w:rsid w:val="000161BB"/>
    <w:rsid w:val="0001634A"/>
    <w:rsid w:val="0001653E"/>
    <w:rsid w:val="00016AF1"/>
    <w:rsid w:val="00016EC6"/>
    <w:rsid w:val="0002059F"/>
    <w:rsid w:val="00020662"/>
    <w:rsid w:val="00021003"/>
    <w:rsid w:val="00021CC9"/>
    <w:rsid w:val="00021EA2"/>
    <w:rsid w:val="000221B9"/>
    <w:rsid w:val="0002252F"/>
    <w:rsid w:val="00022F49"/>
    <w:rsid w:val="00023D9F"/>
    <w:rsid w:val="00023EEB"/>
    <w:rsid w:val="0002404D"/>
    <w:rsid w:val="00024076"/>
    <w:rsid w:val="00024AEC"/>
    <w:rsid w:val="00024D3A"/>
    <w:rsid w:val="00024F47"/>
    <w:rsid w:val="00025F71"/>
    <w:rsid w:val="00025FD9"/>
    <w:rsid w:val="000270FE"/>
    <w:rsid w:val="0002745D"/>
    <w:rsid w:val="0002749F"/>
    <w:rsid w:val="000275A5"/>
    <w:rsid w:val="000275BF"/>
    <w:rsid w:val="000275C0"/>
    <w:rsid w:val="00027FCD"/>
    <w:rsid w:val="00031029"/>
    <w:rsid w:val="000320B2"/>
    <w:rsid w:val="0003313B"/>
    <w:rsid w:val="00033280"/>
    <w:rsid w:val="00033DF3"/>
    <w:rsid w:val="000342F9"/>
    <w:rsid w:val="00034B8C"/>
    <w:rsid w:val="00035527"/>
    <w:rsid w:val="00035BB7"/>
    <w:rsid w:val="00035F8D"/>
    <w:rsid w:val="000364F0"/>
    <w:rsid w:val="000366DF"/>
    <w:rsid w:val="000370DB"/>
    <w:rsid w:val="00037233"/>
    <w:rsid w:val="0003744F"/>
    <w:rsid w:val="00040DA5"/>
    <w:rsid w:val="000412DD"/>
    <w:rsid w:val="00041BA6"/>
    <w:rsid w:val="00042AE6"/>
    <w:rsid w:val="00043C48"/>
    <w:rsid w:val="00043E99"/>
    <w:rsid w:val="00044653"/>
    <w:rsid w:val="00045166"/>
    <w:rsid w:val="0004547E"/>
    <w:rsid w:val="00045679"/>
    <w:rsid w:val="000464BA"/>
    <w:rsid w:val="00046EBB"/>
    <w:rsid w:val="00046F5A"/>
    <w:rsid w:val="000471BF"/>
    <w:rsid w:val="000472D3"/>
    <w:rsid w:val="00047B03"/>
    <w:rsid w:val="00050467"/>
    <w:rsid w:val="000508CF"/>
    <w:rsid w:val="00050D1B"/>
    <w:rsid w:val="00050D60"/>
    <w:rsid w:val="0005454A"/>
    <w:rsid w:val="000546AB"/>
    <w:rsid w:val="0005497F"/>
    <w:rsid w:val="00054B4A"/>
    <w:rsid w:val="00054E4E"/>
    <w:rsid w:val="00055549"/>
    <w:rsid w:val="00055961"/>
    <w:rsid w:val="0005615B"/>
    <w:rsid w:val="000563A5"/>
    <w:rsid w:val="000570CD"/>
    <w:rsid w:val="00057100"/>
    <w:rsid w:val="000571E0"/>
    <w:rsid w:val="000572A6"/>
    <w:rsid w:val="000573AD"/>
    <w:rsid w:val="00057452"/>
    <w:rsid w:val="00057573"/>
    <w:rsid w:val="00057ECD"/>
    <w:rsid w:val="00057FA6"/>
    <w:rsid w:val="00060241"/>
    <w:rsid w:val="00061F34"/>
    <w:rsid w:val="00062839"/>
    <w:rsid w:val="00062F9E"/>
    <w:rsid w:val="00063E26"/>
    <w:rsid w:val="00065C05"/>
    <w:rsid w:val="00066081"/>
    <w:rsid w:val="0006630D"/>
    <w:rsid w:val="00066516"/>
    <w:rsid w:val="0006661B"/>
    <w:rsid w:val="000669BC"/>
    <w:rsid w:val="00067435"/>
    <w:rsid w:val="00067638"/>
    <w:rsid w:val="00067C77"/>
    <w:rsid w:val="000701F2"/>
    <w:rsid w:val="0007086D"/>
    <w:rsid w:val="00070A81"/>
    <w:rsid w:val="00071130"/>
    <w:rsid w:val="000714E4"/>
    <w:rsid w:val="00071816"/>
    <w:rsid w:val="00071D66"/>
    <w:rsid w:val="000728F1"/>
    <w:rsid w:val="00073890"/>
    <w:rsid w:val="00073B13"/>
    <w:rsid w:val="00074BF3"/>
    <w:rsid w:val="00074F94"/>
    <w:rsid w:val="0007544F"/>
    <w:rsid w:val="000777CC"/>
    <w:rsid w:val="00077867"/>
    <w:rsid w:val="00077DB2"/>
    <w:rsid w:val="00077DFC"/>
    <w:rsid w:val="000801D6"/>
    <w:rsid w:val="00080A0C"/>
    <w:rsid w:val="000810C5"/>
    <w:rsid w:val="0008110B"/>
    <w:rsid w:val="000822E0"/>
    <w:rsid w:val="0008296D"/>
    <w:rsid w:val="00082A9E"/>
    <w:rsid w:val="00082C75"/>
    <w:rsid w:val="00082D3D"/>
    <w:rsid w:val="00083E2A"/>
    <w:rsid w:val="00084219"/>
    <w:rsid w:val="00084641"/>
    <w:rsid w:val="000848FA"/>
    <w:rsid w:val="00084A80"/>
    <w:rsid w:val="00085094"/>
    <w:rsid w:val="000852E8"/>
    <w:rsid w:val="00085844"/>
    <w:rsid w:val="00085D97"/>
    <w:rsid w:val="0008672F"/>
    <w:rsid w:val="00086BAA"/>
    <w:rsid w:val="00086D6D"/>
    <w:rsid w:val="000870A9"/>
    <w:rsid w:val="00087A9C"/>
    <w:rsid w:val="00087F07"/>
    <w:rsid w:val="00087F80"/>
    <w:rsid w:val="0009072D"/>
    <w:rsid w:val="00090BD2"/>
    <w:rsid w:val="00090C60"/>
    <w:rsid w:val="00091136"/>
    <w:rsid w:val="0009150A"/>
    <w:rsid w:val="00091EEC"/>
    <w:rsid w:val="0009200C"/>
    <w:rsid w:val="00092981"/>
    <w:rsid w:val="0009355E"/>
    <w:rsid w:val="00093B53"/>
    <w:rsid w:val="00094EC9"/>
    <w:rsid w:val="000954D9"/>
    <w:rsid w:val="00095CD1"/>
    <w:rsid w:val="00095CDD"/>
    <w:rsid w:val="00096B40"/>
    <w:rsid w:val="00096F9A"/>
    <w:rsid w:val="00097026"/>
    <w:rsid w:val="00097A78"/>
    <w:rsid w:val="00097BE9"/>
    <w:rsid w:val="000A0671"/>
    <w:rsid w:val="000A0978"/>
    <w:rsid w:val="000A1C43"/>
    <w:rsid w:val="000A2DF8"/>
    <w:rsid w:val="000A37D2"/>
    <w:rsid w:val="000A3F32"/>
    <w:rsid w:val="000A4E69"/>
    <w:rsid w:val="000A546A"/>
    <w:rsid w:val="000A5700"/>
    <w:rsid w:val="000A5A05"/>
    <w:rsid w:val="000A5EC2"/>
    <w:rsid w:val="000A5F5B"/>
    <w:rsid w:val="000A62A2"/>
    <w:rsid w:val="000A719C"/>
    <w:rsid w:val="000A75F9"/>
    <w:rsid w:val="000A7E25"/>
    <w:rsid w:val="000A7FB7"/>
    <w:rsid w:val="000B07A2"/>
    <w:rsid w:val="000B16C5"/>
    <w:rsid w:val="000B1C26"/>
    <w:rsid w:val="000B1DD6"/>
    <w:rsid w:val="000B2057"/>
    <w:rsid w:val="000B2152"/>
    <w:rsid w:val="000B2210"/>
    <w:rsid w:val="000B2237"/>
    <w:rsid w:val="000B2509"/>
    <w:rsid w:val="000B2AAC"/>
    <w:rsid w:val="000B3859"/>
    <w:rsid w:val="000B46A8"/>
    <w:rsid w:val="000B4E72"/>
    <w:rsid w:val="000B5D3C"/>
    <w:rsid w:val="000B74C4"/>
    <w:rsid w:val="000B7608"/>
    <w:rsid w:val="000B766F"/>
    <w:rsid w:val="000B79F8"/>
    <w:rsid w:val="000B7A1A"/>
    <w:rsid w:val="000B7AB4"/>
    <w:rsid w:val="000C01AB"/>
    <w:rsid w:val="000C12FD"/>
    <w:rsid w:val="000C289F"/>
    <w:rsid w:val="000C2DFC"/>
    <w:rsid w:val="000C2F67"/>
    <w:rsid w:val="000C4ED7"/>
    <w:rsid w:val="000C594F"/>
    <w:rsid w:val="000C5E4E"/>
    <w:rsid w:val="000C6887"/>
    <w:rsid w:val="000C693B"/>
    <w:rsid w:val="000C6BBC"/>
    <w:rsid w:val="000C788E"/>
    <w:rsid w:val="000C7D92"/>
    <w:rsid w:val="000D08E0"/>
    <w:rsid w:val="000D1BB7"/>
    <w:rsid w:val="000D227D"/>
    <w:rsid w:val="000D260A"/>
    <w:rsid w:val="000D2BAF"/>
    <w:rsid w:val="000D2F9E"/>
    <w:rsid w:val="000D43A7"/>
    <w:rsid w:val="000D46D0"/>
    <w:rsid w:val="000D47D3"/>
    <w:rsid w:val="000D4E61"/>
    <w:rsid w:val="000D50D8"/>
    <w:rsid w:val="000D5344"/>
    <w:rsid w:val="000D5873"/>
    <w:rsid w:val="000D587E"/>
    <w:rsid w:val="000D640D"/>
    <w:rsid w:val="000D645B"/>
    <w:rsid w:val="000D6705"/>
    <w:rsid w:val="000D676A"/>
    <w:rsid w:val="000D6AC0"/>
    <w:rsid w:val="000D7292"/>
    <w:rsid w:val="000D74FB"/>
    <w:rsid w:val="000D7778"/>
    <w:rsid w:val="000D7E94"/>
    <w:rsid w:val="000E1275"/>
    <w:rsid w:val="000E1507"/>
    <w:rsid w:val="000E16D0"/>
    <w:rsid w:val="000E24D5"/>
    <w:rsid w:val="000E29E6"/>
    <w:rsid w:val="000E304D"/>
    <w:rsid w:val="000E3107"/>
    <w:rsid w:val="000E41E2"/>
    <w:rsid w:val="000E425C"/>
    <w:rsid w:val="000E48FD"/>
    <w:rsid w:val="000E4F61"/>
    <w:rsid w:val="000E59CA"/>
    <w:rsid w:val="000E635A"/>
    <w:rsid w:val="000E6583"/>
    <w:rsid w:val="000E6D5F"/>
    <w:rsid w:val="000E6EB1"/>
    <w:rsid w:val="000E7072"/>
    <w:rsid w:val="000E71EF"/>
    <w:rsid w:val="000E76AF"/>
    <w:rsid w:val="000E7BA5"/>
    <w:rsid w:val="000F0124"/>
    <w:rsid w:val="000F03D6"/>
    <w:rsid w:val="000F04EB"/>
    <w:rsid w:val="000F138D"/>
    <w:rsid w:val="000F1427"/>
    <w:rsid w:val="000F1A15"/>
    <w:rsid w:val="000F2568"/>
    <w:rsid w:val="000F2DF8"/>
    <w:rsid w:val="000F401A"/>
    <w:rsid w:val="000F4355"/>
    <w:rsid w:val="000F492D"/>
    <w:rsid w:val="000F4F00"/>
    <w:rsid w:val="000F4F7B"/>
    <w:rsid w:val="000F5010"/>
    <w:rsid w:val="000F5441"/>
    <w:rsid w:val="000F54C8"/>
    <w:rsid w:val="000F55EA"/>
    <w:rsid w:val="000F5CF9"/>
    <w:rsid w:val="000F636F"/>
    <w:rsid w:val="000F75A0"/>
    <w:rsid w:val="000F7B76"/>
    <w:rsid w:val="000F7CEF"/>
    <w:rsid w:val="001005D0"/>
    <w:rsid w:val="001011A1"/>
    <w:rsid w:val="001011CD"/>
    <w:rsid w:val="001016C0"/>
    <w:rsid w:val="00102733"/>
    <w:rsid w:val="00102A5F"/>
    <w:rsid w:val="00103264"/>
    <w:rsid w:val="001034C7"/>
    <w:rsid w:val="00103D1F"/>
    <w:rsid w:val="00105048"/>
    <w:rsid w:val="00105198"/>
    <w:rsid w:val="0010549D"/>
    <w:rsid w:val="00105B97"/>
    <w:rsid w:val="00105D35"/>
    <w:rsid w:val="00105FF8"/>
    <w:rsid w:val="00106014"/>
    <w:rsid w:val="00106BE1"/>
    <w:rsid w:val="00106D76"/>
    <w:rsid w:val="00106F60"/>
    <w:rsid w:val="001073CC"/>
    <w:rsid w:val="00107574"/>
    <w:rsid w:val="00107A10"/>
    <w:rsid w:val="00107A44"/>
    <w:rsid w:val="001100D2"/>
    <w:rsid w:val="00111590"/>
    <w:rsid w:val="001117FB"/>
    <w:rsid w:val="00111FEA"/>
    <w:rsid w:val="00112494"/>
    <w:rsid w:val="00112CDC"/>
    <w:rsid w:val="001139D6"/>
    <w:rsid w:val="00113F6E"/>
    <w:rsid w:val="00114F74"/>
    <w:rsid w:val="0011561F"/>
    <w:rsid w:val="001166A5"/>
    <w:rsid w:val="0011739E"/>
    <w:rsid w:val="00117511"/>
    <w:rsid w:val="00117B0F"/>
    <w:rsid w:val="00117D23"/>
    <w:rsid w:val="00120228"/>
    <w:rsid w:val="00120BB0"/>
    <w:rsid w:val="00120E5D"/>
    <w:rsid w:val="001211FD"/>
    <w:rsid w:val="001218FE"/>
    <w:rsid w:val="0012232B"/>
    <w:rsid w:val="001225BE"/>
    <w:rsid w:val="00122974"/>
    <w:rsid w:val="00122CB8"/>
    <w:rsid w:val="00123FCA"/>
    <w:rsid w:val="001247A0"/>
    <w:rsid w:val="00124CA6"/>
    <w:rsid w:val="00124CEC"/>
    <w:rsid w:val="00125865"/>
    <w:rsid w:val="001264C6"/>
    <w:rsid w:val="00126D0E"/>
    <w:rsid w:val="00131401"/>
    <w:rsid w:val="001333F3"/>
    <w:rsid w:val="001342AC"/>
    <w:rsid w:val="00134449"/>
    <w:rsid w:val="00135180"/>
    <w:rsid w:val="00135992"/>
    <w:rsid w:val="00135D54"/>
    <w:rsid w:val="00136380"/>
    <w:rsid w:val="001368EA"/>
    <w:rsid w:val="0013721F"/>
    <w:rsid w:val="0013774C"/>
    <w:rsid w:val="00137EA9"/>
    <w:rsid w:val="0014004C"/>
    <w:rsid w:val="0014022E"/>
    <w:rsid w:val="00140ED6"/>
    <w:rsid w:val="00140FF0"/>
    <w:rsid w:val="00141AD4"/>
    <w:rsid w:val="00141EEC"/>
    <w:rsid w:val="0014261F"/>
    <w:rsid w:val="00142859"/>
    <w:rsid w:val="00142E3A"/>
    <w:rsid w:val="00143D53"/>
    <w:rsid w:val="001448AF"/>
    <w:rsid w:val="00144D4D"/>
    <w:rsid w:val="00144FC8"/>
    <w:rsid w:val="0014529D"/>
    <w:rsid w:val="001456EC"/>
    <w:rsid w:val="00146D51"/>
    <w:rsid w:val="00147844"/>
    <w:rsid w:val="00147A87"/>
    <w:rsid w:val="0015081D"/>
    <w:rsid w:val="00150A59"/>
    <w:rsid w:val="00150C5D"/>
    <w:rsid w:val="0015199B"/>
    <w:rsid w:val="00151F7C"/>
    <w:rsid w:val="00152870"/>
    <w:rsid w:val="00152DAE"/>
    <w:rsid w:val="00152E43"/>
    <w:rsid w:val="00153008"/>
    <w:rsid w:val="001549B7"/>
    <w:rsid w:val="001553AC"/>
    <w:rsid w:val="00155850"/>
    <w:rsid w:val="001563FC"/>
    <w:rsid w:val="00156916"/>
    <w:rsid w:val="001576F9"/>
    <w:rsid w:val="0016067F"/>
    <w:rsid w:val="00160A39"/>
    <w:rsid w:val="00160BA8"/>
    <w:rsid w:val="001619F9"/>
    <w:rsid w:val="0016225F"/>
    <w:rsid w:val="00162AD4"/>
    <w:rsid w:val="001631A6"/>
    <w:rsid w:val="00163BCC"/>
    <w:rsid w:val="001646DA"/>
    <w:rsid w:val="00164B5F"/>
    <w:rsid w:val="00165078"/>
    <w:rsid w:val="00165A5C"/>
    <w:rsid w:val="00165F88"/>
    <w:rsid w:val="00166219"/>
    <w:rsid w:val="00166A47"/>
    <w:rsid w:val="00166D43"/>
    <w:rsid w:val="001671B9"/>
    <w:rsid w:val="00167B77"/>
    <w:rsid w:val="00167EFD"/>
    <w:rsid w:val="00170BAA"/>
    <w:rsid w:val="00171D47"/>
    <w:rsid w:val="00171E17"/>
    <w:rsid w:val="00172A4E"/>
    <w:rsid w:val="001735B4"/>
    <w:rsid w:val="00173F72"/>
    <w:rsid w:val="001740ED"/>
    <w:rsid w:val="00175A83"/>
    <w:rsid w:val="00175CC8"/>
    <w:rsid w:val="00175EDD"/>
    <w:rsid w:val="001760FA"/>
    <w:rsid w:val="001767F9"/>
    <w:rsid w:val="00180029"/>
    <w:rsid w:val="00180569"/>
    <w:rsid w:val="00180659"/>
    <w:rsid w:val="00180D51"/>
    <w:rsid w:val="001810F1"/>
    <w:rsid w:val="001817D5"/>
    <w:rsid w:val="00181884"/>
    <w:rsid w:val="00181DE3"/>
    <w:rsid w:val="0018242C"/>
    <w:rsid w:val="00182736"/>
    <w:rsid w:val="001828DD"/>
    <w:rsid w:val="00183161"/>
    <w:rsid w:val="001833E7"/>
    <w:rsid w:val="001845AE"/>
    <w:rsid w:val="00184D1D"/>
    <w:rsid w:val="00185098"/>
    <w:rsid w:val="00185241"/>
    <w:rsid w:val="0018548E"/>
    <w:rsid w:val="00185CB1"/>
    <w:rsid w:val="00187103"/>
    <w:rsid w:val="001872FF"/>
    <w:rsid w:val="001905F0"/>
    <w:rsid w:val="00190975"/>
    <w:rsid w:val="00190C1D"/>
    <w:rsid w:val="0019299C"/>
    <w:rsid w:val="00192A93"/>
    <w:rsid w:val="00193828"/>
    <w:rsid w:val="00193A12"/>
    <w:rsid w:val="00193F1D"/>
    <w:rsid w:val="00193FC7"/>
    <w:rsid w:val="00194161"/>
    <w:rsid w:val="001946FA"/>
    <w:rsid w:val="001947FF"/>
    <w:rsid w:val="0019482C"/>
    <w:rsid w:val="00194C0E"/>
    <w:rsid w:val="00195819"/>
    <w:rsid w:val="00195D05"/>
    <w:rsid w:val="001960D3"/>
    <w:rsid w:val="00197C03"/>
    <w:rsid w:val="00197E08"/>
    <w:rsid w:val="00197FC2"/>
    <w:rsid w:val="001A03C4"/>
    <w:rsid w:val="001A03DC"/>
    <w:rsid w:val="001A06C2"/>
    <w:rsid w:val="001A084D"/>
    <w:rsid w:val="001A0D57"/>
    <w:rsid w:val="001A0ED3"/>
    <w:rsid w:val="001A1850"/>
    <w:rsid w:val="001A1AF4"/>
    <w:rsid w:val="001A1BC4"/>
    <w:rsid w:val="001A35C8"/>
    <w:rsid w:val="001A43D7"/>
    <w:rsid w:val="001A4A47"/>
    <w:rsid w:val="001A532A"/>
    <w:rsid w:val="001A547D"/>
    <w:rsid w:val="001A5552"/>
    <w:rsid w:val="001A5C91"/>
    <w:rsid w:val="001A6F8C"/>
    <w:rsid w:val="001A732A"/>
    <w:rsid w:val="001A7516"/>
    <w:rsid w:val="001A7542"/>
    <w:rsid w:val="001A7620"/>
    <w:rsid w:val="001B006C"/>
    <w:rsid w:val="001B02F1"/>
    <w:rsid w:val="001B05AD"/>
    <w:rsid w:val="001B05F8"/>
    <w:rsid w:val="001B0923"/>
    <w:rsid w:val="001B11F4"/>
    <w:rsid w:val="001B1389"/>
    <w:rsid w:val="001B1C24"/>
    <w:rsid w:val="001B267C"/>
    <w:rsid w:val="001B27AB"/>
    <w:rsid w:val="001B2CDA"/>
    <w:rsid w:val="001B2D40"/>
    <w:rsid w:val="001B3AE7"/>
    <w:rsid w:val="001B3F4D"/>
    <w:rsid w:val="001B435A"/>
    <w:rsid w:val="001B5676"/>
    <w:rsid w:val="001B596B"/>
    <w:rsid w:val="001B5D57"/>
    <w:rsid w:val="001B62A8"/>
    <w:rsid w:val="001B68C2"/>
    <w:rsid w:val="001B6945"/>
    <w:rsid w:val="001B6E9B"/>
    <w:rsid w:val="001B72CE"/>
    <w:rsid w:val="001B79D3"/>
    <w:rsid w:val="001C00A9"/>
    <w:rsid w:val="001C0248"/>
    <w:rsid w:val="001C0402"/>
    <w:rsid w:val="001C08B7"/>
    <w:rsid w:val="001C102C"/>
    <w:rsid w:val="001C22FA"/>
    <w:rsid w:val="001C2BE5"/>
    <w:rsid w:val="001C3531"/>
    <w:rsid w:val="001C35C3"/>
    <w:rsid w:val="001C35CC"/>
    <w:rsid w:val="001C36A1"/>
    <w:rsid w:val="001C38F6"/>
    <w:rsid w:val="001C4EC0"/>
    <w:rsid w:val="001C4FB0"/>
    <w:rsid w:val="001C522D"/>
    <w:rsid w:val="001C52C6"/>
    <w:rsid w:val="001C56D1"/>
    <w:rsid w:val="001C5904"/>
    <w:rsid w:val="001C59DD"/>
    <w:rsid w:val="001C59F9"/>
    <w:rsid w:val="001C6413"/>
    <w:rsid w:val="001C64AC"/>
    <w:rsid w:val="001C6CBB"/>
    <w:rsid w:val="001C6E8F"/>
    <w:rsid w:val="001C75E6"/>
    <w:rsid w:val="001C79F5"/>
    <w:rsid w:val="001D0BDB"/>
    <w:rsid w:val="001D11DC"/>
    <w:rsid w:val="001D1C7E"/>
    <w:rsid w:val="001D1CBC"/>
    <w:rsid w:val="001D2276"/>
    <w:rsid w:val="001D2639"/>
    <w:rsid w:val="001D337D"/>
    <w:rsid w:val="001D3795"/>
    <w:rsid w:val="001D3FEF"/>
    <w:rsid w:val="001D54AF"/>
    <w:rsid w:val="001D56E4"/>
    <w:rsid w:val="001D56EC"/>
    <w:rsid w:val="001D5D94"/>
    <w:rsid w:val="001D6169"/>
    <w:rsid w:val="001D76CC"/>
    <w:rsid w:val="001D76DB"/>
    <w:rsid w:val="001D7B5E"/>
    <w:rsid w:val="001E03F6"/>
    <w:rsid w:val="001E04BC"/>
    <w:rsid w:val="001E075F"/>
    <w:rsid w:val="001E0A02"/>
    <w:rsid w:val="001E0C4C"/>
    <w:rsid w:val="001E2D7A"/>
    <w:rsid w:val="001E3164"/>
    <w:rsid w:val="001E3B64"/>
    <w:rsid w:val="001E4712"/>
    <w:rsid w:val="001E4719"/>
    <w:rsid w:val="001E5DD0"/>
    <w:rsid w:val="001E670C"/>
    <w:rsid w:val="001E7DCD"/>
    <w:rsid w:val="001F0289"/>
    <w:rsid w:val="001F05FE"/>
    <w:rsid w:val="001F12B3"/>
    <w:rsid w:val="001F1627"/>
    <w:rsid w:val="001F17C7"/>
    <w:rsid w:val="001F28EA"/>
    <w:rsid w:val="001F30D8"/>
    <w:rsid w:val="001F34B2"/>
    <w:rsid w:val="001F3691"/>
    <w:rsid w:val="001F39A3"/>
    <w:rsid w:val="001F4122"/>
    <w:rsid w:val="001F43AA"/>
    <w:rsid w:val="001F4736"/>
    <w:rsid w:val="001F4D3B"/>
    <w:rsid w:val="001F5093"/>
    <w:rsid w:val="001F5E3F"/>
    <w:rsid w:val="001F5EF3"/>
    <w:rsid w:val="001F6A53"/>
    <w:rsid w:val="001F6AB5"/>
    <w:rsid w:val="001F6F67"/>
    <w:rsid w:val="001F7CE3"/>
    <w:rsid w:val="00200A03"/>
    <w:rsid w:val="00201296"/>
    <w:rsid w:val="002013DD"/>
    <w:rsid w:val="00201559"/>
    <w:rsid w:val="002015CB"/>
    <w:rsid w:val="00201B0B"/>
    <w:rsid w:val="0020224D"/>
    <w:rsid w:val="00202494"/>
    <w:rsid w:val="00202604"/>
    <w:rsid w:val="00203132"/>
    <w:rsid w:val="00204183"/>
    <w:rsid w:val="002041C5"/>
    <w:rsid w:val="002045FB"/>
    <w:rsid w:val="00205461"/>
    <w:rsid w:val="00206218"/>
    <w:rsid w:val="002067A4"/>
    <w:rsid w:val="00207AC8"/>
    <w:rsid w:val="00207AEF"/>
    <w:rsid w:val="00207EF5"/>
    <w:rsid w:val="00210B14"/>
    <w:rsid w:val="00210DF0"/>
    <w:rsid w:val="00211205"/>
    <w:rsid w:val="00211682"/>
    <w:rsid w:val="00211F75"/>
    <w:rsid w:val="00212333"/>
    <w:rsid w:val="00212540"/>
    <w:rsid w:val="002125A5"/>
    <w:rsid w:val="00212B66"/>
    <w:rsid w:val="0021343B"/>
    <w:rsid w:val="00213598"/>
    <w:rsid w:val="002137F6"/>
    <w:rsid w:val="00214009"/>
    <w:rsid w:val="00215875"/>
    <w:rsid w:val="00215B32"/>
    <w:rsid w:val="00216095"/>
    <w:rsid w:val="0021662C"/>
    <w:rsid w:val="00216E6C"/>
    <w:rsid w:val="00217776"/>
    <w:rsid w:val="00220A49"/>
    <w:rsid w:val="00220BB4"/>
    <w:rsid w:val="00220F76"/>
    <w:rsid w:val="002219DE"/>
    <w:rsid w:val="00221BE4"/>
    <w:rsid w:val="00221C14"/>
    <w:rsid w:val="00221E6E"/>
    <w:rsid w:val="00221ED9"/>
    <w:rsid w:val="00221FB1"/>
    <w:rsid w:val="00222529"/>
    <w:rsid w:val="0022267F"/>
    <w:rsid w:val="00222AEE"/>
    <w:rsid w:val="00222BC9"/>
    <w:rsid w:val="00222D22"/>
    <w:rsid w:val="00223010"/>
    <w:rsid w:val="00223350"/>
    <w:rsid w:val="002239F7"/>
    <w:rsid w:val="002240A4"/>
    <w:rsid w:val="0022442A"/>
    <w:rsid w:val="00224FB3"/>
    <w:rsid w:val="002255A1"/>
    <w:rsid w:val="002259DA"/>
    <w:rsid w:val="002261D0"/>
    <w:rsid w:val="0022626E"/>
    <w:rsid w:val="00226511"/>
    <w:rsid w:val="00226697"/>
    <w:rsid w:val="0023044B"/>
    <w:rsid w:val="00230C60"/>
    <w:rsid w:val="00230F8F"/>
    <w:rsid w:val="002310AB"/>
    <w:rsid w:val="002310E5"/>
    <w:rsid w:val="002313F7"/>
    <w:rsid w:val="002320CD"/>
    <w:rsid w:val="002324D8"/>
    <w:rsid w:val="00232981"/>
    <w:rsid w:val="00232CDE"/>
    <w:rsid w:val="00235B12"/>
    <w:rsid w:val="00236956"/>
    <w:rsid w:val="002371AB"/>
    <w:rsid w:val="00240A2D"/>
    <w:rsid w:val="00240F11"/>
    <w:rsid w:val="002413B6"/>
    <w:rsid w:val="00242ECC"/>
    <w:rsid w:val="00243152"/>
    <w:rsid w:val="002432A4"/>
    <w:rsid w:val="00243CD3"/>
    <w:rsid w:val="00244061"/>
    <w:rsid w:val="00244E0E"/>
    <w:rsid w:val="00244F85"/>
    <w:rsid w:val="002459FB"/>
    <w:rsid w:val="00245DFA"/>
    <w:rsid w:val="002467EF"/>
    <w:rsid w:val="002475DD"/>
    <w:rsid w:val="00250473"/>
    <w:rsid w:val="002505F1"/>
    <w:rsid w:val="00250791"/>
    <w:rsid w:val="00250B7D"/>
    <w:rsid w:val="00251438"/>
    <w:rsid w:val="00251FFA"/>
    <w:rsid w:val="0025209E"/>
    <w:rsid w:val="00252AF6"/>
    <w:rsid w:val="00252B36"/>
    <w:rsid w:val="002530CF"/>
    <w:rsid w:val="00254658"/>
    <w:rsid w:val="00254FE1"/>
    <w:rsid w:val="00255017"/>
    <w:rsid w:val="0025502C"/>
    <w:rsid w:val="00255372"/>
    <w:rsid w:val="00255D24"/>
    <w:rsid w:val="00255EAD"/>
    <w:rsid w:val="0025606A"/>
    <w:rsid w:val="00256CF5"/>
    <w:rsid w:val="002578D8"/>
    <w:rsid w:val="00260029"/>
    <w:rsid w:val="002601BA"/>
    <w:rsid w:val="0026025E"/>
    <w:rsid w:val="002618F9"/>
    <w:rsid w:val="002619FE"/>
    <w:rsid w:val="00261B11"/>
    <w:rsid w:val="00262074"/>
    <w:rsid w:val="002626AA"/>
    <w:rsid w:val="00262FC0"/>
    <w:rsid w:val="00263132"/>
    <w:rsid w:val="002632D6"/>
    <w:rsid w:val="00263377"/>
    <w:rsid w:val="00263486"/>
    <w:rsid w:val="00263695"/>
    <w:rsid w:val="0026467F"/>
    <w:rsid w:val="00264A91"/>
    <w:rsid w:val="00264E3C"/>
    <w:rsid w:val="00265146"/>
    <w:rsid w:val="00266CCF"/>
    <w:rsid w:val="0027089D"/>
    <w:rsid w:val="00270903"/>
    <w:rsid w:val="00270CB6"/>
    <w:rsid w:val="002716FD"/>
    <w:rsid w:val="00272998"/>
    <w:rsid w:val="00272A63"/>
    <w:rsid w:val="00272D27"/>
    <w:rsid w:val="0027334A"/>
    <w:rsid w:val="00273C36"/>
    <w:rsid w:val="00273FA5"/>
    <w:rsid w:val="002743D5"/>
    <w:rsid w:val="00274AE7"/>
    <w:rsid w:val="00274B89"/>
    <w:rsid w:val="00274EDC"/>
    <w:rsid w:val="00275435"/>
    <w:rsid w:val="002755B5"/>
    <w:rsid w:val="002770F5"/>
    <w:rsid w:val="00277722"/>
    <w:rsid w:val="00277939"/>
    <w:rsid w:val="00277C44"/>
    <w:rsid w:val="00280024"/>
    <w:rsid w:val="0028029B"/>
    <w:rsid w:val="00280A09"/>
    <w:rsid w:val="00280FCA"/>
    <w:rsid w:val="00281BC9"/>
    <w:rsid w:val="00282063"/>
    <w:rsid w:val="00282912"/>
    <w:rsid w:val="00282C6C"/>
    <w:rsid w:val="00283D5F"/>
    <w:rsid w:val="002846F3"/>
    <w:rsid w:val="00284D1B"/>
    <w:rsid w:val="00286653"/>
    <w:rsid w:val="0028668D"/>
    <w:rsid w:val="0028686F"/>
    <w:rsid w:val="00286A7F"/>
    <w:rsid w:val="00286B9D"/>
    <w:rsid w:val="00286FDB"/>
    <w:rsid w:val="002876F5"/>
    <w:rsid w:val="00287992"/>
    <w:rsid w:val="00287C90"/>
    <w:rsid w:val="0029098E"/>
    <w:rsid w:val="00290D99"/>
    <w:rsid w:val="002913CD"/>
    <w:rsid w:val="002917CA"/>
    <w:rsid w:val="0029212E"/>
    <w:rsid w:val="002921F0"/>
    <w:rsid w:val="00293B69"/>
    <w:rsid w:val="00294217"/>
    <w:rsid w:val="0029522C"/>
    <w:rsid w:val="00296589"/>
    <w:rsid w:val="00296DC4"/>
    <w:rsid w:val="0029721D"/>
    <w:rsid w:val="00297533"/>
    <w:rsid w:val="002975C9"/>
    <w:rsid w:val="002A00BD"/>
    <w:rsid w:val="002A07C5"/>
    <w:rsid w:val="002A0A5B"/>
    <w:rsid w:val="002A0FB8"/>
    <w:rsid w:val="002A1AC7"/>
    <w:rsid w:val="002A24A4"/>
    <w:rsid w:val="002A2BB2"/>
    <w:rsid w:val="002A3124"/>
    <w:rsid w:val="002A328D"/>
    <w:rsid w:val="002A334C"/>
    <w:rsid w:val="002A3DF8"/>
    <w:rsid w:val="002A3EC5"/>
    <w:rsid w:val="002A45A5"/>
    <w:rsid w:val="002A4D7B"/>
    <w:rsid w:val="002A587F"/>
    <w:rsid w:val="002A63B1"/>
    <w:rsid w:val="002A68F6"/>
    <w:rsid w:val="002A6BCB"/>
    <w:rsid w:val="002A6D26"/>
    <w:rsid w:val="002A703C"/>
    <w:rsid w:val="002A7452"/>
    <w:rsid w:val="002B0708"/>
    <w:rsid w:val="002B0C1B"/>
    <w:rsid w:val="002B27B4"/>
    <w:rsid w:val="002B2CE3"/>
    <w:rsid w:val="002B2CEF"/>
    <w:rsid w:val="002B2F3F"/>
    <w:rsid w:val="002B3196"/>
    <w:rsid w:val="002B37E6"/>
    <w:rsid w:val="002B3BEC"/>
    <w:rsid w:val="002B45AB"/>
    <w:rsid w:val="002B482A"/>
    <w:rsid w:val="002B4A40"/>
    <w:rsid w:val="002B4BF9"/>
    <w:rsid w:val="002B4C08"/>
    <w:rsid w:val="002B5A7F"/>
    <w:rsid w:val="002B5F7C"/>
    <w:rsid w:val="002B6124"/>
    <w:rsid w:val="002B63C8"/>
    <w:rsid w:val="002B6F71"/>
    <w:rsid w:val="002B7892"/>
    <w:rsid w:val="002B7A4B"/>
    <w:rsid w:val="002B7D24"/>
    <w:rsid w:val="002B7E84"/>
    <w:rsid w:val="002B7EBB"/>
    <w:rsid w:val="002C04C7"/>
    <w:rsid w:val="002C1F27"/>
    <w:rsid w:val="002C3CB8"/>
    <w:rsid w:val="002C47A2"/>
    <w:rsid w:val="002C4E6A"/>
    <w:rsid w:val="002C5C4F"/>
    <w:rsid w:val="002C6FE6"/>
    <w:rsid w:val="002C79BE"/>
    <w:rsid w:val="002C7ACE"/>
    <w:rsid w:val="002D02A6"/>
    <w:rsid w:val="002D09F2"/>
    <w:rsid w:val="002D1360"/>
    <w:rsid w:val="002D2689"/>
    <w:rsid w:val="002D2728"/>
    <w:rsid w:val="002D28C8"/>
    <w:rsid w:val="002D2AC6"/>
    <w:rsid w:val="002D2B06"/>
    <w:rsid w:val="002D2C20"/>
    <w:rsid w:val="002D2E93"/>
    <w:rsid w:val="002D3433"/>
    <w:rsid w:val="002D36FE"/>
    <w:rsid w:val="002D483F"/>
    <w:rsid w:val="002D4869"/>
    <w:rsid w:val="002D4ABC"/>
    <w:rsid w:val="002D553E"/>
    <w:rsid w:val="002D74EA"/>
    <w:rsid w:val="002E0082"/>
    <w:rsid w:val="002E06AC"/>
    <w:rsid w:val="002E0F0B"/>
    <w:rsid w:val="002E0F14"/>
    <w:rsid w:val="002E181A"/>
    <w:rsid w:val="002E1A1C"/>
    <w:rsid w:val="002E1D60"/>
    <w:rsid w:val="002E1E10"/>
    <w:rsid w:val="002E1EEB"/>
    <w:rsid w:val="002E2061"/>
    <w:rsid w:val="002E2DD0"/>
    <w:rsid w:val="002E3137"/>
    <w:rsid w:val="002E3AFC"/>
    <w:rsid w:val="002E3CFF"/>
    <w:rsid w:val="002E4BF0"/>
    <w:rsid w:val="002E4C98"/>
    <w:rsid w:val="002E5657"/>
    <w:rsid w:val="002E567F"/>
    <w:rsid w:val="002E583F"/>
    <w:rsid w:val="002E5C16"/>
    <w:rsid w:val="002E6232"/>
    <w:rsid w:val="002E65DC"/>
    <w:rsid w:val="002E7052"/>
    <w:rsid w:val="002F0B3E"/>
    <w:rsid w:val="002F1542"/>
    <w:rsid w:val="002F168E"/>
    <w:rsid w:val="002F1BB7"/>
    <w:rsid w:val="002F3906"/>
    <w:rsid w:val="002F3AD6"/>
    <w:rsid w:val="002F409C"/>
    <w:rsid w:val="002F5A26"/>
    <w:rsid w:val="002F622B"/>
    <w:rsid w:val="002F6592"/>
    <w:rsid w:val="002F68DF"/>
    <w:rsid w:val="002F6962"/>
    <w:rsid w:val="002F701E"/>
    <w:rsid w:val="002F7108"/>
    <w:rsid w:val="002F7863"/>
    <w:rsid w:val="0030076D"/>
    <w:rsid w:val="0030104C"/>
    <w:rsid w:val="003017BC"/>
    <w:rsid w:val="00301832"/>
    <w:rsid w:val="00301A68"/>
    <w:rsid w:val="00301FB8"/>
    <w:rsid w:val="00301FEC"/>
    <w:rsid w:val="003020C6"/>
    <w:rsid w:val="003021E1"/>
    <w:rsid w:val="00303259"/>
    <w:rsid w:val="00303280"/>
    <w:rsid w:val="003047CB"/>
    <w:rsid w:val="00304DAF"/>
    <w:rsid w:val="00304F73"/>
    <w:rsid w:val="00305DB5"/>
    <w:rsid w:val="00305F22"/>
    <w:rsid w:val="0030604D"/>
    <w:rsid w:val="003061CA"/>
    <w:rsid w:val="0030676B"/>
    <w:rsid w:val="00306E61"/>
    <w:rsid w:val="00307671"/>
    <w:rsid w:val="00307FB5"/>
    <w:rsid w:val="00311D09"/>
    <w:rsid w:val="00311D96"/>
    <w:rsid w:val="00311F4F"/>
    <w:rsid w:val="003125E9"/>
    <w:rsid w:val="00313B90"/>
    <w:rsid w:val="003140F6"/>
    <w:rsid w:val="00314C80"/>
    <w:rsid w:val="00314DD0"/>
    <w:rsid w:val="0031506A"/>
    <w:rsid w:val="0031542C"/>
    <w:rsid w:val="003155E1"/>
    <w:rsid w:val="00315C42"/>
    <w:rsid w:val="00315FA2"/>
    <w:rsid w:val="00315FB7"/>
    <w:rsid w:val="00316029"/>
    <w:rsid w:val="003168B2"/>
    <w:rsid w:val="00316A85"/>
    <w:rsid w:val="00316F8C"/>
    <w:rsid w:val="0032035C"/>
    <w:rsid w:val="003207C0"/>
    <w:rsid w:val="00320FFF"/>
    <w:rsid w:val="00321787"/>
    <w:rsid w:val="00321848"/>
    <w:rsid w:val="00321BFE"/>
    <w:rsid w:val="00322B2B"/>
    <w:rsid w:val="003231B6"/>
    <w:rsid w:val="00323299"/>
    <w:rsid w:val="00323519"/>
    <w:rsid w:val="003236E1"/>
    <w:rsid w:val="0032461F"/>
    <w:rsid w:val="0032482B"/>
    <w:rsid w:val="00324E87"/>
    <w:rsid w:val="00325576"/>
    <w:rsid w:val="0032597A"/>
    <w:rsid w:val="00325E45"/>
    <w:rsid w:val="00325FE6"/>
    <w:rsid w:val="00326B0C"/>
    <w:rsid w:val="0033036E"/>
    <w:rsid w:val="003313DA"/>
    <w:rsid w:val="00333205"/>
    <w:rsid w:val="003336F8"/>
    <w:rsid w:val="0033453D"/>
    <w:rsid w:val="003345E8"/>
    <w:rsid w:val="00334883"/>
    <w:rsid w:val="00334B71"/>
    <w:rsid w:val="003363D9"/>
    <w:rsid w:val="003366C8"/>
    <w:rsid w:val="00337B40"/>
    <w:rsid w:val="00337C89"/>
    <w:rsid w:val="003405D3"/>
    <w:rsid w:val="0034087E"/>
    <w:rsid w:val="00341605"/>
    <w:rsid w:val="00341958"/>
    <w:rsid w:val="003420C0"/>
    <w:rsid w:val="00343746"/>
    <w:rsid w:val="00343EE6"/>
    <w:rsid w:val="003448C4"/>
    <w:rsid w:val="00345081"/>
    <w:rsid w:val="003452B1"/>
    <w:rsid w:val="00345821"/>
    <w:rsid w:val="003458BA"/>
    <w:rsid w:val="00346217"/>
    <w:rsid w:val="00346CF1"/>
    <w:rsid w:val="00346F24"/>
    <w:rsid w:val="003508CA"/>
    <w:rsid w:val="00350EF5"/>
    <w:rsid w:val="00351023"/>
    <w:rsid w:val="00352A51"/>
    <w:rsid w:val="0035365F"/>
    <w:rsid w:val="003537B3"/>
    <w:rsid w:val="00353A26"/>
    <w:rsid w:val="00353B97"/>
    <w:rsid w:val="0035429D"/>
    <w:rsid w:val="00354AA0"/>
    <w:rsid w:val="00354EA0"/>
    <w:rsid w:val="003551B6"/>
    <w:rsid w:val="00355DC1"/>
    <w:rsid w:val="00355F78"/>
    <w:rsid w:val="0035659A"/>
    <w:rsid w:val="00356DC4"/>
    <w:rsid w:val="00356DF0"/>
    <w:rsid w:val="00357023"/>
    <w:rsid w:val="00357263"/>
    <w:rsid w:val="00360EF2"/>
    <w:rsid w:val="00361163"/>
    <w:rsid w:val="00361167"/>
    <w:rsid w:val="00361639"/>
    <w:rsid w:val="00361746"/>
    <w:rsid w:val="0036177C"/>
    <w:rsid w:val="00361F5C"/>
    <w:rsid w:val="00362C82"/>
    <w:rsid w:val="0036313C"/>
    <w:rsid w:val="00363BF8"/>
    <w:rsid w:val="00364C29"/>
    <w:rsid w:val="00364FCD"/>
    <w:rsid w:val="0036584D"/>
    <w:rsid w:val="003658AF"/>
    <w:rsid w:val="0036624D"/>
    <w:rsid w:val="003664A7"/>
    <w:rsid w:val="00366D2D"/>
    <w:rsid w:val="0036776D"/>
    <w:rsid w:val="00367FF5"/>
    <w:rsid w:val="003700C3"/>
    <w:rsid w:val="00370E8D"/>
    <w:rsid w:val="00372257"/>
    <w:rsid w:val="00372333"/>
    <w:rsid w:val="003727A6"/>
    <w:rsid w:val="00372E68"/>
    <w:rsid w:val="00373300"/>
    <w:rsid w:val="00373D58"/>
    <w:rsid w:val="00373E53"/>
    <w:rsid w:val="00373F87"/>
    <w:rsid w:val="00374318"/>
    <w:rsid w:val="0037438A"/>
    <w:rsid w:val="00374FDC"/>
    <w:rsid w:val="00375A4B"/>
    <w:rsid w:val="00375E5B"/>
    <w:rsid w:val="0037682C"/>
    <w:rsid w:val="00377035"/>
    <w:rsid w:val="00380203"/>
    <w:rsid w:val="00381008"/>
    <w:rsid w:val="003825B8"/>
    <w:rsid w:val="00383E26"/>
    <w:rsid w:val="003852D8"/>
    <w:rsid w:val="0038562E"/>
    <w:rsid w:val="00385829"/>
    <w:rsid w:val="0038593A"/>
    <w:rsid w:val="00385A2C"/>
    <w:rsid w:val="00385B03"/>
    <w:rsid w:val="003860A3"/>
    <w:rsid w:val="0038633F"/>
    <w:rsid w:val="003868A3"/>
    <w:rsid w:val="00386A1C"/>
    <w:rsid w:val="003872A1"/>
    <w:rsid w:val="0038782D"/>
    <w:rsid w:val="00387E73"/>
    <w:rsid w:val="003905B1"/>
    <w:rsid w:val="00390737"/>
    <w:rsid w:val="00390761"/>
    <w:rsid w:val="00390DE5"/>
    <w:rsid w:val="00390E42"/>
    <w:rsid w:val="0039133A"/>
    <w:rsid w:val="003914C5"/>
    <w:rsid w:val="00391DF8"/>
    <w:rsid w:val="00391FD6"/>
    <w:rsid w:val="003920EB"/>
    <w:rsid w:val="0039221F"/>
    <w:rsid w:val="0039261A"/>
    <w:rsid w:val="003928D4"/>
    <w:rsid w:val="00392B6B"/>
    <w:rsid w:val="00393180"/>
    <w:rsid w:val="003931A5"/>
    <w:rsid w:val="0039345D"/>
    <w:rsid w:val="00393A4E"/>
    <w:rsid w:val="00394C03"/>
    <w:rsid w:val="00394D72"/>
    <w:rsid w:val="00395435"/>
    <w:rsid w:val="00396C06"/>
    <w:rsid w:val="00396E4F"/>
    <w:rsid w:val="003978C7"/>
    <w:rsid w:val="00397EDC"/>
    <w:rsid w:val="003A02A0"/>
    <w:rsid w:val="003A0779"/>
    <w:rsid w:val="003A0829"/>
    <w:rsid w:val="003A0BA1"/>
    <w:rsid w:val="003A0BDD"/>
    <w:rsid w:val="003A13F3"/>
    <w:rsid w:val="003A15D1"/>
    <w:rsid w:val="003A1EEB"/>
    <w:rsid w:val="003A25D6"/>
    <w:rsid w:val="003A262E"/>
    <w:rsid w:val="003A2EE3"/>
    <w:rsid w:val="003A2FF6"/>
    <w:rsid w:val="003A30EE"/>
    <w:rsid w:val="003A37EA"/>
    <w:rsid w:val="003A3E97"/>
    <w:rsid w:val="003A494C"/>
    <w:rsid w:val="003A4E1C"/>
    <w:rsid w:val="003A6271"/>
    <w:rsid w:val="003A6344"/>
    <w:rsid w:val="003A6F8E"/>
    <w:rsid w:val="003A78B2"/>
    <w:rsid w:val="003A7C9F"/>
    <w:rsid w:val="003A7F05"/>
    <w:rsid w:val="003B02A3"/>
    <w:rsid w:val="003B0811"/>
    <w:rsid w:val="003B0BB2"/>
    <w:rsid w:val="003B0D7B"/>
    <w:rsid w:val="003B13A0"/>
    <w:rsid w:val="003B165E"/>
    <w:rsid w:val="003B227C"/>
    <w:rsid w:val="003B2A59"/>
    <w:rsid w:val="003B36E1"/>
    <w:rsid w:val="003B37DD"/>
    <w:rsid w:val="003B476D"/>
    <w:rsid w:val="003B4C2F"/>
    <w:rsid w:val="003B54E6"/>
    <w:rsid w:val="003B57F1"/>
    <w:rsid w:val="003B6A74"/>
    <w:rsid w:val="003B6B17"/>
    <w:rsid w:val="003B6C64"/>
    <w:rsid w:val="003B6EF4"/>
    <w:rsid w:val="003B78E9"/>
    <w:rsid w:val="003B7C8A"/>
    <w:rsid w:val="003B7F54"/>
    <w:rsid w:val="003C0967"/>
    <w:rsid w:val="003C0ED6"/>
    <w:rsid w:val="003C105A"/>
    <w:rsid w:val="003C118C"/>
    <w:rsid w:val="003C16F4"/>
    <w:rsid w:val="003C1987"/>
    <w:rsid w:val="003C1B95"/>
    <w:rsid w:val="003C1C2D"/>
    <w:rsid w:val="003C2BC2"/>
    <w:rsid w:val="003C38FB"/>
    <w:rsid w:val="003C3D7A"/>
    <w:rsid w:val="003C49DB"/>
    <w:rsid w:val="003C56D5"/>
    <w:rsid w:val="003C6314"/>
    <w:rsid w:val="003C7600"/>
    <w:rsid w:val="003C7756"/>
    <w:rsid w:val="003C7C79"/>
    <w:rsid w:val="003C7CE1"/>
    <w:rsid w:val="003D023E"/>
    <w:rsid w:val="003D0768"/>
    <w:rsid w:val="003D0A64"/>
    <w:rsid w:val="003D0AE6"/>
    <w:rsid w:val="003D0F52"/>
    <w:rsid w:val="003D22EE"/>
    <w:rsid w:val="003D31D4"/>
    <w:rsid w:val="003D3600"/>
    <w:rsid w:val="003D4972"/>
    <w:rsid w:val="003D616F"/>
    <w:rsid w:val="003D767C"/>
    <w:rsid w:val="003D7849"/>
    <w:rsid w:val="003E02D4"/>
    <w:rsid w:val="003E03A7"/>
    <w:rsid w:val="003E0986"/>
    <w:rsid w:val="003E0A12"/>
    <w:rsid w:val="003E0DD0"/>
    <w:rsid w:val="003E158C"/>
    <w:rsid w:val="003E198A"/>
    <w:rsid w:val="003E262A"/>
    <w:rsid w:val="003E3000"/>
    <w:rsid w:val="003E336C"/>
    <w:rsid w:val="003E41EC"/>
    <w:rsid w:val="003E49EF"/>
    <w:rsid w:val="003E541E"/>
    <w:rsid w:val="003E647B"/>
    <w:rsid w:val="003E6868"/>
    <w:rsid w:val="003E78A0"/>
    <w:rsid w:val="003E7A79"/>
    <w:rsid w:val="003F03E9"/>
    <w:rsid w:val="003F062E"/>
    <w:rsid w:val="003F07D0"/>
    <w:rsid w:val="003F1462"/>
    <w:rsid w:val="003F1A2A"/>
    <w:rsid w:val="003F284B"/>
    <w:rsid w:val="003F2851"/>
    <w:rsid w:val="003F30E2"/>
    <w:rsid w:val="003F39D9"/>
    <w:rsid w:val="003F3A38"/>
    <w:rsid w:val="003F3C60"/>
    <w:rsid w:val="003F3E0F"/>
    <w:rsid w:val="003F4AFE"/>
    <w:rsid w:val="003F4C15"/>
    <w:rsid w:val="003F5400"/>
    <w:rsid w:val="003F56BE"/>
    <w:rsid w:val="003F633A"/>
    <w:rsid w:val="003F675A"/>
    <w:rsid w:val="003F6E0A"/>
    <w:rsid w:val="003F78D5"/>
    <w:rsid w:val="00400120"/>
    <w:rsid w:val="0040034D"/>
    <w:rsid w:val="0040069D"/>
    <w:rsid w:val="004007E8"/>
    <w:rsid w:val="00400803"/>
    <w:rsid w:val="0040086D"/>
    <w:rsid w:val="00400D6E"/>
    <w:rsid w:val="00400E82"/>
    <w:rsid w:val="0040103C"/>
    <w:rsid w:val="00402F2B"/>
    <w:rsid w:val="00403045"/>
    <w:rsid w:val="0040361B"/>
    <w:rsid w:val="0040399A"/>
    <w:rsid w:val="00403BAF"/>
    <w:rsid w:val="00404049"/>
    <w:rsid w:val="00404469"/>
    <w:rsid w:val="004048FF"/>
    <w:rsid w:val="004067EE"/>
    <w:rsid w:val="00406946"/>
    <w:rsid w:val="00406E97"/>
    <w:rsid w:val="00407669"/>
    <w:rsid w:val="00407868"/>
    <w:rsid w:val="00407FAE"/>
    <w:rsid w:val="00410F83"/>
    <w:rsid w:val="0041217D"/>
    <w:rsid w:val="00412A4D"/>
    <w:rsid w:val="00412D04"/>
    <w:rsid w:val="00413161"/>
    <w:rsid w:val="004142C9"/>
    <w:rsid w:val="0041509A"/>
    <w:rsid w:val="00415267"/>
    <w:rsid w:val="00415812"/>
    <w:rsid w:val="00415CD5"/>
    <w:rsid w:val="004162B1"/>
    <w:rsid w:val="00416BAB"/>
    <w:rsid w:val="00416C2B"/>
    <w:rsid w:val="004179C1"/>
    <w:rsid w:val="004207D1"/>
    <w:rsid w:val="00421018"/>
    <w:rsid w:val="0042124B"/>
    <w:rsid w:val="0042136D"/>
    <w:rsid w:val="00421C96"/>
    <w:rsid w:val="00421E0C"/>
    <w:rsid w:val="004224E7"/>
    <w:rsid w:val="0042287F"/>
    <w:rsid w:val="004231FE"/>
    <w:rsid w:val="00423D17"/>
    <w:rsid w:val="00424695"/>
    <w:rsid w:val="0042519B"/>
    <w:rsid w:val="004258BC"/>
    <w:rsid w:val="00427149"/>
    <w:rsid w:val="004278AB"/>
    <w:rsid w:val="00427983"/>
    <w:rsid w:val="00430817"/>
    <w:rsid w:val="00431242"/>
    <w:rsid w:val="00432219"/>
    <w:rsid w:val="004327CF"/>
    <w:rsid w:val="00432AC1"/>
    <w:rsid w:val="00432E25"/>
    <w:rsid w:val="004338D4"/>
    <w:rsid w:val="004342AD"/>
    <w:rsid w:val="0043443F"/>
    <w:rsid w:val="00434B0C"/>
    <w:rsid w:val="00434BD5"/>
    <w:rsid w:val="004350B0"/>
    <w:rsid w:val="004355B0"/>
    <w:rsid w:val="004355F5"/>
    <w:rsid w:val="00435DA5"/>
    <w:rsid w:val="004360F9"/>
    <w:rsid w:val="00436390"/>
    <w:rsid w:val="0043688A"/>
    <w:rsid w:val="00436DA4"/>
    <w:rsid w:val="00437255"/>
    <w:rsid w:val="00437680"/>
    <w:rsid w:val="004376EE"/>
    <w:rsid w:val="00440BB8"/>
    <w:rsid w:val="00441ADC"/>
    <w:rsid w:val="0044346C"/>
    <w:rsid w:val="00443A93"/>
    <w:rsid w:val="00443F2B"/>
    <w:rsid w:val="00444BF6"/>
    <w:rsid w:val="00444C47"/>
    <w:rsid w:val="00444D2F"/>
    <w:rsid w:val="00445027"/>
    <w:rsid w:val="00445143"/>
    <w:rsid w:val="004456D8"/>
    <w:rsid w:val="0044579E"/>
    <w:rsid w:val="00450376"/>
    <w:rsid w:val="004506C7"/>
    <w:rsid w:val="00450A68"/>
    <w:rsid w:val="00450C23"/>
    <w:rsid w:val="00450CB8"/>
    <w:rsid w:val="00450D05"/>
    <w:rsid w:val="004516FF"/>
    <w:rsid w:val="00451E8A"/>
    <w:rsid w:val="0045227F"/>
    <w:rsid w:val="004527DF"/>
    <w:rsid w:val="004528FD"/>
    <w:rsid w:val="00452EC8"/>
    <w:rsid w:val="00453157"/>
    <w:rsid w:val="0045359F"/>
    <w:rsid w:val="00453A33"/>
    <w:rsid w:val="0045440F"/>
    <w:rsid w:val="00454469"/>
    <w:rsid w:val="0045488B"/>
    <w:rsid w:val="00454B65"/>
    <w:rsid w:val="00455873"/>
    <w:rsid w:val="00455D60"/>
    <w:rsid w:val="00456124"/>
    <w:rsid w:val="00456416"/>
    <w:rsid w:val="00456DB3"/>
    <w:rsid w:val="004575D8"/>
    <w:rsid w:val="00457632"/>
    <w:rsid w:val="00460128"/>
    <w:rsid w:val="0046086A"/>
    <w:rsid w:val="004610CF"/>
    <w:rsid w:val="004615E6"/>
    <w:rsid w:val="00461644"/>
    <w:rsid w:val="0046186E"/>
    <w:rsid w:val="004619C5"/>
    <w:rsid w:val="00463188"/>
    <w:rsid w:val="0046327C"/>
    <w:rsid w:val="00463809"/>
    <w:rsid w:val="00463A34"/>
    <w:rsid w:val="00463BF1"/>
    <w:rsid w:val="004647DF"/>
    <w:rsid w:val="00465241"/>
    <w:rsid w:val="00465C28"/>
    <w:rsid w:val="00465C73"/>
    <w:rsid w:val="004663D4"/>
    <w:rsid w:val="00467108"/>
    <w:rsid w:val="0046749D"/>
    <w:rsid w:val="004679FF"/>
    <w:rsid w:val="00470190"/>
    <w:rsid w:val="00470325"/>
    <w:rsid w:val="00470CA6"/>
    <w:rsid w:val="00470D3D"/>
    <w:rsid w:val="00470F0E"/>
    <w:rsid w:val="004713B2"/>
    <w:rsid w:val="00471E16"/>
    <w:rsid w:val="00472645"/>
    <w:rsid w:val="00473063"/>
    <w:rsid w:val="0047313D"/>
    <w:rsid w:val="004745CA"/>
    <w:rsid w:val="00474DE8"/>
    <w:rsid w:val="00475182"/>
    <w:rsid w:val="004754C2"/>
    <w:rsid w:val="00475586"/>
    <w:rsid w:val="004760D0"/>
    <w:rsid w:val="004766E4"/>
    <w:rsid w:val="00476B1D"/>
    <w:rsid w:val="00477150"/>
    <w:rsid w:val="00477448"/>
    <w:rsid w:val="004809FE"/>
    <w:rsid w:val="00480A16"/>
    <w:rsid w:val="00480DA7"/>
    <w:rsid w:val="00480EAE"/>
    <w:rsid w:val="004815C6"/>
    <w:rsid w:val="004817AF"/>
    <w:rsid w:val="0048272C"/>
    <w:rsid w:val="0048297B"/>
    <w:rsid w:val="00482CFC"/>
    <w:rsid w:val="00483AAA"/>
    <w:rsid w:val="00483CD3"/>
    <w:rsid w:val="00485FEE"/>
    <w:rsid w:val="00486DFF"/>
    <w:rsid w:val="00487198"/>
    <w:rsid w:val="00487462"/>
    <w:rsid w:val="0049018C"/>
    <w:rsid w:val="00490CE0"/>
    <w:rsid w:val="00490FCF"/>
    <w:rsid w:val="004922EB"/>
    <w:rsid w:val="004926F4"/>
    <w:rsid w:val="00492B1B"/>
    <w:rsid w:val="00492C4B"/>
    <w:rsid w:val="00492E75"/>
    <w:rsid w:val="00492FEC"/>
    <w:rsid w:val="0049332C"/>
    <w:rsid w:val="00494FD4"/>
    <w:rsid w:val="00496530"/>
    <w:rsid w:val="00496B14"/>
    <w:rsid w:val="00496B70"/>
    <w:rsid w:val="004970CB"/>
    <w:rsid w:val="004973BC"/>
    <w:rsid w:val="00497BD9"/>
    <w:rsid w:val="00497E93"/>
    <w:rsid w:val="004A00AC"/>
    <w:rsid w:val="004A0700"/>
    <w:rsid w:val="004A11D4"/>
    <w:rsid w:val="004A1216"/>
    <w:rsid w:val="004A132C"/>
    <w:rsid w:val="004A29CE"/>
    <w:rsid w:val="004A2E4F"/>
    <w:rsid w:val="004A3188"/>
    <w:rsid w:val="004A3D61"/>
    <w:rsid w:val="004A3DB5"/>
    <w:rsid w:val="004A4657"/>
    <w:rsid w:val="004A50A8"/>
    <w:rsid w:val="004A5468"/>
    <w:rsid w:val="004A57DF"/>
    <w:rsid w:val="004A5A20"/>
    <w:rsid w:val="004A6AA2"/>
    <w:rsid w:val="004A6C68"/>
    <w:rsid w:val="004B0E25"/>
    <w:rsid w:val="004B12B6"/>
    <w:rsid w:val="004B1A1A"/>
    <w:rsid w:val="004B1B9B"/>
    <w:rsid w:val="004B1DE6"/>
    <w:rsid w:val="004B2E07"/>
    <w:rsid w:val="004B332B"/>
    <w:rsid w:val="004B3A8C"/>
    <w:rsid w:val="004B49D4"/>
    <w:rsid w:val="004B4D9E"/>
    <w:rsid w:val="004B52B5"/>
    <w:rsid w:val="004B539F"/>
    <w:rsid w:val="004B57B2"/>
    <w:rsid w:val="004B5EC6"/>
    <w:rsid w:val="004B669A"/>
    <w:rsid w:val="004B6D02"/>
    <w:rsid w:val="004B718E"/>
    <w:rsid w:val="004B719B"/>
    <w:rsid w:val="004B7448"/>
    <w:rsid w:val="004B78D8"/>
    <w:rsid w:val="004B7BB2"/>
    <w:rsid w:val="004B7F46"/>
    <w:rsid w:val="004C03E7"/>
    <w:rsid w:val="004C0D5E"/>
    <w:rsid w:val="004C1F75"/>
    <w:rsid w:val="004C20D9"/>
    <w:rsid w:val="004C237A"/>
    <w:rsid w:val="004C2642"/>
    <w:rsid w:val="004C2C25"/>
    <w:rsid w:val="004C2F55"/>
    <w:rsid w:val="004C3C98"/>
    <w:rsid w:val="004C3ED6"/>
    <w:rsid w:val="004C4094"/>
    <w:rsid w:val="004C43A3"/>
    <w:rsid w:val="004C5002"/>
    <w:rsid w:val="004C522D"/>
    <w:rsid w:val="004C5486"/>
    <w:rsid w:val="004C59BD"/>
    <w:rsid w:val="004C6483"/>
    <w:rsid w:val="004C684F"/>
    <w:rsid w:val="004C6F3B"/>
    <w:rsid w:val="004C7845"/>
    <w:rsid w:val="004D057B"/>
    <w:rsid w:val="004D23D6"/>
    <w:rsid w:val="004D2DFE"/>
    <w:rsid w:val="004D32D4"/>
    <w:rsid w:val="004D3342"/>
    <w:rsid w:val="004D3837"/>
    <w:rsid w:val="004D3EB2"/>
    <w:rsid w:val="004D44B6"/>
    <w:rsid w:val="004D48F2"/>
    <w:rsid w:val="004D57AE"/>
    <w:rsid w:val="004D5FDA"/>
    <w:rsid w:val="004D6C5A"/>
    <w:rsid w:val="004D6E78"/>
    <w:rsid w:val="004E00A4"/>
    <w:rsid w:val="004E06DA"/>
    <w:rsid w:val="004E0B43"/>
    <w:rsid w:val="004E0DAB"/>
    <w:rsid w:val="004E12E7"/>
    <w:rsid w:val="004E24AD"/>
    <w:rsid w:val="004E2939"/>
    <w:rsid w:val="004E4322"/>
    <w:rsid w:val="004E4371"/>
    <w:rsid w:val="004E54BD"/>
    <w:rsid w:val="004E5A3D"/>
    <w:rsid w:val="004E6AB5"/>
    <w:rsid w:val="004E6F54"/>
    <w:rsid w:val="004E70A2"/>
    <w:rsid w:val="004E72E3"/>
    <w:rsid w:val="004E7E2B"/>
    <w:rsid w:val="004F0388"/>
    <w:rsid w:val="004F0AA1"/>
    <w:rsid w:val="004F0D0A"/>
    <w:rsid w:val="004F194D"/>
    <w:rsid w:val="004F1A6B"/>
    <w:rsid w:val="004F2252"/>
    <w:rsid w:val="004F2C48"/>
    <w:rsid w:val="004F340B"/>
    <w:rsid w:val="004F3458"/>
    <w:rsid w:val="004F3A65"/>
    <w:rsid w:val="004F3C51"/>
    <w:rsid w:val="004F40DD"/>
    <w:rsid w:val="004F4232"/>
    <w:rsid w:val="004F42FB"/>
    <w:rsid w:val="004F4FA6"/>
    <w:rsid w:val="004F5163"/>
    <w:rsid w:val="004F57B0"/>
    <w:rsid w:val="004F6F7E"/>
    <w:rsid w:val="004F7CCC"/>
    <w:rsid w:val="00500DB0"/>
    <w:rsid w:val="00501740"/>
    <w:rsid w:val="00501889"/>
    <w:rsid w:val="00501921"/>
    <w:rsid w:val="00502588"/>
    <w:rsid w:val="00502A6F"/>
    <w:rsid w:val="00505135"/>
    <w:rsid w:val="0050538B"/>
    <w:rsid w:val="00505738"/>
    <w:rsid w:val="00505796"/>
    <w:rsid w:val="00505926"/>
    <w:rsid w:val="00506780"/>
    <w:rsid w:val="005067A4"/>
    <w:rsid w:val="005068BD"/>
    <w:rsid w:val="00506E27"/>
    <w:rsid w:val="005071C2"/>
    <w:rsid w:val="0050770B"/>
    <w:rsid w:val="00507BFB"/>
    <w:rsid w:val="0051008E"/>
    <w:rsid w:val="0051015C"/>
    <w:rsid w:val="00510AC4"/>
    <w:rsid w:val="00510FB1"/>
    <w:rsid w:val="00511BB8"/>
    <w:rsid w:val="00511DAB"/>
    <w:rsid w:val="00511EE4"/>
    <w:rsid w:val="00511F05"/>
    <w:rsid w:val="0051285F"/>
    <w:rsid w:val="0051289F"/>
    <w:rsid w:val="005139D0"/>
    <w:rsid w:val="00513E6D"/>
    <w:rsid w:val="005149E3"/>
    <w:rsid w:val="0051501E"/>
    <w:rsid w:val="00516292"/>
    <w:rsid w:val="005166DF"/>
    <w:rsid w:val="00517339"/>
    <w:rsid w:val="005173E2"/>
    <w:rsid w:val="00517C35"/>
    <w:rsid w:val="00517D5F"/>
    <w:rsid w:val="00520E4A"/>
    <w:rsid w:val="0052181B"/>
    <w:rsid w:val="005219A6"/>
    <w:rsid w:val="00522E35"/>
    <w:rsid w:val="00523078"/>
    <w:rsid w:val="0052319D"/>
    <w:rsid w:val="00524F58"/>
    <w:rsid w:val="0052574E"/>
    <w:rsid w:val="0052603B"/>
    <w:rsid w:val="005262F3"/>
    <w:rsid w:val="005265C1"/>
    <w:rsid w:val="0052683A"/>
    <w:rsid w:val="005268B1"/>
    <w:rsid w:val="00526D5E"/>
    <w:rsid w:val="0053140B"/>
    <w:rsid w:val="0053276C"/>
    <w:rsid w:val="005327D0"/>
    <w:rsid w:val="00532B9C"/>
    <w:rsid w:val="0053355B"/>
    <w:rsid w:val="005335B6"/>
    <w:rsid w:val="00534944"/>
    <w:rsid w:val="00535F52"/>
    <w:rsid w:val="0053603D"/>
    <w:rsid w:val="00536210"/>
    <w:rsid w:val="00536BCC"/>
    <w:rsid w:val="00536DBB"/>
    <w:rsid w:val="00537A42"/>
    <w:rsid w:val="00537E67"/>
    <w:rsid w:val="0054035D"/>
    <w:rsid w:val="00540596"/>
    <w:rsid w:val="00540B58"/>
    <w:rsid w:val="005410A9"/>
    <w:rsid w:val="005411A3"/>
    <w:rsid w:val="005415E9"/>
    <w:rsid w:val="00542158"/>
    <w:rsid w:val="00542AB5"/>
    <w:rsid w:val="00542D52"/>
    <w:rsid w:val="005435F2"/>
    <w:rsid w:val="00543B72"/>
    <w:rsid w:val="005442F1"/>
    <w:rsid w:val="005445CA"/>
    <w:rsid w:val="0054550D"/>
    <w:rsid w:val="00545D39"/>
    <w:rsid w:val="00546120"/>
    <w:rsid w:val="005468C6"/>
    <w:rsid w:val="00546B7E"/>
    <w:rsid w:val="005473F5"/>
    <w:rsid w:val="00550BB1"/>
    <w:rsid w:val="00551E51"/>
    <w:rsid w:val="0055286F"/>
    <w:rsid w:val="005529A2"/>
    <w:rsid w:val="00553CB4"/>
    <w:rsid w:val="00553DB0"/>
    <w:rsid w:val="00553F38"/>
    <w:rsid w:val="00553F8F"/>
    <w:rsid w:val="00554A86"/>
    <w:rsid w:val="005551C0"/>
    <w:rsid w:val="00555E9C"/>
    <w:rsid w:val="005566EE"/>
    <w:rsid w:val="00556C02"/>
    <w:rsid w:val="005570C0"/>
    <w:rsid w:val="0055774D"/>
    <w:rsid w:val="00560B1A"/>
    <w:rsid w:val="00560B9B"/>
    <w:rsid w:val="00561BEB"/>
    <w:rsid w:val="005628A3"/>
    <w:rsid w:val="00562A18"/>
    <w:rsid w:val="00562A4C"/>
    <w:rsid w:val="00562E62"/>
    <w:rsid w:val="00564322"/>
    <w:rsid w:val="00564ECD"/>
    <w:rsid w:val="0056529E"/>
    <w:rsid w:val="0056599C"/>
    <w:rsid w:val="00566001"/>
    <w:rsid w:val="005660EB"/>
    <w:rsid w:val="00566609"/>
    <w:rsid w:val="00566FD3"/>
    <w:rsid w:val="00567287"/>
    <w:rsid w:val="00567446"/>
    <w:rsid w:val="00567D50"/>
    <w:rsid w:val="00570127"/>
    <w:rsid w:val="00570757"/>
    <w:rsid w:val="0057084C"/>
    <w:rsid w:val="00570991"/>
    <w:rsid w:val="00570A90"/>
    <w:rsid w:val="00571405"/>
    <w:rsid w:val="005714A0"/>
    <w:rsid w:val="00571A3C"/>
    <w:rsid w:val="00571A63"/>
    <w:rsid w:val="00571A93"/>
    <w:rsid w:val="005724BC"/>
    <w:rsid w:val="005724D8"/>
    <w:rsid w:val="005727ED"/>
    <w:rsid w:val="005728CD"/>
    <w:rsid w:val="00573179"/>
    <w:rsid w:val="00573796"/>
    <w:rsid w:val="00574846"/>
    <w:rsid w:val="00574EFA"/>
    <w:rsid w:val="005751B1"/>
    <w:rsid w:val="00575301"/>
    <w:rsid w:val="0057556A"/>
    <w:rsid w:val="00576526"/>
    <w:rsid w:val="005765AB"/>
    <w:rsid w:val="00576CA9"/>
    <w:rsid w:val="00576FE4"/>
    <w:rsid w:val="005770D6"/>
    <w:rsid w:val="00577149"/>
    <w:rsid w:val="00577569"/>
    <w:rsid w:val="00577795"/>
    <w:rsid w:val="0058051A"/>
    <w:rsid w:val="00580581"/>
    <w:rsid w:val="00580B4C"/>
    <w:rsid w:val="00580DB3"/>
    <w:rsid w:val="0058103E"/>
    <w:rsid w:val="005811D3"/>
    <w:rsid w:val="0058209F"/>
    <w:rsid w:val="005831AB"/>
    <w:rsid w:val="0058338A"/>
    <w:rsid w:val="00583400"/>
    <w:rsid w:val="00583412"/>
    <w:rsid w:val="00583728"/>
    <w:rsid w:val="00583C79"/>
    <w:rsid w:val="00584741"/>
    <w:rsid w:val="00584A2D"/>
    <w:rsid w:val="00584BFE"/>
    <w:rsid w:val="00584DAE"/>
    <w:rsid w:val="00585125"/>
    <w:rsid w:val="005858E3"/>
    <w:rsid w:val="00585EBB"/>
    <w:rsid w:val="00585F8A"/>
    <w:rsid w:val="00586026"/>
    <w:rsid w:val="0058637E"/>
    <w:rsid w:val="005875FA"/>
    <w:rsid w:val="00590336"/>
    <w:rsid w:val="005906C1"/>
    <w:rsid w:val="005906FF"/>
    <w:rsid w:val="00590719"/>
    <w:rsid w:val="0059078A"/>
    <w:rsid w:val="00590C11"/>
    <w:rsid w:val="0059234E"/>
    <w:rsid w:val="005923B1"/>
    <w:rsid w:val="00592B50"/>
    <w:rsid w:val="00593472"/>
    <w:rsid w:val="00593952"/>
    <w:rsid w:val="00594AA7"/>
    <w:rsid w:val="005961A4"/>
    <w:rsid w:val="00596811"/>
    <w:rsid w:val="0059685F"/>
    <w:rsid w:val="005969FF"/>
    <w:rsid w:val="00596DE1"/>
    <w:rsid w:val="00597449"/>
    <w:rsid w:val="0059769A"/>
    <w:rsid w:val="00597AAE"/>
    <w:rsid w:val="00597AFF"/>
    <w:rsid w:val="005A01A0"/>
    <w:rsid w:val="005A110F"/>
    <w:rsid w:val="005A1132"/>
    <w:rsid w:val="005A1229"/>
    <w:rsid w:val="005A1353"/>
    <w:rsid w:val="005A1478"/>
    <w:rsid w:val="005A1840"/>
    <w:rsid w:val="005A20F1"/>
    <w:rsid w:val="005A2681"/>
    <w:rsid w:val="005A2844"/>
    <w:rsid w:val="005A2EA6"/>
    <w:rsid w:val="005A353C"/>
    <w:rsid w:val="005A3B6A"/>
    <w:rsid w:val="005A3C30"/>
    <w:rsid w:val="005A466B"/>
    <w:rsid w:val="005A4EE7"/>
    <w:rsid w:val="005A53F1"/>
    <w:rsid w:val="005A629D"/>
    <w:rsid w:val="005A65B0"/>
    <w:rsid w:val="005B0980"/>
    <w:rsid w:val="005B11DF"/>
    <w:rsid w:val="005B260F"/>
    <w:rsid w:val="005B2773"/>
    <w:rsid w:val="005B3015"/>
    <w:rsid w:val="005B349D"/>
    <w:rsid w:val="005B3923"/>
    <w:rsid w:val="005B43E3"/>
    <w:rsid w:val="005B4E2B"/>
    <w:rsid w:val="005B5105"/>
    <w:rsid w:val="005B52B7"/>
    <w:rsid w:val="005B5419"/>
    <w:rsid w:val="005B6298"/>
    <w:rsid w:val="005B6740"/>
    <w:rsid w:val="005B711A"/>
    <w:rsid w:val="005B760B"/>
    <w:rsid w:val="005B7939"/>
    <w:rsid w:val="005B7BB8"/>
    <w:rsid w:val="005B7EA8"/>
    <w:rsid w:val="005C00C3"/>
    <w:rsid w:val="005C0F48"/>
    <w:rsid w:val="005C0F65"/>
    <w:rsid w:val="005C1B04"/>
    <w:rsid w:val="005C1D9A"/>
    <w:rsid w:val="005C3868"/>
    <w:rsid w:val="005C39C5"/>
    <w:rsid w:val="005C3C71"/>
    <w:rsid w:val="005C3CD4"/>
    <w:rsid w:val="005C4871"/>
    <w:rsid w:val="005C4D26"/>
    <w:rsid w:val="005C51D2"/>
    <w:rsid w:val="005C6048"/>
    <w:rsid w:val="005C626B"/>
    <w:rsid w:val="005C6B79"/>
    <w:rsid w:val="005C6E0F"/>
    <w:rsid w:val="005C6FD0"/>
    <w:rsid w:val="005C7028"/>
    <w:rsid w:val="005C7738"/>
    <w:rsid w:val="005D006C"/>
    <w:rsid w:val="005D0D46"/>
    <w:rsid w:val="005D0F79"/>
    <w:rsid w:val="005D10C0"/>
    <w:rsid w:val="005D1323"/>
    <w:rsid w:val="005D2468"/>
    <w:rsid w:val="005D2E39"/>
    <w:rsid w:val="005D3405"/>
    <w:rsid w:val="005D36CD"/>
    <w:rsid w:val="005D38EC"/>
    <w:rsid w:val="005D3C71"/>
    <w:rsid w:val="005D3F63"/>
    <w:rsid w:val="005D4BD4"/>
    <w:rsid w:val="005D4D66"/>
    <w:rsid w:val="005D5138"/>
    <w:rsid w:val="005D5CA1"/>
    <w:rsid w:val="005D5DBF"/>
    <w:rsid w:val="005D6055"/>
    <w:rsid w:val="005D6884"/>
    <w:rsid w:val="005D6F01"/>
    <w:rsid w:val="005D720D"/>
    <w:rsid w:val="005D72E2"/>
    <w:rsid w:val="005D7492"/>
    <w:rsid w:val="005D7633"/>
    <w:rsid w:val="005D77EC"/>
    <w:rsid w:val="005D7A5C"/>
    <w:rsid w:val="005E0973"/>
    <w:rsid w:val="005E0B75"/>
    <w:rsid w:val="005E1CB6"/>
    <w:rsid w:val="005E1E6D"/>
    <w:rsid w:val="005E2802"/>
    <w:rsid w:val="005E2A07"/>
    <w:rsid w:val="005E2C07"/>
    <w:rsid w:val="005E3B84"/>
    <w:rsid w:val="005E3EF8"/>
    <w:rsid w:val="005E484D"/>
    <w:rsid w:val="005E5013"/>
    <w:rsid w:val="005E59D2"/>
    <w:rsid w:val="005E5AD9"/>
    <w:rsid w:val="005E5B1F"/>
    <w:rsid w:val="005E6264"/>
    <w:rsid w:val="005E6448"/>
    <w:rsid w:val="005E669D"/>
    <w:rsid w:val="005E7395"/>
    <w:rsid w:val="005E7498"/>
    <w:rsid w:val="005E759E"/>
    <w:rsid w:val="005E7D69"/>
    <w:rsid w:val="005E7E51"/>
    <w:rsid w:val="005F0452"/>
    <w:rsid w:val="005F0D13"/>
    <w:rsid w:val="005F1374"/>
    <w:rsid w:val="005F1841"/>
    <w:rsid w:val="005F188D"/>
    <w:rsid w:val="005F4443"/>
    <w:rsid w:val="005F48A6"/>
    <w:rsid w:val="005F4FA6"/>
    <w:rsid w:val="005F5FCA"/>
    <w:rsid w:val="005F61F0"/>
    <w:rsid w:val="005F7D7B"/>
    <w:rsid w:val="00600096"/>
    <w:rsid w:val="00600369"/>
    <w:rsid w:val="00600C20"/>
    <w:rsid w:val="00600D4B"/>
    <w:rsid w:val="006012C7"/>
    <w:rsid w:val="00601634"/>
    <w:rsid w:val="00601F07"/>
    <w:rsid w:val="0060238F"/>
    <w:rsid w:val="00603A7F"/>
    <w:rsid w:val="00604057"/>
    <w:rsid w:val="0060417C"/>
    <w:rsid w:val="00604180"/>
    <w:rsid w:val="006046C8"/>
    <w:rsid w:val="00605D3A"/>
    <w:rsid w:val="00610D0C"/>
    <w:rsid w:val="00611529"/>
    <w:rsid w:val="00611703"/>
    <w:rsid w:val="00611F44"/>
    <w:rsid w:val="0061308C"/>
    <w:rsid w:val="00613376"/>
    <w:rsid w:val="00613D4C"/>
    <w:rsid w:val="00613F69"/>
    <w:rsid w:val="00613FC2"/>
    <w:rsid w:val="0061403B"/>
    <w:rsid w:val="00615270"/>
    <w:rsid w:val="006159ED"/>
    <w:rsid w:val="006171CD"/>
    <w:rsid w:val="00617679"/>
    <w:rsid w:val="006178CD"/>
    <w:rsid w:val="0062126D"/>
    <w:rsid w:val="00621DA8"/>
    <w:rsid w:val="00621F54"/>
    <w:rsid w:val="00622EAF"/>
    <w:rsid w:val="006237CD"/>
    <w:rsid w:val="00623920"/>
    <w:rsid w:val="00623C6B"/>
    <w:rsid w:val="0062400B"/>
    <w:rsid w:val="006255B1"/>
    <w:rsid w:val="006264F9"/>
    <w:rsid w:val="00626590"/>
    <w:rsid w:val="00626917"/>
    <w:rsid w:val="0062742C"/>
    <w:rsid w:val="006277B7"/>
    <w:rsid w:val="00627C16"/>
    <w:rsid w:val="006300C8"/>
    <w:rsid w:val="00630AC8"/>
    <w:rsid w:val="00632D1C"/>
    <w:rsid w:val="006336C5"/>
    <w:rsid w:val="00633C46"/>
    <w:rsid w:val="00633CBD"/>
    <w:rsid w:val="00633FE0"/>
    <w:rsid w:val="00634669"/>
    <w:rsid w:val="00634704"/>
    <w:rsid w:val="006349C9"/>
    <w:rsid w:val="00635967"/>
    <w:rsid w:val="006361BF"/>
    <w:rsid w:val="00636273"/>
    <w:rsid w:val="0063642D"/>
    <w:rsid w:val="00637829"/>
    <w:rsid w:val="00637FAA"/>
    <w:rsid w:val="00640154"/>
    <w:rsid w:val="00640930"/>
    <w:rsid w:val="00640B14"/>
    <w:rsid w:val="00641BCF"/>
    <w:rsid w:val="00641F9E"/>
    <w:rsid w:val="006423E0"/>
    <w:rsid w:val="00642EDF"/>
    <w:rsid w:val="006431CE"/>
    <w:rsid w:val="00643B38"/>
    <w:rsid w:val="00643D6D"/>
    <w:rsid w:val="00643E81"/>
    <w:rsid w:val="00644324"/>
    <w:rsid w:val="00644C75"/>
    <w:rsid w:val="006452EC"/>
    <w:rsid w:val="00645C1E"/>
    <w:rsid w:val="00647263"/>
    <w:rsid w:val="006475C7"/>
    <w:rsid w:val="00647FB9"/>
    <w:rsid w:val="00650185"/>
    <w:rsid w:val="00650451"/>
    <w:rsid w:val="00650C93"/>
    <w:rsid w:val="006512E8"/>
    <w:rsid w:val="00651A54"/>
    <w:rsid w:val="006525FE"/>
    <w:rsid w:val="006530FF"/>
    <w:rsid w:val="006532DA"/>
    <w:rsid w:val="0065357F"/>
    <w:rsid w:val="006545CC"/>
    <w:rsid w:val="00654604"/>
    <w:rsid w:val="00654D5B"/>
    <w:rsid w:val="006554FA"/>
    <w:rsid w:val="006555D5"/>
    <w:rsid w:val="00655958"/>
    <w:rsid w:val="00655C2A"/>
    <w:rsid w:val="00656DC0"/>
    <w:rsid w:val="006602EC"/>
    <w:rsid w:val="006608C9"/>
    <w:rsid w:val="00660C5A"/>
    <w:rsid w:val="00660F3C"/>
    <w:rsid w:val="0066106C"/>
    <w:rsid w:val="00662251"/>
    <w:rsid w:val="00662B53"/>
    <w:rsid w:val="00662EA1"/>
    <w:rsid w:val="00663BAE"/>
    <w:rsid w:val="00663ED3"/>
    <w:rsid w:val="00663FD6"/>
    <w:rsid w:val="00664A9A"/>
    <w:rsid w:val="00664FCD"/>
    <w:rsid w:val="00665396"/>
    <w:rsid w:val="006654DD"/>
    <w:rsid w:val="006656F9"/>
    <w:rsid w:val="00665A7F"/>
    <w:rsid w:val="00665D45"/>
    <w:rsid w:val="00666C55"/>
    <w:rsid w:val="00666C7F"/>
    <w:rsid w:val="006670E5"/>
    <w:rsid w:val="00667176"/>
    <w:rsid w:val="006672E1"/>
    <w:rsid w:val="0066740D"/>
    <w:rsid w:val="0066775A"/>
    <w:rsid w:val="00667FBD"/>
    <w:rsid w:val="006708FE"/>
    <w:rsid w:val="00671420"/>
    <w:rsid w:val="00671766"/>
    <w:rsid w:val="00671952"/>
    <w:rsid w:val="00671BC7"/>
    <w:rsid w:val="00672C6F"/>
    <w:rsid w:val="00672C89"/>
    <w:rsid w:val="006733FA"/>
    <w:rsid w:val="00674527"/>
    <w:rsid w:val="0067531A"/>
    <w:rsid w:val="006758FA"/>
    <w:rsid w:val="00676248"/>
    <w:rsid w:val="00677E52"/>
    <w:rsid w:val="0068038F"/>
    <w:rsid w:val="0068048B"/>
    <w:rsid w:val="00680F36"/>
    <w:rsid w:val="006827B1"/>
    <w:rsid w:val="00682943"/>
    <w:rsid w:val="00682A4F"/>
    <w:rsid w:val="006839A5"/>
    <w:rsid w:val="00684330"/>
    <w:rsid w:val="006843AB"/>
    <w:rsid w:val="00684447"/>
    <w:rsid w:val="00684BC6"/>
    <w:rsid w:val="006854A1"/>
    <w:rsid w:val="00685FB0"/>
    <w:rsid w:val="006866AC"/>
    <w:rsid w:val="00686716"/>
    <w:rsid w:val="006873B2"/>
    <w:rsid w:val="0068746E"/>
    <w:rsid w:val="0068773F"/>
    <w:rsid w:val="00687813"/>
    <w:rsid w:val="00687BBA"/>
    <w:rsid w:val="0069001C"/>
    <w:rsid w:val="006901D3"/>
    <w:rsid w:val="00690D85"/>
    <w:rsid w:val="0069125E"/>
    <w:rsid w:val="006913A5"/>
    <w:rsid w:val="0069198F"/>
    <w:rsid w:val="006920C5"/>
    <w:rsid w:val="00692863"/>
    <w:rsid w:val="00692BD5"/>
    <w:rsid w:val="00693965"/>
    <w:rsid w:val="006951BF"/>
    <w:rsid w:val="00695E2D"/>
    <w:rsid w:val="00696589"/>
    <w:rsid w:val="0069698E"/>
    <w:rsid w:val="006973A8"/>
    <w:rsid w:val="006A07EB"/>
    <w:rsid w:val="006A081E"/>
    <w:rsid w:val="006A09DD"/>
    <w:rsid w:val="006A0A57"/>
    <w:rsid w:val="006A129A"/>
    <w:rsid w:val="006A17DD"/>
    <w:rsid w:val="006A188F"/>
    <w:rsid w:val="006A21C0"/>
    <w:rsid w:val="006A27E3"/>
    <w:rsid w:val="006A2A1B"/>
    <w:rsid w:val="006A3AE0"/>
    <w:rsid w:val="006A4782"/>
    <w:rsid w:val="006A4A47"/>
    <w:rsid w:val="006A4BF8"/>
    <w:rsid w:val="006A4FC5"/>
    <w:rsid w:val="006A5842"/>
    <w:rsid w:val="006A59F7"/>
    <w:rsid w:val="006A5CAA"/>
    <w:rsid w:val="006A5E4A"/>
    <w:rsid w:val="006A5FCF"/>
    <w:rsid w:val="006A6039"/>
    <w:rsid w:val="006A6876"/>
    <w:rsid w:val="006A6A2D"/>
    <w:rsid w:val="006A6DAB"/>
    <w:rsid w:val="006A70F4"/>
    <w:rsid w:val="006A760D"/>
    <w:rsid w:val="006B06B8"/>
    <w:rsid w:val="006B0B57"/>
    <w:rsid w:val="006B0EB7"/>
    <w:rsid w:val="006B1B55"/>
    <w:rsid w:val="006B1D9B"/>
    <w:rsid w:val="006B1F31"/>
    <w:rsid w:val="006B2C23"/>
    <w:rsid w:val="006B2E14"/>
    <w:rsid w:val="006B31D0"/>
    <w:rsid w:val="006B50A3"/>
    <w:rsid w:val="006B5188"/>
    <w:rsid w:val="006B59DB"/>
    <w:rsid w:val="006B5D9D"/>
    <w:rsid w:val="006B5DFE"/>
    <w:rsid w:val="006B6793"/>
    <w:rsid w:val="006B6809"/>
    <w:rsid w:val="006B6BCF"/>
    <w:rsid w:val="006B745D"/>
    <w:rsid w:val="006C0A48"/>
    <w:rsid w:val="006C0B16"/>
    <w:rsid w:val="006C1E96"/>
    <w:rsid w:val="006C2833"/>
    <w:rsid w:val="006C29BF"/>
    <w:rsid w:val="006C35E9"/>
    <w:rsid w:val="006C3625"/>
    <w:rsid w:val="006C385E"/>
    <w:rsid w:val="006C3E7F"/>
    <w:rsid w:val="006C402C"/>
    <w:rsid w:val="006C424B"/>
    <w:rsid w:val="006C4993"/>
    <w:rsid w:val="006C56E0"/>
    <w:rsid w:val="006C59DC"/>
    <w:rsid w:val="006C5C39"/>
    <w:rsid w:val="006C6657"/>
    <w:rsid w:val="006C68B7"/>
    <w:rsid w:val="006C6A1B"/>
    <w:rsid w:val="006C6E02"/>
    <w:rsid w:val="006C6ECF"/>
    <w:rsid w:val="006C6F09"/>
    <w:rsid w:val="006D0200"/>
    <w:rsid w:val="006D05F3"/>
    <w:rsid w:val="006D0B3F"/>
    <w:rsid w:val="006D0E37"/>
    <w:rsid w:val="006D12FD"/>
    <w:rsid w:val="006D1462"/>
    <w:rsid w:val="006D15F5"/>
    <w:rsid w:val="006D1A6A"/>
    <w:rsid w:val="006D2059"/>
    <w:rsid w:val="006D2367"/>
    <w:rsid w:val="006D2531"/>
    <w:rsid w:val="006D2777"/>
    <w:rsid w:val="006D2E89"/>
    <w:rsid w:val="006D33D8"/>
    <w:rsid w:val="006D340E"/>
    <w:rsid w:val="006D3614"/>
    <w:rsid w:val="006D3F38"/>
    <w:rsid w:val="006D637A"/>
    <w:rsid w:val="006D63B5"/>
    <w:rsid w:val="006D7D5C"/>
    <w:rsid w:val="006E005D"/>
    <w:rsid w:val="006E0172"/>
    <w:rsid w:val="006E0468"/>
    <w:rsid w:val="006E07BA"/>
    <w:rsid w:val="006E07D9"/>
    <w:rsid w:val="006E09CE"/>
    <w:rsid w:val="006E0DF3"/>
    <w:rsid w:val="006E1879"/>
    <w:rsid w:val="006E195B"/>
    <w:rsid w:val="006E1A9F"/>
    <w:rsid w:val="006E2A64"/>
    <w:rsid w:val="006E34A2"/>
    <w:rsid w:val="006E3552"/>
    <w:rsid w:val="006E3599"/>
    <w:rsid w:val="006E37B3"/>
    <w:rsid w:val="006E3952"/>
    <w:rsid w:val="006E401A"/>
    <w:rsid w:val="006E47FC"/>
    <w:rsid w:val="006E4D34"/>
    <w:rsid w:val="006E4EEB"/>
    <w:rsid w:val="006E4F0D"/>
    <w:rsid w:val="006E5133"/>
    <w:rsid w:val="006E66DE"/>
    <w:rsid w:val="006E67C4"/>
    <w:rsid w:val="006E6AE3"/>
    <w:rsid w:val="006E705E"/>
    <w:rsid w:val="006E7C4B"/>
    <w:rsid w:val="006E7CDA"/>
    <w:rsid w:val="006F0C2A"/>
    <w:rsid w:val="006F0D77"/>
    <w:rsid w:val="006F0EC4"/>
    <w:rsid w:val="006F0FAC"/>
    <w:rsid w:val="006F1D92"/>
    <w:rsid w:val="006F3671"/>
    <w:rsid w:val="006F3B5F"/>
    <w:rsid w:val="006F3D86"/>
    <w:rsid w:val="006F3F8F"/>
    <w:rsid w:val="006F4018"/>
    <w:rsid w:val="006F4D8D"/>
    <w:rsid w:val="006F5197"/>
    <w:rsid w:val="006F568E"/>
    <w:rsid w:val="006F570E"/>
    <w:rsid w:val="006F58C3"/>
    <w:rsid w:val="006F5D3B"/>
    <w:rsid w:val="006F6379"/>
    <w:rsid w:val="006F69F0"/>
    <w:rsid w:val="006F6DC3"/>
    <w:rsid w:val="006F7852"/>
    <w:rsid w:val="006F7B12"/>
    <w:rsid w:val="006F7BE3"/>
    <w:rsid w:val="00700198"/>
    <w:rsid w:val="007006D4"/>
    <w:rsid w:val="00700AE9"/>
    <w:rsid w:val="00700FDE"/>
    <w:rsid w:val="007010B1"/>
    <w:rsid w:val="0070128C"/>
    <w:rsid w:val="0070177F"/>
    <w:rsid w:val="007018B2"/>
    <w:rsid w:val="007025A6"/>
    <w:rsid w:val="0070269A"/>
    <w:rsid w:val="00702DF5"/>
    <w:rsid w:val="0070317A"/>
    <w:rsid w:val="0070361F"/>
    <w:rsid w:val="007037FF"/>
    <w:rsid w:val="00704D47"/>
    <w:rsid w:val="00705A06"/>
    <w:rsid w:val="00705A2F"/>
    <w:rsid w:val="00705CFC"/>
    <w:rsid w:val="00706637"/>
    <w:rsid w:val="00706A95"/>
    <w:rsid w:val="00706E82"/>
    <w:rsid w:val="00707B20"/>
    <w:rsid w:val="00707B5E"/>
    <w:rsid w:val="007101D0"/>
    <w:rsid w:val="00710903"/>
    <w:rsid w:val="00710ADD"/>
    <w:rsid w:val="00710B20"/>
    <w:rsid w:val="00710D78"/>
    <w:rsid w:val="00711227"/>
    <w:rsid w:val="00711D96"/>
    <w:rsid w:val="00712E78"/>
    <w:rsid w:val="007130ED"/>
    <w:rsid w:val="0071345A"/>
    <w:rsid w:val="00713FE3"/>
    <w:rsid w:val="00714AEC"/>
    <w:rsid w:val="00714E49"/>
    <w:rsid w:val="00714EBD"/>
    <w:rsid w:val="0071514B"/>
    <w:rsid w:val="007157E9"/>
    <w:rsid w:val="007158DF"/>
    <w:rsid w:val="00715F79"/>
    <w:rsid w:val="00715FE9"/>
    <w:rsid w:val="00716084"/>
    <w:rsid w:val="00716431"/>
    <w:rsid w:val="00716962"/>
    <w:rsid w:val="00716A0A"/>
    <w:rsid w:val="007179E9"/>
    <w:rsid w:val="00717CF8"/>
    <w:rsid w:val="0072088A"/>
    <w:rsid w:val="00720B79"/>
    <w:rsid w:val="00720DBD"/>
    <w:rsid w:val="00721B82"/>
    <w:rsid w:val="00721FAE"/>
    <w:rsid w:val="00722098"/>
    <w:rsid w:val="0072243F"/>
    <w:rsid w:val="00723440"/>
    <w:rsid w:val="00724786"/>
    <w:rsid w:val="00724A53"/>
    <w:rsid w:val="00724A55"/>
    <w:rsid w:val="00724C35"/>
    <w:rsid w:val="00724C5E"/>
    <w:rsid w:val="00725146"/>
    <w:rsid w:val="00726CF7"/>
    <w:rsid w:val="00727521"/>
    <w:rsid w:val="00727587"/>
    <w:rsid w:val="007278AE"/>
    <w:rsid w:val="0073015C"/>
    <w:rsid w:val="00730C04"/>
    <w:rsid w:val="00730FEF"/>
    <w:rsid w:val="007314E5"/>
    <w:rsid w:val="00731978"/>
    <w:rsid w:val="00731BC3"/>
    <w:rsid w:val="00731F41"/>
    <w:rsid w:val="007320F9"/>
    <w:rsid w:val="007322FA"/>
    <w:rsid w:val="00732EF9"/>
    <w:rsid w:val="00733304"/>
    <w:rsid w:val="00733BC2"/>
    <w:rsid w:val="007345E8"/>
    <w:rsid w:val="007353D6"/>
    <w:rsid w:val="00735ADE"/>
    <w:rsid w:val="00735B26"/>
    <w:rsid w:val="0073603C"/>
    <w:rsid w:val="007371D3"/>
    <w:rsid w:val="00737629"/>
    <w:rsid w:val="00737F25"/>
    <w:rsid w:val="007403E6"/>
    <w:rsid w:val="007415BE"/>
    <w:rsid w:val="00742937"/>
    <w:rsid w:val="00742B19"/>
    <w:rsid w:val="00742E40"/>
    <w:rsid w:val="00743CF1"/>
    <w:rsid w:val="00743D0A"/>
    <w:rsid w:val="007440A8"/>
    <w:rsid w:val="007441A5"/>
    <w:rsid w:val="0074439A"/>
    <w:rsid w:val="00744AEF"/>
    <w:rsid w:val="007452FA"/>
    <w:rsid w:val="007454F5"/>
    <w:rsid w:val="007455DF"/>
    <w:rsid w:val="007460A3"/>
    <w:rsid w:val="00747276"/>
    <w:rsid w:val="00747344"/>
    <w:rsid w:val="007474FC"/>
    <w:rsid w:val="00750BED"/>
    <w:rsid w:val="00750F7C"/>
    <w:rsid w:val="0075184C"/>
    <w:rsid w:val="00752542"/>
    <w:rsid w:val="00752BDC"/>
    <w:rsid w:val="00753330"/>
    <w:rsid w:val="0075417E"/>
    <w:rsid w:val="0075438F"/>
    <w:rsid w:val="00754DAA"/>
    <w:rsid w:val="00756281"/>
    <w:rsid w:val="00756658"/>
    <w:rsid w:val="00756B2B"/>
    <w:rsid w:val="007570C2"/>
    <w:rsid w:val="00757451"/>
    <w:rsid w:val="00761799"/>
    <w:rsid w:val="00761DD0"/>
    <w:rsid w:val="00763420"/>
    <w:rsid w:val="0076435B"/>
    <w:rsid w:val="0076549B"/>
    <w:rsid w:val="00765AB4"/>
    <w:rsid w:val="0076645B"/>
    <w:rsid w:val="00766CF8"/>
    <w:rsid w:val="00767E24"/>
    <w:rsid w:val="0077022E"/>
    <w:rsid w:val="00770526"/>
    <w:rsid w:val="00771F79"/>
    <w:rsid w:val="00772585"/>
    <w:rsid w:val="007729F0"/>
    <w:rsid w:val="007739CF"/>
    <w:rsid w:val="00773DE4"/>
    <w:rsid w:val="0077464C"/>
    <w:rsid w:val="0077476D"/>
    <w:rsid w:val="00774BAB"/>
    <w:rsid w:val="00775170"/>
    <w:rsid w:val="00775852"/>
    <w:rsid w:val="00776305"/>
    <w:rsid w:val="0077721C"/>
    <w:rsid w:val="00777D04"/>
    <w:rsid w:val="00780282"/>
    <w:rsid w:val="00780F20"/>
    <w:rsid w:val="007811D8"/>
    <w:rsid w:val="00781F3B"/>
    <w:rsid w:val="00781F63"/>
    <w:rsid w:val="00782165"/>
    <w:rsid w:val="007824D0"/>
    <w:rsid w:val="00782AFB"/>
    <w:rsid w:val="00782DCE"/>
    <w:rsid w:val="0078342D"/>
    <w:rsid w:val="00783905"/>
    <w:rsid w:val="00783D00"/>
    <w:rsid w:val="00784399"/>
    <w:rsid w:val="00784665"/>
    <w:rsid w:val="00784730"/>
    <w:rsid w:val="0078492B"/>
    <w:rsid w:val="00784A60"/>
    <w:rsid w:val="00784FA7"/>
    <w:rsid w:val="007857D4"/>
    <w:rsid w:val="00785AF4"/>
    <w:rsid w:val="00785AFA"/>
    <w:rsid w:val="00785C87"/>
    <w:rsid w:val="00786370"/>
    <w:rsid w:val="00787B5C"/>
    <w:rsid w:val="00790749"/>
    <w:rsid w:val="00790BBB"/>
    <w:rsid w:val="00790BC6"/>
    <w:rsid w:val="00790EBE"/>
    <w:rsid w:val="00791ABE"/>
    <w:rsid w:val="00793D44"/>
    <w:rsid w:val="00794718"/>
    <w:rsid w:val="007948A5"/>
    <w:rsid w:val="007950D7"/>
    <w:rsid w:val="0079520F"/>
    <w:rsid w:val="007955C6"/>
    <w:rsid w:val="00795ABE"/>
    <w:rsid w:val="00796429"/>
    <w:rsid w:val="00797332"/>
    <w:rsid w:val="00797378"/>
    <w:rsid w:val="007977CE"/>
    <w:rsid w:val="007A024C"/>
    <w:rsid w:val="007A06BD"/>
    <w:rsid w:val="007A0765"/>
    <w:rsid w:val="007A0857"/>
    <w:rsid w:val="007A1173"/>
    <w:rsid w:val="007A153E"/>
    <w:rsid w:val="007A1DC2"/>
    <w:rsid w:val="007A1E59"/>
    <w:rsid w:val="007A2FE3"/>
    <w:rsid w:val="007A3085"/>
    <w:rsid w:val="007A373C"/>
    <w:rsid w:val="007A4167"/>
    <w:rsid w:val="007A45A4"/>
    <w:rsid w:val="007A5780"/>
    <w:rsid w:val="007A5BE7"/>
    <w:rsid w:val="007A634F"/>
    <w:rsid w:val="007A65F1"/>
    <w:rsid w:val="007A66E6"/>
    <w:rsid w:val="007A6F79"/>
    <w:rsid w:val="007A701D"/>
    <w:rsid w:val="007A7115"/>
    <w:rsid w:val="007A713F"/>
    <w:rsid w:val="007A7185"/>
    <w:rsid w:val="007A7338"/>
    <w:rsid w:val="007A763E"/>
    <w:rsid w:val="007A7666"/>
    <w:rsid w:val="007A788D"/>
    <w:rsid w:val="007B039F"/>
    <w:rsid w:val="007B160F"/>
    <w:rsid w:val="007B1BA2"/>
    <w:rsid w:val="007B1D75"/>
    <w:rsid w:val="007B226D"/>
    <w:rsid w:val="007B331D"/>
    <w:rsid w:val="007B374C"/>
    <w:rsid w:val="007B3782"/>
    <w:rsid w:val="007B37A2"/>
    <w:rsid w:val="007B3B86"/>
    <w:rsid w:val="007B407D"/>
    <w:rsid w:val="007B4123"/>
    <w:rsid w:val="007B5C90"/>
    <w:rsid w:val="007B6088"/>
    <w:rsid w:val="007B6338"/>
    <w:rsid w:val="007B762B"/>
    <w:rsid w:val="007C0217"/>
    <w:rsid w:val="007C05B9"/>
    <w:rsid w:val="007C2CC6"/>
    <w:rsid w:val="007C34FD"/>
    <w:rsid w:val="007C3D7B"/>
    <w:rsid w:val="007C41D7"/>
    <w:rsid w:val="007C436B"/>
    <w:rsid w:val="007C4E30"/>
    <w:rsid w:val="007C521A"/>
    <w:rsid w:val="007C56B6"/>
    <w:rsid w:val="007C5CD9"/>
    <w:rsid w:val="007C67B4"/>
    <w:rsid w:val="007C73A8"/>
    <w:rsid w:val="007D1A67"/>
    <w:rsid w:val="007D2136"/>
    <w:rsid w:val="007D34F7"/>
    <w:rsid w:val="007D3AD3"/>
    <w:rsid w:val="007D413A"/>
    <w:rsid w:val="007D43BE"/>
    <w:rsid w:val="007D4474"/>
    <w:rsid w:val="007D48E8"/>
    <w:rsid w:val="007D4A66"/>
    <w:rsid w:val="007D5B72"/>
    <w:rsid w:val="007D6F56"/>
    <w:rsid w:val="007D70C0"/>
    <w:rsid w:val="007D7142"/>
    <w:rsid w:val="007D7ACE"/>
    <w:rsid w:val="007D7C71"/>
    <w:rsid w:val="007E1183"/>
    <w:rsid w:val="007E18ED"/>
    <w:rsid w:val="007E264B"/>
    <w:rsid w:val="007E2EB1"/>
    <w:rsid w:val="007E31ED"/>
    <w:rsid w:val="007E33D1"/>
    <w:rsid w:val="007E33D7"/>
    <w:rsid w:val="007E3D1D"/>
    <w:rsid w:val="007E42E6"/>
    <w:rsid w:val="007E4BC2"/>
    <w:rsid w:val="007E53E3"/>
    <w:rsid w:val="007E5AB9"/>
    <w:rsid w:val="007E6285"/>
    <w:rsid w:val="007E62FC"/>
    <w:rsid w:val="007E6EBB"/>
    <w:rsid w:val="007E77DB"/>
    <w:rsid w:val="007E7D83"/>
    <w:rsid w:val="007F0C5E"/>
    <w:rsid w:val="007F214F"/>
    <w:rsid w:val="007F317E"/>
    <w:rsid w:val="007F32A4"/>
    <w:rsid w:val="007F4502"/>
    <w:rsid w:val="007F5655"/>
    <w:rsid w:val="007F599C"/>
    <w:rsid w:val="007F65DE"/>
    <w:rsid w:val="007F6743"/>
    <w:rsid w:val="007F6A3D"/>
    <w:rsid w:val="007F6B07"/>
    <w:rsid w:val="007F6EEA"/>
    <w:rsid w:val="008003F3"/>
    <w:rsid w:val="008004D5"/>
    <w:rsid w:val="0080080A"/>
    <w:rsid w:val="00800E40"/>
    <w:rsid w:val="0080158A"/>
    <w:rsid w:val="00803002"/>
    <w:rsid w:val="008030FA"/>
    <w:rsid w:val="00803956"/>
    <w:rsid w:val="0080395E"/>
    <w:rsid w:val="00804181"/>
    <w:rsid w:val="008043AA"/>
    <w:rsid w:val="00804791"/>
    <w:rsid w:val="0080664A"/>
    <w:rsid w:val="008072B4"/>
    <w:rsid w:val="0080732A"/>
    <w:rsid w:val="0081001D"/>
    <w:rsid w:val="00810588"/>
    <w:rsid w:val="008116C9"/>
    <w:rsid w:val="008124A4"/>
    <w:rsid w:val="008129DA"/>
    <w:rsid w:val="008131D3"/>
    <w:rsid w:val="00813713"/>
    <w:rsid w:val="00814681"/>
    <w:rsid w:val="0081539A"/>
    <w:rsid w:val="00815846"/>
    <w:rsid w:val="0081754B"/>
    <w:rsid w:val="0081769E"/>
    <w:rsid w:val="008179C6"/>
    <w:rsid w:val="008200B8"/>
    <w:rsid w:val="0082101B"/>
    <w:rsid w:val="00821A0E"/>
    <w:rsid w:val="0082299E"/>
    <w:rsid w:val="00822DB0"/>
    <w:rsid w:val="00822EAF"/>
    <w:rsid w:val="00822ECB"/>
    <w:rsid w:val="00823150"/>
    <w:rsid w:val="00823322"/>
    <w:rsid w:val="00823A93"/>
    <w:rsid w:val="00823B55"/>
    <w:rsid w:val="008248DB"/>
    <w:rsid w:val="00825054"/>
    <w:rsid w:val="008251B2"/>
    <w:rsid w:val="00827509"/>
    <w:rsid w:val="00827BA1"/>
    <w:rsid w:val="00832B7D"/>
    <w:rsid w:val="00832C1D"/>
    <w:rsid w:val="008337E4"/>
    <w:rsid w:val="008340BD"/>
    <w:rsid w:val="008343C2"/>
    <w:rsid w:val="00835821"/>
    <w:rsid w:val="00836371"/>
    <w:rsid w:val="0083677F"/>
    <w:rsid w:val="00836BDD"/>
    <w:rsid w:val="00837601"/>
    <w:rsid w:val="00840920"/>
    <w:rsid w:val="00840D09"/>
    <w:rsid w:val="00840D6B"/>
    <w:rsid w:val="0084107A"/>
    <w:rsid w:val="008411CD"/>
    <w:rsid w:val="00841923"/>
    <w:rsid w:val="00842515"/>
    <w:rsid w:val="00842631"/>
    <w:rsid w:val="00842FA3"/>
    <w:rsid w:val="00843121"/>
    <w:rsid w:val="00843B36"/>
    <w:rsid w:val="00843BE5"/>
    <w:rsid w:val="00843E41"/>
    <w:rsid w:val="008445C3"/>
    <w:rsid w:val="00844639"/>
    <w:rsid w:val="00845CA8"/>
    <w:rsid w:val="0084615D"/>
    <w:rsid w:val="008461D0"/>
    <w:rsid w:val="0084643B"/>
    <w:rsid w:val="00846892"/>
    <w:rsid w:val="00847409"/>
    <w:rsid w:val="00847826"/>
    <w:rsid w:val="00847FCF"/>
    <w:rsid w:val="00850006"/>
    <w:rsid w:val="00850213"/>
    <w:rsid w:val="00850663"/>
    <w:rsid w:val="00850C10"/>
    <w:rsid w:val="00850CC1"/>
    <w:rsid w:val="00851501"/>
    <w:rsid w:val="008516F3"/>
    <w:rsid w:val="00851BAC"/>
    <w:rsid w:val="0085214B"/>
    <w:rsid w:val="008524FF"/>
    <w:rsid w:val="0085309E"/>
    <w:rsid w:val="008531A5"/>
    <w:rsid w:val="00853EBC"/>
    <w:rsid w:val="0085458A"/>
    <w:rsid w:val="00855BA9"/>
    <w:rsid w:val="00856738"/>
    <w:rsid w:val="00856787"/>
    <w:rsid w:val="00856AE8"/>
    <w:rsid w:val="008577EF"/>
    <w:rsid w:val="008579FA"/>
    <w:rsid w:val="00860053"/>
    <w:rsid w:val="0086080E"/>
    <w:rsid w:val="00860BA6"/>
    <w:rsid w:val="00860D42"/>
    <w:rsid w:val="008611F8"/>
    <w:rsid w:val="00861BA2"/>
    <w:rsid w:val="00861D66"/>
    <w:rsid w:val="00862B3D"/>
    <w:rsid w:val="00862BDF"/>
    <w:rsid w:val="00862F90"/>
    <w:rsid w:val="0086320E"/>
    <w:rsid w:val="008634C9"/>
    <w:rsid w:val="0086370E"/>
    <w:rsid w:val="00863923"/>
    <w:rsid w:val="00863B6C"/>
    <w:rsid w:val="00863B98"/>
    <w:rsid w:val="00864639"/>
    <w:rsid w:val="00864C0F"/>
    <w:rsid w:val="00864FA4"/>
    <w:rsid w:val="00865DBB"/>
    <w:rsid w:val="00865DE0"/>
    <w:rsid w:val="00865FAA"/>
    <w:rsid w:val="00867641"/>
    <w:rsid w:val="008709B0"/>
    <w:rsid w:val="0087101E"/>
    <w:rsid w:val="00871ADE"/>
    <w:rsid w:val="00871D91"/>
    <w:rsid w:val="00872350"/>
    <w:rsid w:val="008724DE"/>
    <w:rsid w:val="00872AF2"/>
    <w:rsid w:val="008735C3"/>
    <w:rsid w:val="00873B2B"/>
    <w:rsid w:val="008743E7"/>
    <w:rsid w:val="00874838"/>
    <w:rsid w:val="00874884"/>
    <w:rsid w:val="00874CA6"/>
    <w:rsid w:val="00875591"/>
    <w:rsid w:val="008755A3"/>
    <w:rsid w:val="00875DC2"/>
    <w:rsid w:val="00876314"/>
    <w:rsid w:val="00876402"/>
    <w:rsid w:val="00881813"/>
    <w:rsid w:val="00882335"/>
    <w:rsid w:val="00882B8E"/>
    <w:rsid w:val="008852B8"/>
    <w:rsid w:val="0088553E"/>
    <w:rsid w:val="0088592A"/>
    <w:rsid w:val="00885F04"/>
    <w:rsid w:val="008861A5"/>
    <w:rsid w:val="008872D7"/>
    <w:rsid w:val="008877FD"/>
    <w:rsid w:val="00887B57"/>
    <w:rsid w:val="0089028F"/>
    <w:rsid w:val="00890BDA"/>
    <w:rsid w:val="0089105A"/>
    <w:rsid w:val="008918EA"/>
    <w:rsid w:val="00892192"/>
    <w:rsid w:val="008922F9"/>
    <w:rsid w:val="00892368"/>
    <w:rsid w:val="00892907"/>
    <w:rsid w:val="0089322A"/>
    <w:rsid w:val="008936FD"/>
    <w:rsid w:val="00893D44"/>
    <w:rsid w:val="00894CF5"/>
    <w:rsid w:val="00894E74"/>
    <w:rsid w:val="0089534C"/>
    <w:rsid w:val="00895543"/>
    <w:rsid w:val="008958CB"/>
    <w:rsid w:val="00896202"/>
    <w:rsid w:val="0089691A"/>
    <w:rsid w:val="00897632"/>
    <w:rsid w:val="0089791C"/>
    <w:rsid w:val="008A039D"/>
    <w:rsid w:val="008A0CB1"/>
    <w:rsid w:val="008A0CB8"/>
    <w:rsid w:val="008A1174"/>
    <w:rsid w:val="008A230E"/>
    <w:rsid w:val="008A2D4D"/>
    <w:rsid w:val="008A3387"/>
    <w:rsid w:val="008A3618"/>
    <w:rsid w:val="008A4491"/>
    <w:rsid w:val="008A5928"/>
    <w:rsid w:val="008A5960"/>
    <w:rsid w:val="008A6336"/>
    <w:rsid w:val="008A6812"/>
    <w:rsid w:val="008A70EB"/>
    <w:rsid w:val="008A7E6B"/>
    <w:rsid w:val="008B0E22"/>
    <w:rsid w:val="008B1479"/>
    <w:rsid w:val="008B16A0"/>
    <w:rsid w:val="008B1A58"/>
    <w:rsid w:val="008B1B2F"/>
    <w:rsid w:val="008B1CBD"/>
    <w:rsid w:val="008B281B"/>
    <w:rsid w:val="008B2BB6"/>
    <w:rsid w:val="008B2C2C"/>
    <w:rsid w:val="008B2C90"/>
    <w:rsid w:val="008B2E2D"/>
    <w:rsid w:val="008B30A0"/>
    <w:rsid w:val="008B356E"/>
    <w:rsid w:val="008B36D2"/>
    <w:rsid w:val="008B4A23"/>
    <w:rsid w:val="008B51E4"/>
    <w:rsid w:val="008B5285"/>
    <w:rsid w:val="008B55B0"/>
    <w:rsid w:val="008B5C2D"/>
    <w:rsid w:val="008B5D4D"/>
    <w:rsid w:val="008B5E31"/>
    <w:rsid w:val="008B5F3D"/>
    <w:rsid w:val="008B5F84"/>
    <w:rsid w:val="008B643D"/>
    <w:rsid w:val="008C05F4"/>
    <w:rsid w:val="008C16D7"/>
    <w:rsid w:val="008C1827"/>
    <w:rsid w:val="008C192D"/>
    <w:rsid w:val="008C338C"/>
    <w:rsid w:val="008C3B97"/>
    <w:rsid w:val="008C412F"/>
    <w:rsid w:val="008C48A7"/>
    <w:rsid w:val="008C4B88"/>
    <w:rsid w:val="008C5755"/>
    <w:rsid w:val="008C59A3"/>
    <w:rsid w:val="008C60EA"/>
    <w:rsid w:val="008C61C6"/>
    <w:rsid w:val="008C63CF"/>
    <w:rsid w:val="008C698B"/>
    <w:rsid w:val="008C6D2E"/>
    <w:rsid w:val="008C76C2"/>
    <w:rsid w:val="008C7C05"/>
    <w:rsid w:val="008D0EE8"/>
    <w:rsid w:val="008D1029"/>
    <w:rsid w:val="008D1360"/>
    <w:rsid w:val="008D1D84"/>
    <w:rsid w:val="008D1E85"/>
    <w:rsid w:val="008D2039"/>
    <w:rsid w:val="008D2B27"/>
    <w:rsid w:val="008D2E3F"/>
    <w:rsid w:val="008D3E45"/>
    <w:rsid w:val="008D4021"/>
    <w:rsid w:val="008D4642"/>
    <w:rsid w:val="008D4947"/>
    <w:rsid w:val="008D4BA0"/>
    <w:rsid w:val="008D5587"/>
    <w:rsid w:val="008D5A2F"/>
    <w:rsid w:val="008D63F1"/>
    <w:rsid w:val="008D66CA"/>
    <w:rsid w:val="008D6906"/>
    <w:rsid w:val="008D703F"/>
    <w:rsid w:val="008D7337"/>
    <w:rsid w:val="008D7556"/>
    <w:rsid w:val="008D7BA1"/>
    <w:rsid w:val="008E00D0"/>
    <w:rsid w:val="008E0266"/>
    <w:rsid w:val="008E049D"/>
    <w:rsid w:val="008E08E1"/>
    <w:rsid w:val="008E1A69"/>
    <w:rsid w:val="008E1DBA"/>
    <w:rsid w:val="008E216C"/>
    <w:rsid w:val="008E298F"/>
    <w:rsid w:val="008E2F61"/>
    <w:rsid w:val="008E314A"/>
    <w:rsid w:val="008E453F"/>
    <w:rsid w:val="008E4653"/>
    <w:rsid w:val="008E4A1C"/>
    <w:rsid w:val="008E4B43"/>
    <w:rsid w:val="008E503F"/>
    <w:rsid w:val="008E5A65"/>
    <w:rsid w:val="008E63FA"/>
    <w:rsid w:val="008E7020"/>
    <w:rsid w:val="008E7B8F"/>
    <w:rsid w:val="008E7C76"/>
    <w:rsid w:val="008F0338"/>
    <w:rsid w:val="008F048F"/>
    <w:rsid w:val="008F05AF"/>
    <w:rsid w:val="008F0A25"/>
    <w:rsid w:val="008F0E04"/>
    <w:rsid w:val="008F1341"/>
    <w:rsid w:val="008F1E13"/>
    <w:rsid w:val="008F2C8F"/>
    <w:rsid w:val="008F3645"/>
    <w:rsid w:val="008F3D85"/>
    <w:rsid w:val="008F3F66"/>
    <w:rsid w:val="008F4078"/>
    <w:rsid w:val="008F408D"/>
    <w:rsid w:val="008F42D9"/>
    <w:rsid w:val="008F43D0"/>
    <w:rsid w:val="008F4568"/>
    <w:rsid w:val="008F480C"/>
    <w:rsid w:val="008F4E58"/>
    <w:rsid w:val="008F54EA"/>
    <w:rsid w:val="008F6F66"/>
    <w:rsid w:val="008F717A"/>
    <w:rsid w:val="008F7DE0"/>
    <w:rsid w:val="00900A18"/>
    <w:rsid w:val="00901062"/>
    <w:rsid w:val="0090110D"/>
    <w:rsid w:val="00901452"/>
    <w:rsid w:val="00901C65"/>
    <w:rsid w:val="0090427F"/>
    <w:rsid w:val="0090528D"/>
    <w:rsid w:val="00905812"/>
    <w:rsid w:val="0090606E"/>
    <w:rsid w:val="009062F1"/>
    <w:rsid w:val="00906DF8"/>
    <w:rsid w:val="009070D7"/>
    <w:rsid w:val="00907359"/>
    <w:rsid w:val="00907429"/>
    <w:rsid w:val="009076D9"/>
    <w:rsid w:val="009077A7"/>
    <w:rsid w:val="00910222"/>
    <w:rsid w:val="00910239"/>
    <w:rsid w:val="00911411"/>
    <w:rsid w:val="0091147F"/>
    <w:rsid w:val="00911D7A"/>
    <w:rsid w:val="009120F6"/>
    <w:rsid w:val="0091214A"/>
    <w:rsid w:val="00912793"/>
    <w:rsid w:val="00913E6D"/>
    <w:rsid w:val="00914427"/>
    <w:rsid w:val="00915337"/>
    <w:rsid w:val="009158A5"/>
    <w:rsid w:val="0091683C"/>
    <w:rsid w:val="00916B82"/>
    <w:rsid w:val="00920004"/>
    <w:rsid w:val="0092097C"/>
    <w:rsid w:val="0092112A"/>
    <w:rsid w:val="009216B0"/>
    <w:rsid w:val="00922256"/>
    <w:rsid w:val="00922BA3"/>
    <w:rsid w:val="00923C4B"/>
    <w:rsid w:val="00925DDC"/>
    <w:rsid w:val="00926697"/>
    <w:rsid w:val="009268E0"/>
    <w:rsid w:val="0092696B"/>
    <w:rsid w:val="0092708D"/>
    <w:rsid w:val="0092740D"/>
    <w:rsid w:val="009278FD"/>
    <w:rsid w:val="00927EFB"/>
    <w:rsid w:val="009304D9"/>
    <w:rsid w:val="009310EC"/>
    <w:rsid w:val="00931113"/>
    <w:rsid w:val="00931E36"/>
    <w:rsid w:val="009322B9"/>
    <w:rsid w:val="00932434"/>
    <w:rsid w:val="00933131"/>
    <w:rsid w:val="00933590"/>
    <w:rsid w:val="0093401D"/>
    <w:rsid w:val="0093425B"/>
    <w:rsid w:val="009343C8"/>
    <w:rsid w:val="00935548"/>
    <w:rsid w:val="00935BD7"/>
    <w:rsid w:val="00935F0A"/>
    <w:rsid w:val="00935F66"/>
    <w:rsid w:val="00936182"/>
    <w:rsid w:val="0093672E"/>
    <w:rsid w:val="0093721E"/>
    <w:rsid w:val="00937339"/>
    <w:rsid w:val="00937668"/>
    <w:rsid w:val="00937FEA"/>
    <w:rsid w:val="0094025E"/>
    <w:rsid w:val="009402DF"/>
    <w:rsid w:val="00940AE2"/>
    <w:rsid w:val="00940EE0"/>
    <w:rsid w:val="009413BD"/>
    <w:rsid w:val="00941402"/>
    <w:rsid w:val="009429F6"/>
    <w:rsid w:val="00942AA3"/>
    <w:rsid w:val="00942DF7"/>
    <w:rsid w:val="009434D0"/>
    <w:rsid w:val="00943ADC"/>
    <w:rsid w:val="00943DB7"/>
    <w:rsid w:val="00944B75"/>
    <w:rsid w:val="00944CDC"/>
    <w:rsid w:val="00945122"/>
    <w:rsid w:val="009453EB"/>
    <w:rsid w:val="00945F51"/>
    <w:rsid w:val="009474DF"/>
    <w:rsid w:val="00947904"/>
    <w:rsid w:val="0094795E"/>
    <w:rsid w:val="00947C19"/>
    <w:rsid w:val="00951535"/>
    <w:rsid w:val="0095170B"/>
    <w:rsid w:val="00951993"/>
    <w:rsid w:val="00951B5C"/>
    <w:rsid w:val="00952013"/>
    <w:rsid w:val="0095290B"/>
    <w:rsid w:val="00952D9E"/>
    <w:rsid w:val="009539A3"/>
    <w:rsid w:val="009547F9"/>
    <w:rsid w:val="00954B3F"/>
    <w:rsid w:val="0095521F"/>
    <w:rsid w:val="0095549A"/>
    <w:rsid w:val="00955D67"/>
    <w:rsid w:val="00956232"/>
    <w:rsid w:val="009569CC"/>
    <w:rsid w:val="00957213"/>
    <w:rsid w:val="00957603"/>
    <w:rsid w:val="0096090C"/>
    <w:rsid w:val="00960AC8"/>
    <w:rsid w:val="00960D4C"/>
    <w:rsid w:val="009614AD"/>
    <w:rsid w:val="00961BD0"/>
    <w:rsid w:val="00961EFE"/>
    <w:rsid w:val="0096252D"/>
    <w:rsid w:val="0096276A"/>
    <w:rsid w:val="00963C3A"/>
    <w:rsid w:val="00963C46"/>
    <w:rsid w:val="00963D95"/>
    <w:rsid w:val="00963F69"/>
    <w:rsid w:val="00964B1F"/>
    <w:rsid w:val="009653BF"/>
    <w:rsid w:val="00965D16"/>
    <w:rsid w:val="009669F1"/>
    <w:rsid w:val="0097056D"/>
    <w:rsid w:val="00970E3F"/>
    <w:rsid w:val="00971095"/>
    <w:rsid w:val="009717FA"/>
    <w:rsid w:val="009728E0"/>
    <w:rsid w:val="009733DE"/>
    <w:rsid w:val="0097438D"/>
    <w:rsid w:val="00974450"/>
    <w:rsid w:val="00974A13"/>
    <w:rsid w:val="009753D7"/>
    <w:rsid w:val="00975D6D"/>
    <w:rsid w:val="0097600B"/>
    <w:rsid w:val="00976612"/>
    <w:rsid w:val="00977881"/>
    <w:rsid w:val="009801CB"/>
    <w:rsid w:val="00980DC2"/>
    <w:rsid w:val="009816B7"/>
    <w:rsid w:val="0098217C"/>
    <w:rsid w:val="00982985"/>
    <w:rsid w:val="00982E29"/>
    <w:rsid w:val="00983173"/>
    <w:rsid w:val="00983936"/>
    <w:rsid w:val="00984776"/>
    <w:rsid w:val="0098499C"/>
    <w:rsid w:val="00984A6F"/>
    <w:rsid w:val="00985005"/>
    <w:rsid w:val="009851FE"/>
    <w:rsid w:val="00985BE3"/>
    <w:rsid w:val="00985C9A"/>
    <w:rsid w:val="00985E76"/>
    <w:rsid w:val="0098682C"/>
    <w:rsid w:val="00986D31"/>
    <w:rsid w:val="00987130"/>
    <w:rsid w:val="009879C8"/>
    <w:rsid w:val="0099195C"/>
    <w:rsid w:val="00991ACE"/>
    <w:rsid w:val="00991DE9"/>
    <w:rsid w:val="00992440"/>
    <w:rsid w:val="0099280A"/>
    <w:rsid w:val="00992CC3"/>
    <w:rsid w:val="00992D82"/>
    <w:rsid w:val="00993C5E"/>
    <w:rsid w:val="00994E0A"/>
    <w:rsid w:val="00994F7C"/>
    <w:rsid w:val="0099535B"/>
    <w:rsid w:val="00995B2E"/>
    <w:rsid w:val="00995FD3"/>
    <w:rsid w:val="00996334"/>
    <w:rsid w:val="00996A56"/>
    <w:rsid w:val="00996D84"/>
    <w:rsid w:val="0099720B"/>
    <w:rsid w:val="00997DB3"/>
    <w:rsid w:val="00997E3A"/>
    <w:rsid w:val="009A0385"/>
    <w:rsid w:val="009A0739"/>
    <w:rsid w:val="009A0CCA"/>
    <w:rsid w:val="009A15EA"/>
    <w:rsid w:val="009A1986"/>
    <w:rsid w:val="009A19C1"/>
    <w:rsid w:val="009A1AAF"/>
    <w:rsid w:val="009A1FC3"/>
    <w:rsid w:val="009A200C"/>
    <w:rsid w:val="009A26B7"/>
    <w:rsid w:val="009A28F8"/>
    <w:rsid w:val="009A31A2"/>
    <w:rsid w:val="009A3559"/>
    <w:rsid w:val="009A36CD"/>
    <w:rsid w:val="009A3FE3"/>
    <w:rsid w:val="009A48BE"/>
    <w:rsid w:val="009A4FC8"/>
    <w:rsid w:val="009A561E"/>
    <w:rsid w:val="009A59A8"/>
    <w:rsid w:val="009A635E"/>
    <w:rsid w:val="009A6987"/>
    <w:rsid w:val="009A6B20"/>
    <w:rsid w:val="009A6B95"/>
    <w:rsid w:val="009A7067"/>
    <w:rsid w:val="009A736D"/>
    <w:rsid w:val="009A749C"/>
    <w:rsid w:val="009A7620"/>
    <w:rsid w:val="009A7713"/>
    <w:rsid w:val="009A7F4A"/>
    <w:rsid w:val="009B0578"/>
    <w:rsid w:val="009B07A0"/>
    <w:rsid w:val="009B0A65"/>
    <w:rsid w:val="009B0FF6"/>
    <w:rsid w:val="009B160B"/>
    <w:rsid w:val="009B201F"/>
    <w:rsid w:val="009B21C7"/>
    <w:rsid w:val="009B226D"/>
    <w:rsid w:val="009B247A"/>
    <w:rsid w:val="009B2F78"/>
    <w:rsid w:val="009B39F7"/>
    <w:rsid w:val="009B3CB1"/>
    <w:rsid w:val="009B4BAA"/>
    <w:rsid w:val="009B4D0A"/>
    <w:rsid w:val="009B4D89"/>
    <w:rsid w:val="009B4F7F"/>
    <w:rsid w:val="009B6072"/>
    <w:rsid w:val="009B60A7"/>
    <w:rsid w:val="009B676C"/>
    <w:rsid w:val="009B68F9"/>
    <w:rsid w:val="009B7443"/>
    <w:rsid w:val="009B76EA"/>
    <w:rsid w:val="009B7CBC"/>
    <w:rsid w:val="009C090E"/>
    <w:rsid w:val="009C0A6D"/>
    <w:rsid w:val="009C14D9"/>
    <w:rsid w:val="009C3A5B"/>
    <w:rsid w:val="009C3B7B"/>
    <w:rsid w:val="009C40EC"/>
    <w:rsid w:val="009C4383"/>
    <w:rsid w:val="009C4F62"/>
    <w:rsid w:val="009C5B2C"/>
    <w:rsid w:val="009C6BF2"/>
    <w:rsid w:val="009C6DD5"/>
    <w:rsid w:val="009C7A94"/>
    <w:rsid w:val="009C7BF0"/>
    <w:rsid w:val="009C7E7B"/>
    <w:rsid w:val="009D025B"/>
    <w:rsid w:val="009D0569"/>
    <w:rsid w:val="009D0877"/>
    <w:rsid w:val="009D10A1"/>
    <w:rsid w:val="009D1200"/>
    <w:rsid w:val="009D136B"/>
    <w:rsid w:val="009D1C72"/>
    <w:rsid w:val="009D29E5"/>
    <w:rsid w:val="009D3BAD"/>
    <w:rsid w:val="009D4189"/>
    <w:rsid w:val="009D49F0"/>
    <w:rsid w:val="009D69FC"/>
    <w:rsid w:val="009D7138"/>
    <w:rsid w:val="009D72F3"/>
    <w:rsid w:val="009D7611"/>
    <w:rsid w:val="009D7E1D"/>
    <w:rsid w:val="009E0161"/>
    <w:rsid w:val="009E03A1"/>
    <w:rsid w:val="009E0D6D"/>
    <w:rsid w:val="009E0E98"/>
    <w:rsid w:val="009E1AAA"/>
    <w:rsid w:val="009E2A6D"/>
    <w:rsid w:val="009E2B1F"/>
    <w:rsid w:val="009E333C"/>
    <w:rsid w:val="009E37F4"/>
    <w:rsid w:val="009E3A78"/>
    <w:rsid w:val="009E3D6B"/>
    <w:rsid w:val="009E5121"/>
    <w:rsid w:val="009E59F3"/>
    <w:rsid w:val="009E60B4"/>
    <w:rsid w:val="009E67A6"/>
    <w:rsid w:val="009E6A67"/>
    <w:rsid w:val="009E6DAE"/>
    <w:rsid w:val="009E7308"/>
    <w:rsid w:val="009E7CF8"/>
    <w:rsid w:val="009F048D"/>
    <w:rsid w:val="009F0E64"/>
    <w:rsid w:val="009F0ECD"/>
    <w:rsid w:val="009F0FF7"/>
    <w:rsid w:val="009F1532"/>
    <w:rsid w:val="009F1F6D"/>
    <w:rsid w:val="009F279C"/>
    <w:rsid w:val="009F2B44"/>
    <w:rsid w:val="009F3BFD"/>
    <w:rsid w:val="009F42C8"/>
    <w:rsid w:val="009F481F"/>
    <w:rsid w:val="009F4B2B"/>
    <w:rsid w:val="009F57A2"/>
    <w:rsid w:val="009F5A3B"/>
    <w:rsid w:val="009F5CE3"/>
    <w:rsid w:val="009F5E56"/>
    <w:rsid w:val="009F6119"/>
    <w:rsid w:val="009F6367"/>
    <w:rsid w:val="009F655E"/>
    <w:rsid w:val="009F68E2"/>
    <w:rsid w:val="009F72E2"/>
    <w:rsid w:val="009F7C5A"/>
    <w:rsid w:val="00A003A8"/>
    <w:rsid w:val="00A0062A"/>
    <w:rsid w:val="00A0079E"/>
    <w:rsid w:val="00A00A1D"/>
    <w:rsid w:val="00A011A3"/>
    <w:rsid w:val="00A02155"/>
    <w:rsid w:val="00A036DC"/>
    <w:rsid w:val="00A03861"/>
    <w:rsid w:val="00A03869"/>
    <w:rsid w:val="00A0424A"/>
    <w:rsid w:val="00A04630"/>
    <w:rsid w:val="00A04C4E"/>
    <w:rsid w:val="00A0526E"/>
    <w:rsid w:val="00A05288"/>
    <w:rsid w:val="00A055E1"/>
    <w:rsid w:val="00A05AE1"/>
    <w:rsid w:val="00A05D55"/>
    <w:rsid w:val="00A06287"/>
    <w:rsid w:val="00A069C4"/>
    <w:rsid w:val="00A06CE5"/>
    <w:rsid w:val="00A07014"/>
    <w:rsid w:val="00A0773E"/>
    <w:rsid w:val="00A0782F"/>
    <w:rsid w:val="00A078DE"/>
    <w:rsid w:val="00A07D7B"/>
    <w:rsid w:val="00A07DB9"/>
    <w:rsid w:val="00A1060A"/>
    <w:rsid w:val="00A11015"/>
    <w:rsid w:val="00A11907"/>
    <w:rsid w:val="00A121E0"/>
    <w:rsid w:val="00A12219"/>
    <w:rsid w:val="00A126EB"/>
    <w:rsid w:val="00A129BB"/>
    <w:rsid w:val="00A12CD4"/>
    <w:rsid w:val="00A152DD"/>
    <w:rsid w:val="00A1551F"/>
    <w:rsid w:val="00A15824"/>
    <w:rsid w:val="00A16164"/>
    <w:rsid w:val="00A16978"/>
    <w:rsid w:val="00A17163"/>
    <w:rsid w:val="00A2038C"/>
    <w:rsid w:val="00A203E7"/>
    <w:rsid w:val="00A211F8"/>
    <w:rsid w:val="00A22EB2"/>
    <w:rsid w:val="00A23546"/>
    <w:rsid w:val="00A23F2D"/>
    <w:rsid w:val="00A24AEB"/>
    <w:rsid w:val="00A2544B"/>
    <w:rsid w:val="00A25AD4"/>
    <w:rsid w:val="00A25E7B"/>
    <w:rsid w:val="00A26305"/>
    <w:rsid w:val="00A26C29"/>
    <w:rsid w:val="00A302C0"/>
    <w:rsid w:val="00A30C73"/>
    <w:rsid w:val="00A30D1C"/>
    <w:rsid w:val="00A31CFA"/>
    <w:rsid w:val="00A31DAC"/>
    <w:rsid w:val="00A32796"/>
    <w:rsid w:val="00A32E4D"/>
    <w:rsid w:val="00A3397B"/>
    <w:rsid w:val="00A33C8A"/>
    <w:rsid w:val="00A34F93"/>
    <w:rsid w:val="00A35E42"/>
    <w:rsid w:val="00A360B6"/>
    <w:rsid w:val="00A364A8"/>
    <w:rsid w:val="00A364DE"/>
    <w:rsid w:val="00A3658E"/>
    <w:rsid w:val="00A36D7A"/>
    <w:rsid w:val="00A3749C"/>
    <w:rsid w:val="00A377DC"/>
    <w:rsid w:val="00A4043E"/>
    <w:rsid w:val="00A405F6"/>
    <w:rsid w:val="00A41686"/>
    <w:rsid w:val="00A42226"/>
    <w:rsid w:val="00A42642"/>
    <w:rsid w:val="00A4327B"/>
    <w:rsid w:val="00A44635"/>
    <w:rsid w:val="00A44DE5"/>
    <w:rsid w:val="00A47DAC"/>
    <w:rsid w:val="00A500D9"/>
    <w:rsid w:val="00A508ED"/>
    <w:rsid w:val="00A50934"/>
    <w:rsid w:val="00A50B08"/>
    <w:rsid w:val="00A50E2F"/>
    <w:rsid w:val="00A5112B"/>
    <w:rsid w:val="00A52905"/>
    <w:rsid w:val="00A53013"/>
    <w:rsid w:val="00A530FA"/>
    <w:rsid w:val="00A531F5"/>
    <w:rsid w:val="00A53430"/>
    <w:rsid w:val="00A54A6B"/>
    <w:rsid w:val="00A54E6A"/>
    <w:rsid w:val="00A5505D"/>
    <w:rsid w:val="00A55741"/>
    <w:rsid w:val="00A56228"/>
    <w:rsid w:val="00A56AA7"/>
    <w:rsid w:val="00A56E3C"/>
    <w:rsid w:val="00A57311"/>
    <w:rsid w:val="00A573F2"/>
    <w:rsid w:val="00A57864"/>
    <w:rsid w:val="00A60003"/>
    <w:rsid w:val="00A61459"/>
    <w:rsid w:val="00A614E9"/>
    <w:rsid w:val="00A615E9"/>
    <w:rsid w:val="00A6189F"/>
    <w:rsid w:val="00A62529"/>
    <w:rsid w:val="00A6280A"/>
    <w:rsid w:val="00A6342D"/>
    <w:rsid w:val="00A63858"/>
    <w:rsid w:val="00A6408D"/>
    <w:rsid w:val="00A64416"/>
    <w:rsid w:val="00A6470F"/>
    <w:rsid w:val="00A64B4B"/>
    <w:rsid w:val="00A65798"/>
    <w:rsid w:val="00A661B4"/>
    <w:rsid w:val="00A663A6"/>
    <w:rsid w:val="00A66D73"/>
    <w:rsid w:val="00A675B4"/>
    <w:rsid w:val="00A70721"/>
    <w:rsid w:val="00A719A6"/>
    <w:rsid w:val="00A71E29"/>
    <w:rsid w:val="00A71F3E"/>
    <w:rsid w:val="00A72812"/>
    <w:rsid w:val="00A72F7D"/>
    <w:rsid w:val="00A73208"/>
    <w:rsid w:val="00A733D4"/>
    <w:rsid w:val="00A7386A"/>
    <w:rsid w:val="00A73BE2"/>
    <w:rsid w:val="00A74298"/>
    <w:rsid w:val="00A7440D"/>
    <w:rsid w:val="00A75208"/>
    <w:rsid w:val="00A7575E"/>
    <w:rsid w:val="00A7596A"/>
    <w:rsid w:val="00A7676D"/>
    <w:rsid w:val="00A76EAA"/>
    <w:rsid w:val="00A77513"/>
    <w:rsid w:val="00A77F37"/>
    <w:rsid w:val="00A809EB"/>
    <w:rsid w:val="00A811FC"/>
    <w:rsid w:val="00A81F41"/>
    <w:rsid w:val="00A82AF8"/>
    <w:rsid w:val="00A82C55"/>
    <w:rsid w:val="00A82F21"/>
    <w:rsid w:val="00A835D8"/>
    <w:rsid w:val="00A83818"/>
    <w:rsid w:val="00A85634"/>
    <w:rsid w:val="00A85862"/>
    <w:rsid w:val="00A86E16"/>
    <w:rsid w:val="00A87D15"/>
    <w:rsid w:val="00A87F4D"/>
    <w:rsid w:val="00A904CC"/>
    <w:rsid w:val="00A90575"/>
    <w:rsid w:val="00A91711"/>
    <w:rsid w:val="00A9180D"/>
    <w:rsid w:val="00A92B56"/>
    <w:rsid w:val="00A93983"/>
    <w:rsid w:val="00A9444E"/>
    <w:rsid w:val="00A94B6B"/>
    <w:rsid w:val="00A94CA4"/>
    <w:rsid w:val="00A95167"/>
    <w:rsid w:val="00A95937"/>
    <w:rsid w:val="00A9663A"/>
    <w:rsid w:val="00A9685C"/>
    <w:rsid w:val="00A97346"/>
    <w:rsid w:val="00A976C2"/>
    <w:rsid w:val="00A977FE"/>
    <w:rsid w:val="00A97F09"/>
    <w:rsid w:val="00AA0E25"/>
    <w:rsid w:val="00AA123F"/>
    <w:rsid w:val="00AA12CD"/>
    <w:rsid w:val="00AA13B6"/>
    <w:rsid w:val="00AA16DB"/>
    <w:rsid w:val="00AA2661"/>
    <w:rsid w:val="00AA3404"/>
    <w:rsid w:val="00AA376E"/>
    <w:rsid w:val="00AA38A6"/>
    <w:rsid w:val="00AA3CDD"/>
    <w:rsid w:val="00AA4DB4"/>
    <w:rsid w:val="00AA4F2B"/>
    <w:rsid w:val="00AA56C7"/>
    <w:rsid w:val="00AA57F4"/>
    <w:rsid w:val="00AA5EEA"/>
    <w:rsid w:val="00AA67EF"/>
    <w:rsid w:val="00AA7088"/>
    <w:rsid w:val="00AA78C2"/>
    <w:rsid w:val="00AA7A5D"/>
    <w:rsid w:val="00AA7D82"/>
    <w:rsid w:val="00AB0618"/>
    <w:rsid w:val="00AB067F"/>
    <w:rsid w:val="00AB0A21"/>
    <w:rsid w:val="00AB0B19"/>
    <w:rsid w:val="00AB0C31"/>
    <w:rsid w:val="00AB11EE"/>
    <w:rsid w:val="00AB15A7"/>
    <w:rsid w:val="00AB1D26"/>
    <w:rsid w:val="00AB1D29"/>
    <w:rsid w:val="00AB3D92"/>
    <w:rsid w:val="00AB42EE"/>
    <w:rsid w:val="00AB4B23"/>
    <w:rsid w:val="00AB4D4A"/>
    <w:rsid w:val="00AB508C"/>
    <w:rsid w:val="00AB5D3C"/>
    <w:rsid w:val="00AB69CB"/>
    <w:rsid w:val="00AB6FA7"/>
    <w:rsid w:val="00AC03FB"/>
    <w:rsid w:val="00AC05A4"/>
    <w:rsid w:val="00AC0959"/>
    <w:rsid w:val="00AC1728"/>
    <w:rsid w:val="00AC2294"/>
    <w:rsid w:val="00AC3016"/>
    <w:rsid w:val="00AC33C9"/>
    <w:rsid w:val="00AC36C1"/>
    <w:rsid w:val="00AC3E2B"/>
    <w:rsid w:val="00AC403E"/>
    <w:rsid w:val="00AC410E"/>
    <w:rsid w:val="00AC495F"/>
    <w:rsid w:val="00AC4A08"/>
    <w:rsid w:val="00AC4E9D"/>
    <w:rsid w:val="00AC5218"/>
    <w:rsid w:val="00AC536E"/>
    <w:rsid w:val="00AC5E94"/>
    <w:rsid w:val="00AC62AD"/>
    <w:rsid w:val="00AC63B1"/>
    <w:rsid w:val="00AC6D08"/>
    <w:rsid w:val="00AC6FCE"/>
    <w:rsid w:val="00AC7737"/>
    <w:rsid w:val="00AC785A"/>
    <w:rsid w:val="00AD030C"/>
    <w:rsid w:val="00AD0D5F"/>
    <w:rsid w:val="00AD17A8"/>
    <w:rsid w:val="00AD1DA8"/>
    <w:rsid w:val="00AD24C1"/>
    <w:rsid w:val="00AD2D3A"/>
    <w:rsid w:val="00AD364F"/>
    <w:rsid w:val="00AD3EE8"/>
    <w:rsid w:val="00AD4257"/>
    <w:rsid w:val="00AD4BB6"/>
    <w:rsid w:val="00AD5802"/>
    <w:rsid w:val="00AD5EF5"/>
    <w:rsid w:val="00AD6799"/>
    <w:rsid w:val="00AD6855"/>
    <w:rsid w:val="00AD7B0E"/>
    <w:rsid w:val="00AE076D"/>
    <w:rsid w:val="00AE0CB1"/>
    <w:rsid w:val="00AE1601"/>
    <w:rsid w:val="00AE2213"/>
    <w:rsid w:val="00AE2ACD"/>
    <w:rsid w:val="00AE2FEB"/>
    <w:rsid w:val="00AE36E6"/>
    <w:rsid w:val="00AE3756"/>
    <w:rsid w:val="00AE3BDA"/>
    <w:rsid w:val="00AE4A7E"/>
    <w:rsid w:val="00AE4EB0"/>
    <w:rsid w:val="00AE611B"/>
    <w:rsid w:val="00AE669F"/>
    <w:rsid w:val="00AE693C"/>
    <w:rsid w:val="00AE7006"/>
    <w:rsid w:val="00AE7374"/>
    <w:rsid w:val="00AE75DB"/>
    <w:rsid w:val="00AE76BE"/>
    <w:rsid w:val="00AE7C61"/>
    <w:rsid w:val="00AF0686"/>
    <w:rsid w:val="00AF0BB8"/>
    <w:rsid w:val="00AF138D"/>
    <w:rsid w:val="00AF152C"/>
    <w:rsid w:val="00AF165E"/>
    <w:rsid w:val="00AF166F"/>
    <w:rsid w:val="00AF3412"/>
    <w:rsid w:val="00AF5077"/>
    <w:rsid w:val="00AF5840"/>
    <w:rsid w:val="00AF6609"/>
    <w:rsid w:val="00AF6BCC"/>
    <w:rsid w:val="00AF6E13"/>
    <w:rsid w:val="00AF7138"/>
    <w:rsid w:val="00AF7DD3"/>
    <w:rsid w:val="00AF7E43"/>
    <w:rsid w:val="00AF7FF7"/>
    <w:rsid w:val="00B00950"/>
    <w:rsid w:val="00B00B26"/>
    <w:rsid w:val="00B00E48"/>
    <w:rsid w:val="00B01041"/>
    <w:rsid w:val="00B01BDE"/>
    <w:rsid w:val="00B0225D"/>
    <w:rsid w:val="00B027FF"/>
    <w:rsid w:val="00B035B7"/>
    <w:rsid w:val="00B03B94"/>
    <w:rsid w:val="00B04A5F"/>
    <w:rsid w:val="00B0516E"/>
    <w:rsid w:val="00B058C8"/>
    <w:rsid w:val="00B060F7"/>
    <w:rsid w:val="00B062BD"/>
    <w:rsid w:val="00B06377"/>
    <w:rsid w:val="00B067F0"/>
    <w:rsid w:val="00B102E8"/>
    <w:rsid w:val="00B111DD"/>
    <w:rsid w:val="00B11883"/>
    <w:rsid w:val="00B11D33"/>
    <w:rsid w:val="00B11D79"/>
    <w:rsid w:val="00B12A27"/>
    <w:rsid w:val="00B12F01"/>
    <w:rsid w:val="00B1310B"/>
    <w:rsid w:val="00B13483"/>
    <w:rsid w:val="00B13607"/>
    <w:rsid w:val="00B137D2"/>
    <w:rsid w:val="00B1397A"/>
    <w:rsid w:val="00B13AD4"/>
    <w:rsid w:val="00B13D99"/>
    <w:rsid w:val="00B1448E"/>
    <w:rsid w:val="00B14663"/>
    <w:rsid w:val="00B152E4"/>
    <w:rsid w:val="00B154E0"/>
    <w:rsid w:val="00B1559E"/>
    <w:rsid w:val="00B157BE"/>
    <w:rsid w:val="00B15C13"/>
    <w:rsid w:val="00B162BD"/>
    <w:rsid w:val="00B166EA"/>
    <w:rsid w:val="00B1684D"/>
    <w:rsid w:val="00B16C1D"/>
    <w:rsid w:val="00B16CBC"/>
    <w:rsid w:val="00B17436"/>
    <w:rsid w:val="00B17607"/>
    <w:rsid w:val="00B17BC4"/>
    <w:rsid w:val="00B205E9"/>
    <w:rsid w:val="00B20AEA"/>
    <w:rsid w:val="00B21191"/>
    <w:rsid w:val="00B226F1"/>
    <w:rsid w:val="00B23450"/>
    <w:rsid w:val="00B2366E"/>
    <w:rsid w:val="00B23C69"/>
    <w:rsid w:val="00B24E23"/>
    <w:rsid w:val="00B25076"/>
    <w:rsid w:val="00B253A8"/>
    <w:rsid w:val="00B253CC"/>
    <w:rsid w:val="00B2581F"/>
    <w:rsid w:val="00B2595E"/>
    <w:rsid w:val="00B260AE"/>
    <w:rsid w:val="00B26BC2"/>
    <w:rsid w:val="00B27956"/>
    <w:rsid w:val="00B27EC1"/>
    <w:rsid w:val="00B30DF9"/>
    <w:rsid w:val="00B30DFD"/>
    <w:rsid w:val="00B30F70"/>
    <w:rsid w:val="00B31CD7"/>
    <w:rsid w:val="00B3233D"/>
    <w:rsid w:val="00B33662"/>
    <w:rsid w:val="00B33764"/>
    <w:rsid w:val="00B33C6E"/>
    <w:rsid w:val="00B346DF"/>
    <w:rsid w:val="00B3481D"/>
    <w:rsid w:val="00B354D4"/>
    <w:rsid w:val="00B356FA"/>
    <w:rsid w:val="00B36418"/>
    <w:rsid w:val="00B36B80"/>
    <w:rsid w:val="00B371D9"/>
    <w:rsid w:val="00B3778C"/>
    <w:rsid w:val="00B40DD0"/>
    <w:rsid w:val="00B41E19"/>
    <w:rsid w:val="00B42263"/>
    <w:rsid w:val="00B425BA"/>
    <w:rsid w:val="00B428D9"/>
    <w:rsid w:val="00B4328F"/>
    <w:rsid w:val="00B43A2C"/>
    <w:rsid w:val="00B44270"/>
    <w:rsid w:val="00B447CB"/>
    <w:rsid w:val="00B44D37"/>
    <w:rsid w:val="00B4552B"/>
    <w:rsid w:val="00B4598C"/>
    <w:rsid w:val="00B45C37"/>
    <w:rsid w:val="00B45C65"/>
    <w:rsid w:val="00B471D1"/>
    <w:rsid w:val="00B477B4"/>
    <w:rsid w:val="00B47EAB"/>
    <w:rsid w:val="00B50FF0"/>
    <w:rsid w:val="00B51724"/>
    <w:rsid w:val="00B51866"/>
    <w:rsid w:val="00B51ED0"/>
    <w:rsid w:val="00B522C8"/>
    <w:rsid w:val="00B527B7"/>
    <w:rsid w:val="00B5327A"/>
    <w:rsid w:val="00B535EE"/>
    <w:rsid w:val="00B5469C"/>
    <w:rsid w:val="00B54A89"/>
    <w:rsid w:val="00B55824"/>
    <w:rsid w:val="00B55AF1"/>
    <w:rsid w:val="00B55BEF"/>
    <w:rsid w:val="00B55CAC"/>
    <w:rsid w:val="00B55E3B"/>
    <w:rsid w:val="00B5605C"/>
    <w:rsid w:val="00B56084"/>
    <w:rsid w:val="00B56145"/>
    <w:rsid w:val="00B56A1C"/>
    <w:rsid w:val="00B56FF6"/>
    <w:rsid w:val="00B57638"/>
    <w:rsid w:val="00B57D91"/>
    <w:rsid w:val="00B60162"/>
    <w:rsid w:val="00B60331"/>
    <w:rsid w:val="00B61522"/>
    <w:rsid w:val="00B61663"/>
    <w:rsid w:val="00B617A8"/>
    <w:rsid w:val="00B61BE5"/>
    <w:rsid w:val="00B622EA"/>
    <w:rsid w:val="00B62336"/>
    <w:rsid w:val="00B623F7"/>
    <w:rsid w:val="00B6269A"/>
    <w:rsid w:val="00B630D8"/>
    <w:rsid w:val="00B644E0"/>
    <w:rsid w:val="00B65C82"/>
    <w:rsid w:val="00B66A19"/>
    <w:rsid w:val="00B66FBB"/>
    <w:rsid w:val="00B67187"/>
    <w:rsid w:val="00B67567"/>
    <w:rsid w:val="00B6786C"/>
    <w:rsid w:val="00B679C7"/>
    <w:rsid w:val="00B70B31"/>
    <w:rsid w:val="00B714DE"/>
    <w:rsid w:val="00B71CCD"/>
    <w:rsid w:val="00B7276D"/>
    <w:rsid w:val="00B72AE7"/>
    <w:rsid w:val="00B72AF6"/>
    <w:rsid w:val="00B72BDE"/>
    <w:rsid w:val="00B72F13"/>
    <w:rsid w:val="00B73564"/>
    <w:rsid w:val="00B7376D"/>
    <w:rsid w:val="00B738B5"/>
    <w:rsid w:val="00B73904"/>
    <w:rsid w:val="00B73D11"/>
    <w:rsid w:val="00B73D89"/>
    <w:rsid w:val="00B74129"/>
    <w:rsid w:val="00B745C8"/>
    <w:rsid w:val="00B75075"/>
    <w:rsid w:val="00B7523B"/>
    <w:rsid w:val="00B75F3E"/>
    <w:rsid w:val="00B75F77"/>
    <w:rsid w:val="00B760B8"/>
    <w:rsid w:val="00B76104"/>
    <w:rsid w:val="00B76358"/>
    <w:rsid w:val="00B766D5"/>
    <w:rsid w:val="00B766E5"/>
    <w:rsid w:val="00B76B97"/>
    <w:rsid w:val="00B801BE"/>
    <w:rsid w:val="00B80200"/>
    <w:rsid w:val="00B803FA"/>
    <w:rsid w:val="00B8089B"/>
    <w:rsid w:val="00B809D1"/>
    <w:rsid w:val="00B81616"/>
    <w:rsid w:val="00B8168D"/>
    <w:rsid w:val="00B8209C"/>
    <w:rsid w:val="00B82F7B"/>
    <w:rsid w:val="00B83611"/>
    <w:rsid w:val="00B84318"/>
    <w:rsid w:val="00B84EBE"/>
    <w:rsid w:val="00B850D7"/>
    <w:rsid w:val="00B853A7"/>
    <w:rsid w:val="00B86755"/>
    <w:rsid w:val="00B86E7E"/>
    <w:rsid w:val="00B87124"/>
    <w:rsid w:val="00B87261"/>
    <w:rsid w:val="00B90A0E"/>
    <w:rsid w:val="00B911C9"/>
    <w:rsid w:val="00B92160"/>
    <w:rsid w:val="00B92844"/>
    <w:rsid w:val="00B930F8"/>
    <w:rsid w:val="00B93930"/>
    <w:rsid w:val="00B93C27"/>
    <w:rsid w:val="00B9453E"/>
    <w:rsid w:val="00B95525"/>
    <w:rsid w:val="00B95D61"/>
    <w:rsid w:val="00B973CE"/>
    <w:rsid w:val="00B973FF"/>
    <w:rsid w:val="00B9763F"/>
    <w:rsid w:val="00B977AA"/>
    <w:rsid w:val="00B97CE1"/>
    <w:rsid w:val="00B97DA3"/>
    <w:rsid w:val="00BA0231"/>
    <w:rsid w:val="00BA03A9"/>
    <w:rsid w:val="00BA0740"/>
    <w:rsid w:val="00BA1349"/>
    <w:rsid w:val="00BA1423"/>
    <w:rsid w:val="00BA15B1"/>
    <w:rsid w:val="00BA1CA0"/>
    <w:rsid w:val="00BA1DA3"/>
    <w:rsid w:val="00BA26D8"/>
    <w:rsid w:val="00BA2A16"/>
    <w:rsid w:val="00BA2C49"/>
    <w:rsid w:val="00BA311A"/>
    <w:rsid w:val="00BA3585"/>
    <w:rsid w:val="00BA3AFB"/>
    <w:rsid w:val="00BA42A5"/>
    <w:rsid w:val="00BA4E0F"/>
    <w:rsid w:val="00BA5B0B"/>
    <w:rsid w:val="00BA646B"/>
    <w:rsid w:val="00BA7180"/>
    <w:rsid w:val="00BA720B"/>
    <w:rsid w:val="00BA733D"/>
    <w:rsid w:val="00BA78F3"/>
    <w:rsid w:val="00BA7EBD"/>
    <w:rsid w:val="00BA7EE7"/>
    <w:rsid w:val="00BB0378"/>
    <w:rsid w:val="00BB0B49"/>
    <w:rsid w:val="00BB1CE7"/>
    <w:rsid w:val="00BB328E"/>
    <w:rsid w:val="00BB46BB"/>
    <w:rsid w:val="00BB4B03"/>
    <w:rsid w:val="00BB4C78"/>
    <w:rsid w:val="00BB4E65"/>
    <w:rsid w:val="00BB51EA"/>
    <w:rsid w:val="00BB5B81"/>
    <w:rsid w:val="00BB61F0"/>
    <w:rsid w:val="00BB6E2D"/>
    <w:rsid w:val="00BB71E2"/>
    <w:rsid w:val="00BB77B8"/>
    <w:rsid w:val="00BC13C9"/>
    <w:rsid w:val="00BC13EF"/>
    <w:rsid w:val="00BC1556"/>
    <w:rsid w:val="00BC15C8"/>
    <w:rsid w:val="00BC18D5"/>
    <w:rsid w:val="00BC1F4D"/>
    <w:rsid w:val="00BC3051"/>
    <w:rsid w:val="00BC3725"/>
    <w:rsid w:val="00BC3B43"/>
    <w:rsid w:val="00BC45CE"/>
    <w:rsid w:val="00BC48E8"/>
    <w:rsid w:val="00BC4C54"/>
    <w:rsid w:val="00BC4CDA"/>
    <w:rsid w:val="00BC5194"/>
    <w:rsid w:val="00BC5CFB"/>
    <w:rsid w:val="00BC60B3"/>
    <w:rsid w:val="00BC60B5"/>
    <w:rsid w:val="00BC63A0"/>
    <w:rsid w:val="00BC6B9A"/>
    <w:rsid w:val="00BC7492"/>
    <w:rsid w:val="00BD0AB0"/>
    <w:rsid w:val="00BD0EB1"/>
    <w:rsid w:val="00BD2657"/>
    <w:rsid w:val="00BD3037"/>
    <w:rsid w:val="00BD3169"/>
    <w:rsid w:val="00BD38DB"/>
    <w:rsid w:val="00BD3E98"/>
    <w:rsid w:val="00BD4523"/>
    <w:rsid w:val="00BD46D1"/>
    <w:rsid w:val="00BD48E1"/>
    <w:rsid w:val="00BD4919"/>
    <w:rsid w:val="00BD4C4B"/>
    <w:rsid w:val="00BD5534"/>
    <w:rsid w:val="00BD569F"/>
    <w:rsid w:val="00BD5AAD"/>
    <w:rsid w:val="00BD6AB5"/>
    <w:rsid w:val="00BD700A"/>
    <w:rsid w:val="00BD70A3"/>
    <w:rsid w:val="00BD7BEF"/>
    <w:rsid w:val="00BE0291"/>
    <w:rsid w:val="00BE0704"/>
    <w:rsid w:val="00BE1958"/>
    <w:rsid w:val="00BE1E9D"/>
    <w:rsid w:val="00BE2184"/>
    <w:rsid w:val="00BE355B"/>
    <w:rsid w:val="00BE3DA7"/>
    <w:rsid w:val="00BE4EA4"/>
    <w:rsid w:val="00BE54B3"/>
    <w:rsid w:val="00BE6183"/>
    <w:rsid w:val="00BE63E7"/>
    <w:rsid w:val="00BE6717"/>
    <w:rsid w:val="00BE6C19"/>
    <w:rsid w:val="00BE7435"/>
    <w:rsid w:val="00BE74D6"/>
    <w:rsid w:val="00BE788D"/>
    <w:rsid w:val="00BF0447"/>
    <w:rsid w:val="00BF08AB"/>
    <w:rsid w:val="00BF0FA0"/>
    <w:rsid w:val="00BF1161"/>
    <w:rsid w:val="00BF189B"/>
    <w:rsid w:val="00BF2EEB"/>
    <w:rsid w:val="00BF3BCB"/>
    <w:rsid w:val="00BF4034"/>
    <w:rsid w:val="00BF41DF"/>
    <w:rsid w:val="00BF550F"/>
    <w:rsid w:val="00BF5713"/>
    <w:rsid w:val="00BF57BE"/>
    <w:rsid w:val="00BF5AC3"/>
    <w:rsid w:val="00BF5DE7"/>
    <w:rsid w:val="00BF6BED"/>
    <w:rsid w:val="00BF70BC"/>
    <w:rsid w:val="00C005C3"/>
    <w:rsid w:val="00C01F46"/>
    <w:rsid w:val="00C029D5"/>
    <w:rsid w:val="00C02A8A"/>
    <w:rsid w:val="00C0329F"/>
    <w:rsid w:val="00C035DE"/>
    <w:rsid w:val="00C035F5"/>
    <w:rsid w:val="00C03A71"/>
    <w:rsid w:val="00C03D3D"/>
    <w:rsid w:val="00C03DBC"/>
    <w:rsid w:val="00C047DE"/>
    <w:rsid w:val="00C0489A"/>
    <w:rsid w:val="00C050CE"/>
    <w:rsid w:val="00C0577E"/>
    <w:rsid w:val="00C060D8"/>
    <w:rsid w:val="00C0614B"/>
    <w:rsid w:val="00C062AF"/>
    <w:rsid w:val="00C06356"/>
    <w:rsid w:val="00C065AF"/>
    <w:rsid w:val="00C06AEB"/>
    <w:rsid w:val="00C07411"/>
    <w:rsid w:val="00C07E0B"/>
    <w:rsid w:val="00C112AE"/>
    <w:rsid w:val="00C11C84"/>
    <w:rsid w:val="00C120AE"/>
    <w:rsid w:val="00C125F4"/>
    <w:rsid w:val="00C12EBD"/>
    <w:rsid w:val="00C136F2"/>
    <w:rsid w:val="00C13786"/>
    <w:rsid w:val="00C14395"/>
    <w:rsid w:val="00C1522E"/>
    <w:rsid w:val="00C163E1"/>
    <w:rsid w:val="00C1736C"/>
    <w:rsid w:val="00C17E1D"/>
    <w:rsid w:val="00C20690"/>
    <w:rsid w:val="00C208A2"/>
    <w:rsid w:val="00C20F7D"/>
    <w:rsid w:val="00C21822"/>
    <w:rsid w:val="00C22539"/>
    <w:rsid w:val="00C2284C"/>
    <w:rsid w:val="00C22FAA"/>
    <w:rsid w:val="00C23014"/>
    <w:rsid w:val="00C2359D"/>
    <w:rsid w:val="00C23672"/>
    <w:rsid w:val="00C24AC7"/>
    <w:rsid w:val="00C24CE9"/>
    <w:rsid w:val="00C250AE"/>
    <w:rsid w:val="00C256D4"/>
    <w:rsid w:val="00C2572B"/>
    <w:rsid w:val="00C25CCE"/>
    <w:rsid w:val="00C2677A"/>
    <w:rsid w:val="00C27F36"/>
    <w:rsid w:val="00C30415"/>
    <w:rsid w:val="00C317EB"/>
    <w:rsid w:val="00C318CE"/>
    <w:rsid w:val="00C32001"/>
    <w:rsid w:val="00C3216B"/>
    <w:rsid w:val="00C34AF5"/>
    <w:rsid w:val="00C356D3"/>
    <w:rsid w:val="00C3598E"/>
    <w:rsid w:val="00C35AC1"/>
    <w:rsid w:val="00C35E68"/>
    <w:rsid w:val="00C36264"/>
    <w:rsid w:val="00C364D3"/>
    <w:rsid w:val="00C3690C"/>
    <w:rsid w:val="00C36AC3"/>
    <w:rsid w:val="00C3717B"/>
    <w:rsid w:val="00C37310"/>
    <w:rsid w:val="00C37955"/>
    <w:rsid w:val="00C40473"/>
    <w:rsid w:val="00C40AE7"/>
    <w:rsid w:val="00C40B03"/>
    <w:rsid w:val="00C40B2C"/>
    <w:rsid w:val="00C41190"/>
    <w:rsid w:val="00C41708"/>
    <w:rsid w:val="00C41AA2"/>
    <w:rsid w:val="00C41D62"/>
    <w:rsid w:val="00C42EDC"/>
    <w:rsid w:val="00C434CD"/>
    <w:rsid w:val="00C434F3"/>
    <w:rsid w:val="00C43E90"/>
    <w:rsid w:val="00C43F63"/>
    <w:rsid w:val="00C441E9"/>
    <w:rsid w:val="00C4583A"/>
    <w:rsid w:val="00C4624F"/>
    <w:rsid w:val="00C46F8E"/>
    <w:rsid w:val="00C47499"/>
    <w:rsid w:val="00C47899"/>
    <w:rsid w:val="00C47C21"/>
    <w:rsid w:val="00C50268"/>
    <w:rsid w:val="00C50638"/>
    <w:rsid w:val="00C506F0"/>
    <w:rsid w:val="00C50B94"/>
    <w:rsid w:val="00C50D3D"/>
    <w:rsid w:val="00C5122B"/>
    <w:rsid w:val="00C51DBE"/>
    <w:rsid w:val="00C526DF"/>
    <w:rsid w:val="00C53556"/>
    <w:rsid w:val="00C5385F"/>
    <w:rsid w:val="00C5399B"/>
    <w:rsid w:val="00C53D46"/>
    <w:rsid w:val="00C53FE7"/>
    <w:rsid w:val="00C548B3"/>
    <w:rsid w:val="00C55A86"/>
    <w:rsid w:val="00C55D0E"/>
    <w:rsid w:val="00C5638A"/>
    <w:rsid w:val="00C571AE"/>
    <w:rsid w:val="00C57812"/>
    <w:rsid w:val="00C57B51"/>
    <w:rsid w:val="00C6079B"/>
    <w:rsid w:val="00C60C8B"/>
    <w:rsid w:val="00C60EE1"/>
    <w:rsid w:val="00C6151B"/>
    <w:rsid w:val="00C61BD8"/>
    <w:rsid w:val="00C61BE9"/>
    <w:rsid w:val="00C61DBE"/>
    <w:rsid w:val="00C61FF5"/>
    <w:rsid w:val="00C6259B"/>
    <w:rsid w:val="00C6269A"/>
    <w:rsid w:val="00C62733"/>
    <w:rsid w:val="00C62D9A"/>
    <w:rsid w:val="00C63156"/>
    <w:rsid w:val="00C638CF"/>
    <w:rsid w:val="00C6434B"/>
    <w:rsid w:val="00C647E1"/>
    <w:rsid w:val="00C64B31"/>
    <w:rsid w:val="00C64C27"/>
    <w:rsid w:val="00C66268"/>
    <w:rsid w:val="00C664A9"/>
    <w:rsid w:val="00C672DC"/>
    <w:rsid w:val="00C673B7"/>
    <w:rsid w:val="00C67404"/>
    <w:rsid w:val="00C676B0"/>
    <w:rsid w:val="00C679D3"/>
    <w:rsid w:val="00C679F2"/>
    <w:rsid w:val="00C67FB0"/>
    <w:rsid w:val="00C70025"/>
    <w:rsid w:val="00C70969"/>
    <w:rsid w:val="00C71997"/>
    <w:rsid w:val="00C729F1"/>
    <w:rsid w:val="00C7338F"/>
    <w:rsid w:val="00C7341A"/>
    <w:rsid w:val="00C73BE4"/>
    <w:rsid w:val="00C73D00"/>
    <w:rsid w:val="00C73D4D"/>
    <w:rsid w:val="00C742FA"/>
    <w:rsid w:val="00C74CAF"/>
    <w:rsid w:val="00C74EA0"/>
    <w:rsid w:val="00C75E20"/>
    <w:rsid w:val="00C77B34"/>
    <w:rsid w:val="00C803B3"/>
    <w:rsid w:val="00C80668"/>
    <w:rsid w:val="00C814DC"/>
    <w:rsid w:val="00C818A7"/>
    <w:rsid w:val="00C81F5C"/>
    <w:rsid w:val="00C82361"/>
    <w:rsid w:val="00C8242B"/>
    <w:rsid w:val="00C825EA"/>
    <w:rsid w:val="00C82869"/>
    <w:rsid w:val="00C836A2"/>
    <w:rsid w:val="00C83B1B"/>
    <w:rsid w:val="00C83D26"/>
    <w:rsid w:val="00C86775"/>
    <w:rsid w:val="00C869F8"/>
    <w:rsid w:val="00C86C66"/>
    <w:rsid w:val="00C87524"/>
    <w:rsid w:val="00C87CBC"/>
    <w:rsid w:val="00C87CC9"/>
    <w:rsid w:val="00C87D02"/>
    <w:rsid w:val="00C90625"/>
    <w:rsid w:val="00C90A57"/>
    <w:rsid w:val="00C90AE8"/>
    <w:rsid w:val="00C917D2"/>
    <w:rsid w:val="00C91874"/>
    <w:rsid w:val="00C91AAC"/>
    <w:rsid w:val="00C92800"/>
    <w:rsid w:val="00C9291A"/>
    <w:rsid w:val="00C92924"/>
    <w:rsid w:val="00C9335C"/>
    <w:rsid w:val="00C9376C"/>
    <w:rsid w:val="00C93867"/>
    <w:rsid w:val="00C9470A"/>
    <w:rsid w:val="00C94F1A"/>
    <w:rsid w:val="00C951DE"/>
    <w:rsid w:val="00C9525F"/>
    <w:rsid w:val="00C95341"/>
    <w:rsid w:val="00C957A2"/>
    <w:rsid w:val="00C964F3"/>
    <w:rsid w:val="00C96C88"/>
    <w:rsid w:val="00C96F12"/>
    <w:rsid w:val="00C9729A"/>
    <w:rsid w:val="00C97330"/>
    <w:rsid w:val="00C97E75"/>
    <w:rsid w:val="00CA008A"/>
    <w:rsid w:val="00CA04C7"/>
    <w:rsid w:val="00CA06ED"/>
    <w:rsid w:val="00CA07E3"/>
    <w:rsid w:val="00CA0EAD"/>
    <w:rsid w:val="00CA1229"/>
    <w:rsid w:val="00CA167B"/>
    <w:rsid w:val="00CA1A39"/>
    <w:rsid w:val="00CA2258"/>
    <w:rsid w:val="00CA2881"/>
    <w:rsid w:val="00CA2905"/>
    <w:rsid w:val="00CA2A30"/>
    <w:rsid w:val="00CA2AD8"/>
    <w:rsid w:val="00CA354F"/>
    <w:rsid w:val="00CA38AA"/>
    <w:rsid w:val="00CA4065"/>
    <w:rsid w:val="00CA4618"/>
    <w:rsid w:val="00CA4F2A"/>
    <w:rsid w:val="00CA5095"/>
    <w:rsid w:val="00CA550C"/>
    <w:rsid w:val="00CA5A69"/>
    <w:rsid w:val="00CA63AA"/>
    <w:rsid w:val="00CA6B8F"/>
    <w:rsid w:val="00CA6ED0"/>
    <w:rsid w:val="00CA703E"/>
    <w:rsid w:val="00CA7C9E"/>
    <w:rsid w:val="00CB0492"/>
    <w:rsid w:val="00CB0FED"/>
    <w:rsid w:val="00CB15B1"/>
    <w:rsid w:val="00CB1C82"/>
    <w:rsid w:val="00CB1E79"/>
    <w:rsid w:val="00CB2698"/>
    <w:rsid w:val="00CB2867"/>
    <w:rsid w:val="00CB2D27"/>
    <w:rsid w:val="00CB30D3"/>
    <w:rsid w:val="00CB3567"/>
    <w:rsid w:val="00CB37F9"/>
    <w:rsid w:val="00CB38A8"/>
    <w:rsid w:val="00CB3A9B"/>
    <w:rsid w:val="00CB3CCE"/>
    <w:rsid w:val="00CB42B0"/>
    <w:rsid w:val="00CB42EA"/>
    <w:rsid w:val="00CB4EEA"/>
    <w:rsid w:val="00CB63AB"/>
    <w:rsid w:val="00CB6A98"/>
    <w:rsid w:val="00CB6B14"/>
    <w:rsid w:val="00CB6F2D"/>
    <w:rsid w:val="00CC02BB"/>
    <w:rsid w:val="00CC055F"/>
    <w:rsid w:val="00CC0E25"/>
    <w:rsid w:val="00CC154F"/>
    <w:rsid w:val="00CC1586"/>
    <w:rsid w:val="00CC188A"/>
    <w:rsid w:val="00CC1A2D"/>
    <w:rsid w:val="00CC1AC9"/>
    <w:rsid w:val="00CC2FF0"/>
    <w:rsid w:val="00CC3074"/>
    <w:rsid w:val="00CC4162"/>
    <w:rsid w:val="00CC45D1"/>
    <w:rsid w:val="00CC52BF"/>
    <w:rsid w:val="00CC5FA3"/>
    <w:rsid w:val="00CC6754"/>
    <w:rsid w:val="00CD0A63"/>
    <w:rsid w:val="00CD1D2D"/>
    <w:rsid w:val="00CD23FE"/>
    <w:rsid w:val="00CD25EC"/>
    <w:rsid w:val="00CD2AE0"/>
    <w:rsid w:val="00CD306B"/>
    <w:rsid w:val="00CD459F"/>
    <w:rsid w:val="00CD4C7C"/>
    <w:rsid w:val="00CD523F"/>
    <w:rsid w:val="00CD64FA"/>
    <w:rsid w:val="00CD68B3"/>
    <w:rsid w:val="00CD705E"/>
    <w:rsid w:val="00CD757B"/>
    <w:rsid w:val="00CD7C22"/>
    <w:rsid w:val="00CD7E2E"/>
    <w:rsid w:val="00CE0C24"/>
    <w:rsid w:val="00CE0E47"/>
    <w:rsid w:val="00CE157A"/>
    <w:rsid w:val="00CE15D5"/>
    <w:rsid w:val="00CE16F2"/>
    <w:rsid w:val="00CE28DB"/>
    <w:rsid w:val="00CE2F49"/>
    <w:rsid w:val="00CE328E"/>
    <w:rsid w:val="00CE3FC7"/>
    <w:rsid w:val="00CE48E2"/>
    <w:rsid w:val="00CE4CD8"/>
    <w:rsid w:val="00CE4D8F"/>
    <w:rsid w:val="00CE52A0"/>
    <w:rsid w:val="00CE56B1"/>
    <w:rsid w:val="00CE6AE3"/>
    <w:rsid w:val="00CE7FCF"/>
    <w:rsid w:val="00CF0131"/>
    <w:rsid w:val="00CF0199"/>
    <w:rsid w:val="00CF02A4"/>
    <w:rsid w:val="00CF0855"/>
    <w:rsid w:val="00CF093F"/>
    <w:rsid w:val="00CF0F9D"/>
    <w:rsid w:val="00CF25D1"/>
    <w:rsid w:val="00CF25EE"/>
    <w:rsid w:val="00CF2D25"/>
    <w:rsid w:val="00CF2DF3"/>
    <w:rsid w:val="00CF3011"/>
    <w:rsid w:val="00CF3595"/>
    <w:rsid w:val="00CF371D"/>
    <w:rsid w:val="00CF3A04"/>
    <w:rsid w:val="00CF4059"/>
    <w:rsid w:val="00CF46FC"/>
    <w:rsid w:val="00CF4A7F"/>
    <w:rsid w:val="00CF4B55"/>
    <w:rsid w:val="00CF4FF0"/>
    <w:rsid w:val="00CF58C0"/>
    <w:rsid w:val="00CF708A"/>
    <w:rsid w:val="00CF7A85"/>
    <w:rsid w:val="00CF7BEC"/>
    <w:rsid w:val="00D00070"/>
    <w:rsid w:val="00D003BD"/>
    <w:rsid w:val="00D00904"/>
    <w:rsid w:val="00D00FDA"/>
    <w:rsid w:val="00D0106A"/>
    <w:rsid w:val="00D0132F"/>
    <w:rsid w:val="00D013D7"/>
    <w:rsid w:val="00D014F4"/>
    <w:rsid w:val="00D015B4"/>
    <w:rsid w:val="00D01711"/>
    <w:rsid w:val="00D017A3"/>
    <w:rsid w:val="00D0260E"/>
    <w:rsid w:val="00D02655"/>
    <w:rsid w:val="00D02A86"/>
    <w:rsid w:val="00D0318F"/>
    <w:rsid w:val="00D040FC"/>
    <w:rsid w:val="00D04DCC"/>
    <w:rsid w:val="00D0614C"/>
    <w:rsid w:val="00D066AA"/>
    <w:rsid w:val="00D067DE"/>
    <w:rsid w:val="00D073D2"/>
    <w:rsid w:val="00D10CA1"/>
    <w:rsid w:val="00D118B2"/>
    <w:rsid w:val="00D119BD"/>
    <w:rsid w:val="00D11D8B"/>
    <w:rsid w:val="00D126D0"/>
    <w:rsid w:val="00D133F3"/>
    <w:rsid w:val="00D13876"/>
    <w:rsid w:val="00D145CD"/>
    <w:rsid w:val="00D14A6B"/>
    <w:rsid w:val="00D151D7"/>
    <w:rsid w:val="00D16350"/>
    <w:rsid w:val="00D175B9"/>
    <w:rsid w:val="00D17C5E"/>
    <w:rsid w:val="00D20000"/>
    <w:rsid w:val="00D202D6"/>
    <w:rsid w:val="00D207D0"/>
    <w:rsid w:val="00D20C53"/>
    <w:rsid w:val="00D21848"/>
    <w:rsid w:val="00D22102"/>
    <w:rsid w:val="00D22829"/>
    <w:rsid w:val="00D229AF"/>
    <w:rsid w:val="00D23074"/>
    <w:rsid w:val="00D232B3"/>
    <w:rsid w:val="00D23782"/>
    <w:rsid w:val="00D237D4"/>
    <w:rsid w:val="00D246DA"/>
    <w:rsid w:val="00D25CF1"/>
    <w:rsid w:val="00D263CD"/>
    <w:rsid w:val="00D271D8"/>
    <w:rsid w:val="00D27755"/>
    <w:rsid w:val="00D27F14"/>
    <w:rsid w:val="00D30290"/>
    <w:rsid w:val="00D30334"/>
    <w:rsid w:val="00D30341"/>
    <w:rsid w:val="00D310DC"/>
    <w:rsid w:val="00D32547"/>
    <w:rsid w:val="00D327FE"/>
    <w:rsid w:val="00D3292F"/>
    <w:rsid w:val="00D32A99"/>
    <w:rsid w:val="00D33BB4"/>
    <w:rsid w:val="00D34686"/>
    <w:rsid w:val="00D35224"/>
    <w:rsid w:val="00D352B7"/>
    <w:rsid w:val="00D35368"/>
    <w:rsid w:val="00D354FA"/>
    <w:rsid w:val="00D35550"/>
    <w:rsid w:val="00D35BA6"/>
    <w:rsid w:val="00D35DCD"/>
    <w:rsid w:val="00D363FC"/>
    <w:rsid w:val="00D37973"/>
    <w:rsid w:val="00D410A3"/>
    <w:rsid w:val="00D411A5"/>
    <w:rsid w:val="00D41895"/>
    <w:rsid w:val="00D41C62"/>
    <w:rsid w:val="00D41F11"/>
    <w:rsid w:val="00D42C2C"/>
    <w:rsid w:val="00D42E24"/>
    <w:rsid w:val="00D433B2"/>
    <w:rsid w:val="00D449A7"/>
    <w:rsid w:val="00D451AA"/>
    <w:rsid w:val="00D45498"/>
    <w:rsid w:val="00D455DD"/>
    <w:rsid w:val="00D4565E"/>
    <w:rsid w:val="00D45C67"/>
    <w:rsid w:val="00D46510"/>
    <w:rsid w:val="00D47611"/>
    <w:rsid w:val="00D47A66"/>
    <w:rsid w:val="00D47D06"/>
    <w:rsid w:val="00D47E4D"/>
    <w:rsid w:val="00D5038E"/>
    <w:rsid w:val="00D50887"/>
    <w:rsid w:val="00D51831"/>
    <w:rsid w:val="00D518BD"/>
    <w:rsid w:val="00D52020"/>
    <w:rsid w:val="00D5222B"/>
    <w:rsid w:val="00D52767"/>
    <w:rsid w:val="00D52A23"/>
    <w:rsid w:val="00D52E6C"/>
    <w:rsid w:val="00D5309B"/>
    <w:rsid w:val="00D5391B"/>
    <w:rsid w:val="00D53B7C"/>
    <w:rsid w:val="00D54608"/>
    <w:rsid w:val="00D54AEA"/>
    <w:rsid w:val="00D54C61"/>
    <w:rsid w:val="00D54DCF"/>
    <w:rsid w:val="00D55897"/>
    <w:rsid w:val="00D56C77"/>
    <w:rsid w:val="00D5714F"/>
    <w:rsid w:val="00D6072B"/>
    <w:rsid w:val="00D60B5E"/>
    <w:rsid w:val="00D61A07"/>
    <w:rsid w:val="00D61BC0"/>
    <w:rsid w:val="00D62CB0"/>
    <w:rsid w:val="00D63B40"/>
    <w:rsid w:val="00D63B5D"/>
    <w:rsid w:val="00D63D61"/>
    <w:rsid w:val="00D6442D"/>
    <w:rsid w:val="00D64D2D"/>
    <w:rsid w:val="00D65069"/>
    <w:rsid w:val="00D6596B"/>
    <w:rsid w:val="00D660E3"/>
    <w:rsid w:val="00D67C16"/>
    <w:rsid w:val="00D70A25"/>
    <w:rsid w:val="00D70E09"/>
    <w:rsid w:val="00D71410"/>
    <w:rsid w:val="00D718AB"/>
    <w:rsid w:val="00D73400"/>
    <w:rsid w:val="00D74224"/>
    <w:rsid w:val="00D74472"/>
    <w:rsid w:val="00D763B4"/>
    <w:rsid w:val="00D77237"/>
    <w:rsid w:val="00D772F6"/>
    <w:rsid w:val="00D77E2B"/>
    <w:rsid w:val="00D77FE3"/>
    <w:rsid w:val="00D804BA"/>
    <w:rsid w:val="00D808B8"/>
    <w:rsid w:val="00D814D6"/>
    <w:rsid w:val="00D82B39"/>
    <w:rsid w:val="00D8320D"/>
    <w:rsid w:val="00D83BB2"/>
    <w:rsid w:val="00D84FEC"/>
    <w:rsid w:val="00D852FD"/>
    <w:rsid w:val="00D8533D"/>
    <w:rsid w:val="00D8565A"/>
    <w:rsid w:val="00D856AF"/>
    <w:rsid w:val="00D85980"/>
    <w:rsid w:val="00D85AA6"/>
    <w:rsid w:val="00D864FB"/>
    <w:rsid w:val="00D86B0D"/>
    <w:rsid w:val="00D87DB4"/>
    <w:rsid w:val="00D907AB"/>
    <w:rsid w:val="00D910B9"/>
    <w:rsid w:val="00D91300"/>
    <w:rsid w:val="00D9162C"/>
    <w:rsid w:val="00D91898"/>
    <w:rsid w:val="00D918CF"/>
    <w:rsid w:val="00D92211"/>
    <w:rsid w:val="00D9250A"/>
    <w:rsid w:val="00D927FD"/>
    <w:rsid w:val="00D92A8F"/>
    <w:rsid w:val="00D933AA"/>
    <w:rsid w:val="00D93F0F"/>
    <w:rsid w:val="00D9438C"/>
    <w:rsid w:val="00D952BB"/>
    <w:rsid w:val="00D97086"/>
    <w:rsid w:val="00D97583"/>
    <w:rsid w:val="00D97AC0"/>
    <w:rsid w:val="00DA0273"/>
    <w:rsid w:val="00DA0566"/>
    <w:rsid w:val="00DA1443"/>
    <w:rsid w:val="00DA1B9D"/>
    <w:rsid w:val="00DA21D6"/>
    <w:rsid w:val="00DA2462"/>
    <w:rsid w:val="00DA2BE3"/>
    <w:rsid w:val="00DA2CEC"/>
    <w:rsid w:val="00DA3C2A"/>
    <w:rsid w:val="00DA4A83"/>
    <w:rsid w:val="00DA5802"/>
    <w:rsid w:val="00DA5BF2"/>
    <w:rsid w:val="00DA5FDA"/>
    <w:rsid w:val="00DA745B"/>
    <w:rsid w:val="00DB009B"/>
    <w:rsid w:val="00DB031A"/>
    <w:rsid w:val="00DB0A86"/>
    <w:rsid w:val="00DB0F28"/>
    <w:rsid w:val="00DB111F"/>
    <w:rsid w:val="00DB1152"/>
    <w:rsid w:val="00DB1973"/>
    <w:rsid w:val="00DB1DD1"/>
    <w:rsid w:val="00DB1F2F"/>
    <w:rsid w:val="00DB1F8F"/>
    <w:rsid w:val="00DB2756"/>
    <w:rsid w:val="00DB2E29"/>
    <w:rsid w:val="00DB323E"/>
    <w:rsid w:val="00DB3FC1"/>
    <w:rsid w:val="00DB449B"/>
    <w:rsid w:val="00DB4CFA"/>
    <w:rsid w:val="00DB4D33"/>
    <w:rsid w:val="00DB591C"/>
    <w:rsid w:val="00DB5D15"/>
    <w:rsid w:val="00DB5D6F"/>
    <w:rsid w:val="00DB61DE"/>
    <w:rsid w:val="00DB6336"/>
    <w:rsid w:val="00DB683A"/>
    <w:rsid w:val="00DB7101"/>
    <w:rsid w:val="00DB7BAC"/>
    <w:rsid w:val="00DC0135"/>
    <w:rsid w:val="00DC016C"/>
    <w:rsid w:val="00DC0177"/>
    <w:rsid w:val="00DC0A6B"/>
    <w:rsid w:val="00DC0B6A"/>
    <w:rsid w:val="00DC152A"/>
    <w:rsid w:val="00DC1C76"/>
    <w:rsid w:val="00DC237B"/>
    <w:rsid w:val="00DC29C1"/>
    <w:rsid w:val="00DC3EF6"/>
    <w:rsid w:val="00DC4840"/>
    <w:rsid w:val="00DC6A28"/>
    <w:rsid w:val="00DC6A47"/>
    <w:rsid w:val="00DC6A4E"/>
    <w:rsid w:val="00DC6C52"/>
    <w:rsid w:val="00DC6D91"/>
    <w:rsid w:val="00DC6F76"/>
    <w:rsid w:val="00DC753F"/>
    <w:rsid w:val="00DD0074"/>
    <w:rsid w:val="00DD03DB"/>
    <w:rsid w:val="00DD0AE7"/>
    <w:rsid w:val="00DD1274"/>
    <w:rsid w:val="00DD196C"/>
    <w:rsid w:val="00DD1A48"/>
    <w:rsid w:val="00DD1D9C"/>
    <w:rsid w:val="00DD254D"/>
    <w:rsid w:val="00DD2E8A"/>
    <w:rsid w:val="00DD3FD7"/>
    <w:rsid w:val="00DD449B"/>
    <w:rsid w:val="00DD4B5F"/>
    <w:rsid w:val="00DD4CC9"/>
    <w:rsid w:val="00DD6A9D"/>
    <w:rsid w:val="00DD7A94"/>
    <w:rsid w:val="00DE089C"/>
    <w:rsid w:val="00DE0DE1"/>
    <w:rsid w:val="00DE19F6"/>
    <w:rsid w:val="00DE1A53"/>
    <w:rsid w:val="00DE2834"/>
    <w:rsid w:val="00DE28B5"/>
    <w:rsid w:val="00DE2D9C"/>
    <w:rsid w:val="00DE30BA"/>
    <w:rsid w:val="00DE36E4"/>
    <w:rsid w:val="00DE373A"/>
    <w:rsid w:val="00DE6716"/>
    <w:rsid w:val="00DE732B"/>
    <w:rsid w:val="00DE73DC"/>
    <w:rsid w:val="00DE7D0F"/>
    <w:rsid w:val="00DF00F7"/>
    <w:rsid w:val="00DF031C"/>
    <w:rsid w:val="00DF079D"/>
    <w:rsid w:val="00DF0981"/>
    <w:rsid w:val="00DF0EA7"/>
    <w:rsid w:val="00DF145D"/>
    <w:rsid w:val="00DF2180"/>
    <w:rsid w:val="00DF2222"/>
    <w:rsid w:val="00DF234C"/>
    <w:rsid w:val="00DF24C6"/>
    <w:rsid w:val="00DF2D02"/>
    <w:rsid w:val="00DF3276"/>
    <w:rsid w:val="00DF33A2"/>
    <w:rsid w:val="00DF37B7"/>
    <w:rsid w:val="00DF3CE4"/>
    <w:rsid w:val="00DF4732"/>
    <w:rsid w:val="00DF4CD2"/>
    <w:rsid w:val="00DF529A"/>
    <w:rsid w:val="00DF52A7"/>
    <w:rsid w:val="00DF62E4"/>
    <w:rsid w:val="00DF6436"/>
    <w:rsid w:val="00DF6B9C"/>
    <w:rsid w:val="00DF7434"/>
    <w:rsid w:val="00DF7AF5"/>
    <w:rsid w:val="00DF7DB0"/>
    <w:rsid w:val="00E00514"/>
    <w:rsid w:val="00E00E98"/>
    <w:rsid w:val="00E016F6"/>
    <w:rsid w:val="00E026C6"/>
    <w:rsid w:val="00E02C64"/>
    <w:rsid w:val="00E03039"/>
    <w:rsid w:val="00E030DC"/>
    <w:rsid w:val="00E03551"/>
    <w:rsid w:val="00E04360"/>
    <w:rsid w:val="00E05307"/>
    <w:rsid w:val="00E0562F"/>
    <w:rsid w:val="00E06276"/>
    <w:rsid w:val="00E066ED"/>
    <w:rsid w:val="00E0677A"/>
    <w:rsid w:val="00E068A4"/>
    <w:rsid w:val="00E06C49"/>
    <w:rsid w:val="00E07072"/>
    <w:rsid w:val="00E07395"/>
    <w:rsid w:val="00E10415"/>
    <w:rsid w:val="00E105A4"/>
    <w:rsid w:val="00E109B8"/>
    <w:rsid w:val="00E10DA7"/>
    <w:rsid w:val="00E10DE5"/>
    <w:rsid w:val="00E11148"/>
    <w:rsid w:val="00E112F7"/>
    <w:rsid w:val="00E124F0"/>
    <w:rsid w:val="00E126B5"/>
    <w:rsid w:val="00E126DE"/>
    <w:rsid w:val="00E12C4A"/>
    <w:rsid w:val="00E12CFD"/>
    <w:rsid w:val="00E14827"/>
    <w:rsid w:val="00E1488F"/>
    <w:rsid w:val="00E14D2E"/>
    <w:rsid w:val="00E14DEF"/>
    <w:rsid w:val="00E1529C"/>
    <w:rsid w:val="00E15DB8"/>
    <w:rsid w:val="00E15EB0"/>
    <w:rsid w:val="00E1694B"/>
    <w:rsid w:val="00E16979"/>
    <w:rsid w:val="00E1727B"/>
    <w:rsid w:val="00E17F54"/>
    <w:rsid w:val="00E17FB1"/>
    <w:rsid w:val="00E205ED"/>
    <w:rsid w:val="00E20AB3"/>
    <w:rsid w:val="00E21371"/>
    <w:rsid w:val="00E22803"/>
    <w:rsid w:val="00E23061"/>
    <w:rsid w:val="00E2382A"/>
    <w:rsid w:val="00E241B7"/>
    <w:rsid w:val="00E2424E"/>
    <w:rsid w:val="00E246C0"/>
    <w:rsid w:val="00E24B22"/>
    <w:rsid w:val="00E24BD0"/>
    <w:rsid w:val="00E2669F"/>
    <w:rsid w:val="00E27341"/>
    <w:rsid w:val="00E27DFA"/>
    <w:rsid w:val="00E27F0D"/>
    <w:rsid w:val="00E300EA"/>
    <w:rsid w:val="00E304C7"/>
    <w:rsid w:val="00E3066E"/>
    <w:rsid w:val="00E30A8A"/>
    <w:rsid w:val="00E30CB6"/>
    <w:rsid w:val="00E310BB"/>
    <w:rsid w:val="00E316A4"/>
    <w:rsid w:val="00E31C61"/>
    <w:rsid w:val="00E32054"/>
    <w:rsid w:val="00E32515"/>
    <w:rsid w:val="00E337DF"/>
    <w:rsid w:val="00E338F5"/>
    <w:rsid w:val="00E33A84"/>
    <w:rsid w:val="00E33CEE"/>
    <w:rsid w:val="00E346E9"/>
    <w:rsid w:val="00E34923"/>
    <w:rsid w:val="00E34A84"/>
    <w:rsid w:val="00E36398"/>
    <w:rsid w:val="00E36C11"/>
    <w:rsid w:val="00E36C3C"/>
    <w:rsid w:val="00E36E78"/>
    <w:rsid w:val="00E372B7"/>
    <w:rsid w:val="00E37BF1"/>
    <w:rsid w:val="00E40383"/>
    <w:rsid w:val="00E40BCB"/>
    <w:rsid w:val="00E411E1"/>
    <w:rsid w:val="00E41208"/>
    <w:rsid w:val="00E413C6"/>
    <w:rsid w:val="00E42AAA"/>
    <w:rsid w:val="00E43A79"/>
    <w:rsid w:val="00E43B00"/>
    <w:rsid w:val="00E43D5F"/>
    <w:rsid w:val="00E44506"/>
    <w:rsid w:val="00E44E31"/>
    <w:rsid w:val="00E45375"/>
    <w:rsid w:val="00E45796"/>
    <w:rsid w:val="00E45B56"/>
    <w:rsid w:val="00E47B96"/>
    <w:rsid w:val="00E50091"/>
    <w:rsid w:val="00E50549"/>
    <w:rsid w:val="00E52C64"/>
    <w:rsid w:val="00E52CCB"/>
    <w:rsid w:val="00E530FC"/>
    <w:rsid w:val="00E5356C"/>
    <w:rsid w:val="00E53652"/>
    <w:rsid w:val="00E53764"/>
    <w:rsid w:val="00E5382A"/>
    <w:rsid w:val="00E5433B"/>
    <w:rsid w:val="00E55AA0"/>
    <w:rsid w:val="00E55B8B"/>
    <w:rsid w:val="00E5633C"/>
    <w:rsid w:val="00E56907"/>
    <w:rsid w:val="00E56F6D"/>
    <w:rsid w:val="00E5791E"/>
    <w:rsid w:val="00E57A47"/>
    <w:rsid w:val="00E57B7C"/>
    <w:rsid w:val="00E57D31"/>
    <w:rsid w:val="00E60721"/>
    <w:rsid w:val="00E61499"/>
    <w:rsid w:val="00E6163B"/>
    <w:rsid w:val="00E617FF"/>
    <w:rsid w:val="00E61D6A"/>
    <w:rsid w:val="00E6205A"/>
    <w:rsid w:val="00E62389"/>
    <w:rsid w:val="00E6277C"/>
    <w:rsid w:val="00E634F5"/>
    <w:rsid w:val="00E63A35"/>
    <w:rsid w:val="00E63FF5"/>
    <w:rsid w:val="00E64EFD"/>
    <w:rsid w:val="00E6509F"/>
    <w:rsid w:val="00E657C2"/>
    <w:rsid w:val="00E6595A"/>
    <w:rsid w:val="00E65CF2"/>
    <w:rsid w:val="00E661B9"/>
    <w:rsid w:val="00E66484"/>
    <w:rsid w:val="00E66CD3"/>
    <w:rsid w:val="00E67532"/>
    <w:rsid w:val="00E675FE"/>
    <w:rsid w:val="00E7024F"/>
    <w:rsid w:val="00E70303"/>
    <w:rsid w:val="00E70439"/>
    <w:rsid w:val="00E70CAF"/>
    <w:rsid w:val="00E70DB4"/>
    <w:rsid w:val="00E70DFC"/>
    <w:rsid w:val="00E7177B"/>
    <w:rsid w:val="00E72198"/>
    <w:rsid w:val="00E72722"/>
    <w:rsid w:val="00E732D4"/>
    <w:rsid w:val="00E73B54"/>
    <w:rsid w:val="00E73E7B"/>
    <w:rsid w:val="00E744EB"/>
    <w:rsid w:val="00E757FD"/>
    <w:rsid w:val="00E75A3F"/>
    <w:rsid w:val="00E76373"/>
    <w:rsid w:val="00E803D0"/>
    <w:rsid w:val="00E80457"/>
    <w:rsid w:val="00E80EB9"/>
    <w:rsid w:val="00E81584"/>
    <w:rsid w:val="00E81F96"/>
    <w:rsid w:val="00E8238C"/>
    <w:rsid w:val="00E824BA"/>
    <w:rsid w:val="00E82672"/>
    <w:rsid w:val="00E83BF0"/>
    <w:rsid w:val="00E83C54"/>
    <w:rsid w:val="00E83FCE"/>
    <w:rsid w:val="00E8450C"/>
    <w:rsid w:val="00E84548"/>
    <w:rsid w:val="00E84645"/>
    <w:rsid w:val="00E84A6E"/>
    <w:rsid w:val="00E84D1D"/>
    <w:rsid w:val="00E8523A"/>
    <w:rsid w:val="00E8614C"/>
    <w:rsid w:val="00E867DD"/>
    <w:rsid w:val="00E86A58"/>
    <w:rsid w:val="00E86EA5"/>
    <w:rsid w:val="00E87664"/>
    <w:rsid w:val="00E87921"/>
    <w:rsid w:val="00E87BD3"/>
    <w:rsid w:val="00E87C59"/>
    <w:rsid w:val="00E87D3C"/>
    <w:rsid w:val="00E87EA0"/>
    <w:rsid w:val="00E90000"/>
    <w:rsid w:val="00E90D85"/>
    <w:rsid w:val="00E90EC5"/>
    <w:rsid w:val="00E912A0"/>
    <w:rsid w:val="00E91524"/>
    <w:rsid w:val="00E91615"/>
    <w:rsid w:val="00E91CBD"/>
    <w:rsid w:val="00E92B5C"/>
    <w:rsid w:val="00E93C8D"/>
    <w:rsid w:val="00E9500C"/>
    <w:rsid w:val="00E95D22"/>
    <w:rsid w:val="00E95D6D"/>
    <w:rsid w:val="00E95D8F"/>
    <w:rsid w:val="00E95E76"/>
    <w:rsid w:val="00E96901"/>
    <w:rsid w:val="00E96B66"/>
    <w:rsid w:val="00E97919"/>
    <w:rsid w:val="00E979DB"/>
    <w:rsid w:val="00E97A30"/>
    <w:rsid w:val="00EA0881"/>
    <w:rsid w:val="00EA23FF"/>
    <w:rsid w:val="00EA2A3B"/>
    <w:rsid w:val="00EA2D95"/>
    <w:rsid w:val="00EA2D9D"/>
    <w:rsid w:val="00EA306C"/>
    <w:rsid w:val="00EA31A1"/>
    <w:rsid w:val="00EA3294"/>
    <w:rsid w:val="00EA3B21"/>
    <w:rsid w:val="00EA594D"/>
    <w:rsid w:val="00EA6B44"/>
    <w:rsid w:val="00EA76D7"/>
    <w:rsid w:val="00EA77C8"/>
    <w:rsid w:val="00EA79D0"/>
    <w:rsid w:val="00EB03EF"/>
    <w:rsid w:val="00EB0732"/>
    <w:rsid w:val="00EB11EF"/>
    <w:rsid w:val="00EB1287"/>
    <w:rsid w:val="00EB221C"/>
    <w:rsid w:val="00EB2325"/>
    <w:rsid w:val="00EB262C"/>
    <w:rsid w:val="00EB2BC5"/>
    <w:rsid w:val="00EB2BFA"/>
    <w:rsid w:val="00EB4700"/>
    <w:rsid w:val="00EB5CA7"/>
    <w:rsid w:val="00EB6B4E"/>
    <w:rsid w:val="00EB7184"/>
    <w:rsid w:val="00EB76B0"/>
    <w:rsid w:val="00EB790F"/>
    <w:rsid w:val="00EB7948"/>
    <w:rsid w:val="00EC0010"/>
    <w:rsid w:val="00EC04FE"/>
    <w:rsid w:val="00EC0585"/>
    <w:rsid w:val="00EC1E85"/>
    <w:rsid w:val="00EC3A30"/>
    <w:rsid w:val="00EC4288"/>
    <w:rsid w:val="00EC48D6"/>
    <w:rsid w:val="00EC4AD7"/>
    <w:rsid w:val="00EC4C61"/>
    <w:rsid w:val="00EC4D54"/>
    <w:rsid w:val="00EC4F02"/>
    <w:rsid w:val="00EC5202"/>
    <w:rsid w:val="00EC53AA"/>
    <w:rsid w:val="00EC5600"/>
    <w:rsid w:val="00EC5B4C"/>
    <w:rsid w:val="00EC60EA"/>
    <w:rsid w:val="00EC6B73"/>
    <w:rsid w:val="00EC6E10"/>
    <w:rsid w:val="00EC70F9"/>
    <w:rsid w:val="00EC7141"/>
    <w:rsid w:val="00EC75B7"/>
    <w:rsid w:val="00EC7A94"/>
    <w:rsid w:val="00ED0378"/>
    <w:rsid w:val="00ED18F8"/>
    <w:rsid w:val="00ED195B"/>
    <w:rsid w:val="00ED2102"/>
    <w:rsid w:val="00ED2137"/>
    <w:rsid w:val="00ED2D7D"/>
    <w:rsid w:val="00ED3277"/>
    <w:rsid w:val="00ED39E7"/>
    <w:rsid w:val="00ED4AFB"/>
    <w:rsid w:val="00ED5572"/>
    <w:rsid w:val="00ED60D8"/>
    <w:rsid w:val="00ED6E97"/>
    <w:rsid w:val="00ED7A81"/>
    <w:rsid w:val="00EE0494"/>
    <w:rsid w:val="00EE0BEB"/>
    <w:rsid w:val="00EE1489"/>
    <w:rsid w:val="00EE151D"/>
    <w:rsid w:val="00EE1562"/>
    <w:rsid w:val="00EE1593"/>
    <w:rsid w:val="00EE17DE"/>
    <w:rsid w:val="00EE1F4B"/>
    <w:rsid w:val="00EE2280"/>
    <w:rsid w:val="00EE310B"/>
    <w:rsid w:val="00EE3EE8"/>
    <w:rsid w:val="00EE4163"/>
    <w:rsid w:val="00EE4210"/>
    <w:rsid w:val="00EE4761"/>
    <w:rsid w:val="00EE4953"/>
    <w:rsid w:val="00EE5E45"/>
    <w:rsid w:val="00EE60D3"/>
    <w:rsid w:val="00EE6426"/>
    <w:rsid w:val="00EE682D"/>
    <w:rsid w:val="00EF0CCA"/>
    <w:rsid w:val="00EF0D2F"/>
    <w:rsid w:val="00EF118A"/>
    <w:rsid w:val="00EF2C26"/>
    <w:rsid w:val="00EF2DB3"/>
    <w:rsid w:val="00EF3E4D"/>
    <w:rsid w:val="00EF3E72"/>
    <w:rsid w:val="00EF4385"/>
    <w:rsid w:val="00EF4555"/>
    <w:rsid w:val="00EF46B6"/>
    <w:rsid w:val="00EF4A2F"/>
    <w:rsid w:val="00EF4FE7"/>
    <w:rsid w:val="00EF68BE"/>
    <w:rsid w:val="00EF6D63"/>
    <w:rsid w:val="00EF6E7C"/>
    <w:rsid w:val="00EF798F"/>
    <w:rsid w:val="00F0111E"/>
    <w:rsid w:val="00F0184E"/>
    <w:rsid w:val="00F01FF2"/>
    <w:rsid w:val="00F022B7"/>
    <w:rsid w:val="00F02437"/>
    <w:rsid w:val="00F024A9"/>
    <w:rsid w:val="00F024ED"/>
    <w:rsid w:val="00F02756"/>
    <w:rsid w:val="00F02764"/>
    <w:rsid w:val="00F02773"/>
    <w:rsid w:val="00F02D6E"/>
    <w:rsid w:val="00F0326A"/>
    <w:rsid w:val="00F03281"/>
    <w:rsid w:val="00F035CB"/>
    <w:rsid w:val="00F04939"/>
    <w:rsid w:val="00F049ED"/>
    <w:rsid w:val="00F04A3F"/>
    <w:rsid w:val="00F04DD7"/>
    <w:rsid w:val="00F050E4"/>
    <w:rsid w:val="00F05AD7"/>
    <w:rsid w:val="00F06CAC"/>
    <w:rsid w:val="00F07055"/>
    <w:rsid w:val="00F07380"/>
    <w:rsid w:val="00F10353"/>
    <w:rsid w:val="00F10429"/>
    <w:rsid w:val="00F108BF"/>
    <w:rsid w:val="00F114DA"/>
    <w:rsid w:val="00F11A2C"/>
    <w:rsid w:val="00F11B6E"/>
    <w:rsid w:val="00F12135"/>
    <w:rsid w:val="00F12446"/>
    <w:rsid w:val="00F12BAB"/>
    <w:rsid w:val="00F13126"/>
    <w:rsid w:val="00F13A7F"/>
    <w:rsid w:val="00F13C6F"/>
    <w:rsid w:val="00F13DBF"/>
    <w:rsid w:val="00F13F21"/>
    <w:rsid w:val="00F143E6"/>
    <w:rsid w:val="00F14A77"/>
    <w:rsid w:val="00F14B6D"/>
    <w:rsid w:val="00F1542B"/>
    <w:rsid w:val="00F1589A"/>
    <w:rsid w:val="00F159FA"/>
    <w:rsid w:val="00F15C52"/>
    <w:rsid w:val="00F15DD3"/>
    <w:rsid w:val="00F16C89"/>
    <w:rsid w:val="00F172A0"/>
    <w:rsid w:val="00F1739E"/>
    <w:rsid w:val="00F173CB"/>
    <w:rsid w:val="00F200CE"/>
    <w:rsid w:val="00F20AF3"/>
    <w:rsid w:val="00F2114D"/>
    <w:rsid w:val="00F21187"/>
    <w:rsid w:val="00F2128D"/>
    <w:rsid w:val="00F213D7"/>
    <w:rsid w:val="00F217FD"/>
    <w:rsid w:val="00F22EE9"/>
    <w:rsid w:val="00F22FEB"/>
    <w:rsid w:val="00F230B7"/>
    <w:rsid w:val="00F23125"/>
    <w:rsid w:val="00F23C5A"/>
    <w:rsid w:val="00F23E58"/>
    <w:rsid w:val="00F24DFC"/>
    <w:rsid w:val="00F2507F"/>
    <w:rsid w:val="00F250CF"/>
    <w:rsid w:val="00F2665E"/>
    <w:rsid w:val="00F266A2"/>
    <w:rsid w:val="00F269F2"/>
    <w:rsid w:val="00F26DF4"/>
    <w:rsid w:val="00F27024"/>
    <w:rsid w:val="00F27EE2"/>
    <w:rsid w:val="00F30164"/>
    <w:rsid w:val="00F30167"/>
    <w:rsid w:val="00F303A4"/>
    <w:rsid w:val="00F309A2"/>
    <w:rsid w:val="00F30A01"/>
    <w:rsid w:val="00F30A15"/>
    <w:rsid w:val="00F31792"/>
    <w:rsid w:val="00F3216F"/>
    <w:rsid w:val="00F3235D"/>
    <w:rsid w:val="00F3243B"/>
    <w:rsid w:val="00F32563"/>
    <w:rsid w:val="00F32D8B"/>
    <w:rsid w:val="00F32DCA"/>
    <w:rsid w:val="00F33659"/>
    <w:rsid w:val="00F33F79"/>
    <w:rsid w:val="00F341E0"/>
    <w:rsid w:val="00F344F9"/>
    <w:rsid w:val="00F3484F"/>
    <w:rsid w:val="00F34C24"/>
    <w:rsid w:val="00F3502F"/>
    <w:rsid w:val="00F35075"/>
    <w:rsid w:val="00F350AD"/>
    <w:rsid w:val="00F35FE0"/>
    <w:rsid w:val="00F366CD"/>
    <w:rsid w:val="00F368BE"/>
    <w:rsid w:val="00F3742A"/>
    <w:rsid w:val="00F37D87"/>
    <w:rsid w:val="00F37F86"/>
    <w:rsid w:val="00F4017D"/>
    <w:rsid w:val="00F406A7"/>
    <w:rsid w:val="00F40724"/>
    <w:rsid w:val="00F40C80"/>
    <w:rsid w:val="00F4150B"/>
    <w:rsid w:val="00F41519"/>
    <w:rsid w:val="00F42A7B"/>
    <w:rsid w:val="00F42CD9"/>
    <w:rsid w:val="00F4323E"/>
    <w:rsid w:val="00F43B55"/>
    <w:rsid w:val="00F43ECC"/>
    <w:rsid w:val="00F4436C"/>
    <w:rsid w:val="00F4491A"/>
    <w:rsid w:val="00F44C0F"/>
    <w:rsid w:val="00F4586D"/>
    <w:rsid w:val="00F45A80"/>
    <w:rsid w:val="00F45F43"/>
    <w:rsid w:val="00F4738D"/>
    <w:rsid w:val="00F4738F"/>
    <w:rsid w:val="00F4787D"/>
    <w:rsid w:val="00F50012"/>
    <w:rsid w:val="00F502CB"/>
    <w:rsid w:val="00F51336"/>
    <w:rsid w:val="00F51604"/>
    <w:rsid w:val="00F51A88"/>
    <w:rsid w:val="00F51E37"/>
    <w:rsid w:val="00F52091"/>
    <w:rsid w:val="00F5220A"/>
    <w:rsid w:val="00F53EA3"/>
    <w:rsid w:val="00F54896"/>
    <w:rsid w:val="00F54FD5"/>
    <w:rsid w:val="00F55508"/>
    <w:rsid w:val="00F55BB2"/>
    <w:rsid w:val="00F55D12"/>
    <w:rsid w:val="00F56661"/>
    <w:rsid w:val="00F566BA"/>
    <w:rsid w:val="00F57056"/>
    <w:rsid w:val="00F605BE"/>
    <w:rsid w:val="00F60684"/>
    <w:rsid w:val="00F60E71"/>
    <w:rsid w:val="00F611F7"/>
    <w:rsid w:val="00F61810"/>
    <w:rsid w:val="00F618AA"/>
    <w:rsid w:val="00F6253C"/>
    <w:rsid w:val="00F62B80"/>
    <w:rsid w:val="00F63101"/>
    <w:rsid w:val="00F63223"/>
    <w:rsid w:val="00F63880"/>
    <w:rsid w:val="00F64253"/>
    <w:rsid w:val="00F6457E"/>
    <w:rsid w:val="00F65AE7"/>
    <w:rsid w:val="00F66546"/>
    <w:rsid w:val="00F6665B"/>
    <w:rsid w:val="00F66923"/>
    <w:rsid w:val="00F679E0"/>
    <w:rsid w:val="00F706AC"/>
    <w:rsid w:val="00F707F0"/>
    <w:rsid w:val="00F709E8"/>
    <w:rsid w:val="00F71A30"/>
    <w:rsid w:val="00F71E61"/>
    <w:rsid w:val="00F7244A"/>
    <w:rsid w:val="00F724F9"/>
    <w:rsid w:val="00F72542"/>
    <w:rsid w:val="00F726D6"/>
    <w:rsid w:val="00F73077"/>
    <w:rsid w:val="00F73D30"/>
    <w:rsid w:val="00F74013"/>
    <w:rsid w:val="00F74237"/>
    <w:rsid w:val="00F7577F"/>
    <w:rsid w:val="00F75931"/>
    <w:rsid w:val="00F75FC8"/>
    <w:rsid w:val="00F761DA"/>
    <w:rsid w:val="00F762DF"/>
    <w:rsid w:val="00F76548"/>
    <w:rsid w:val="00F7708B"/>
    <w:rsid w:val="00F771E5"/>
    <w:rsid w:val="00F772D9"/>
    <w:rsid w:val="00F810ED"/>
    <w:rsid w:val="00F82FD9"/>
    <w:rsid w:val="00F832E6"/>
    <w:rsid w:val="00F83554"/>
    <w:rsid w:val="00F8403E"/>
    <w:rsid w:val="00F841BA"/>
    <w:rsid w:val="00F8434F"/>
    <w:rsid w:val="00F84C4E"/>
    <w:rsid w:val="00F852A6"/>
    <w:rsid w:val="00F8617A"/>
    <w:rsid w:val="00F861A8"/>
    <w:rsid w:val="00F86CFA"/>
    <w:rsid w:val="00F8732F"/>
    <w:rsid w:val="00F87E6E"/>
    <w:rsid w:val="00F90591"/>
    <w:rsid w:val="00F90B10"/>
    <w:rsid w:val="00F91A47"/>
    <w:rsid w:val="00F91AD1"/>
    <w:rsid w:val="00F91CE0"/>
    <w:rsid w:val="00F91E63"/>
    <w:rsid w:val="00F9223F"/>
    <w:rsid w:val="00F924ED"/>
    <w:rsid w:val="00F92A05"/>
    <w:rsid w:val="00F93EC8"/>
    <w:rsid w:val="00F94001"/>
    <w:rsid w:val="00F9491F"/>
    <w:rsid w:val="00F955FA"/>
    <w:rsid w:val="00F9573F"/>
    <w:rsid w:val="00F96A99"/>
    <w:rsid w:val="00F977E3"/>
    <w:rsid w:val="00FA00C2"/>
    <w:rsid w:val="00FA0976"/>
    <w:rsid w:val="00FA184B"/>
    <w:rsid w:val="00FA193A"/>
    <w:rsid w:val="00FA21E3"/>
    <w:rsid w:val="00FA2BD5"/>
    <w:rsid w:val="00FA39A5"/>
    <w:rsid w:val="00FA3B3F"/>
    <w:rsid w:val="00FA43D1"/>
    <w:rsid w:val="00FA4977"/>
    <w:rsid w:val="00FA5C0E"/>
    <w:rsid w:val="00FA623D"/>
    <w:rsid w:val="00FA6DAB"/>
    <w:rsid w:val="00FA70EB"/>
    <w:rsid w:val="00FB0459"/>
    <w:rsid w:val="00FB1293"/>
    <w:rsid w:val="00FB22DC"/>
    <w:rsid w:val="00FB238B"/>
    <w:rsid w:val="00FB27A5"/>
    <w:rsid w:val="00FB29F2"/>
    <w:rsid w:val="00FB2E5E"/>
    <w:rsid w:val="00FB316E"/>
    <w:rsid w:val="00FB39F6"/>
    <w:rsid w:val="00FB44E2"/>
    <w:rsid w:val="00FB5662"/>
    <w:rsid w:val="00FB5DF7"/>
    <w:rsid w:val="00FB634D"/>
    <w:rsid w:val="00FB6420"/>
    <w:rsid w:val="00FB7255"/>
    <w:rsid w:val="00FB75BC"/>
    <w:rsid w:val="00FB7947"/>
    <w:rsid w:val="00FB7B75"/>
    <w:rsid w:val="00FC0863"/>
    <w:rsid w:val="00FC16FA"/>
    <w:rsid w:val="00FC24F7"/>
    <w:rsid w:val="00FC2A71"/>
    <w:rsid w:val="00FC3706"/>
    <w:rsid w:val="00FC38EA"/>
    <w:rsid w:val="00FC3E47"/>
    <w:rsid w:val="00FC41D3"/>
    <w:rsid w:val="00FC4B48"/>
    <w:rsid w:val="00FC5613"/>
    <w:rsid w:val="00FC5E49"/>
    <w:rsid w:val="00FC5EAF"/>
    <w:rsid w:val="00FC63AE"/>
    <w:rsid w:val="00FC65DF"/>
    <w:rsid w:val="00FC6812"/>
    <w:rsid w:val="00FC76F5"/>
    <w:rsid w:val="00FC7851"/>
    <w:rsid w:val="00FD02B5"/>
    <w:rsid w:val="00FD0350"/>
    <w:rsid w:val="00FD0979"/>
    <w:rsid w:val="00FD1644"/>
    <w:rsid w:val="00FD1CBC"/>
    <w:rsid w:val="00FD2B09"/>
    <w:rsid w:val="00FD2BEB"/>
    <w:rsid w:val="00FD3277"/>
    <w:rsid w:val="00FD34B6"/>
    <w:rsid w:val="00FD39FA"/>
    <w:rsid w:val="00FD43BC"/>
    <w:rsid w:val="00FD523C"/>
    <w:rsid w:val="00FD5745"/>
    <w:rsid w:val="00FD5ABC"/>
    <w:rsid w:val="00FD66D7"/>
    <w:rsid w:val="00FD6C98"/>
    <w:rsid w:val="00FD7179"/>
    <w:rsid w:val="00FD7683"/>
    <w:rsid w:val="00FD76A8"/>
    <w:rsid w:val="00FD7957"/>
    <w:rsid w:val="00FE0005"/>
    <w:rsid w:val="00FE095E"/>
    <w:rsid w:val="00FE0C2C"/>
    <w:rsid w:val="00FE13F4"/>
    <w:rsid w:val="00FE1C87"/>
    <w:rsid w:val="00FE1D38"/>
    <w:rsid w:val="00FE28AE"/>
    <w:rsid w:val="00FE2C4B"/>
    <w:rsid w:val="00FE3A34"/>
    <w:rsid w:val="00FE3B53"/>
    <w:rsid w:val="00FE3E6F"/>
    <w:rsid w:val="00FE42D2"/>
    <w:rsid w:val="00FE443A"/>
    <w:rsid w:val="00FE44C2"/>
    <w:rsid w:val="00FE455E"/>
    <w:rsid w:val="00FE4E34"/>
    <w:rsid w:val="00FE78C7"/>
    <w:rsid w:val="00FE79B3"/>
    <w:rsid w:val="00FE7AFC"/>
    <w:rsid w:val="00FF039D"/>
    <w:rsid w:val="00FF041E"/>
    <w:rsid w:val="00FF06E1"/>
    <w:rsid w:val="00FF06F6"/>
    <w:rsid w:val="00FF0BA9"/>
    <w:rsid w:val="00FF0BD6"/>
    <w:rsid w:val="00FF0C00"/>
    <w:rsid w:val="00FF0F8C"/>
    <w:rsid w:val="00FF1333"/>
    <w:rsid w:val="00FF29DC"/>
    <w:rsid w:val="00FF2B5A"/>
    <w:rsid w:val="00FF2E77"/>
    <w:rsid w:val="00FF3115"/>
    <w:rsid w:val="00FF3ABB"/>
    <w:rsid w:val="00FF403D"/>
    <w:rsid w:val="00FF475C"/>
    <w:rsid w:val="00FF4B91"/>
    <w:rsid w:val="00FF4CDE"/>
    <w:rsid w:val="00FF50B8"/>
    <w:rsid w:val="00FF67BF"/>
    <w:rsid w:val="00FF6822"/>
    <w:rsid w:val="00FF6AEA"/>
    <w:rsid w:val="00FF7217"/>
    <w:rsid w:val="00FF7251"/>
    <w:rsid w:val="00FF7AA1"/>
    <w:rsid w:val="00FF7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width-percent:900;v-text-anchor:bottom" fill="f" fillcolor="white" strokecolor="white">
      <v:fill color="white" on="f"/>
      <v:stroke color="white" weight=".5pt"/>
      <v:textbox inset=",,,0"/>
    </o:shapedefaults>
    <o:shapelayout v:ext="edit">
      <o:idmap v:ext="edit" data="1"/>
    </o:shapelayout>
  </w:shapeDefaults>
  <w:decimalSymbol w:val=","/>
  <w:listSeparator w:val=";"/>
  <w14:docId w14:val="3CAA4153"/>
  <w15:chartTrackingRefBased/>
  <w15:docId w15:val="{A48468CB-6664-452A-918C-A41742F1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F6A3D"/>
    <w:rPr>
      <w:sz w:val="24"/>
      <w:szCs w:val="24"/>
    </w:rPr>
  </w:style>
  <w:style w:type="paragraph" w:styleId="1">
    <w:name w:val="heading 1"/>
    <w:basedOn w:val="a1"/>
    <w:next w:val="a1"/>
    <w:link w:val="10"/>
    <w:uiPriority w:val="9"/>
    <w:qFormat/>
    <w:rsid w:val="00DB4D33"/>
    <w:pPr>
      <w:keepNext/>
      <w:spacing w:before="240" w:after="60"/>
      <w:ind w:left="708"/>
      <w:outlineLvl w:val="0"/>
    </w:pPr>
    <w:rPr>
      <w:rFonts w:ascii="Arial" w:hAnsi="Arial"/>
      <w:b/>
      <w:bCs/>
      <w:kern w:val="32"/>
      <w:sz w:val="28"/>
      <w:szCs w:val="32"/>
      <w:lang w:val="x-none" w:eastAsia="x-none"/>
    </w:rPr>
  </w:style>
  <w:style w:type="paragraph" w:styleId="21">
    <w:name w:val="heading 2"/>
    <w:basedOn w:val="a1"/>
    <w:next w:val="a1"/>
    <w:link w:val="22"/>
    <w:uiPriority w:val="9"/>
    <w:unhideWhenUsed/>
    <w:qFormat/>
    <w:rsid w:val="00DB4D33"/>
    <w:pPr>
      <w:keepNext/>
      <w:spacing w:before="240" w:after="60"/>
      <w:ind w:left="708"/>
      <w:outlineLvl w:val="1"/>
    </w:pPr>
    <w:rPr>
      <w:rFonts w:ascii="Arial" w:hAnsi="Arial"/>
      <w:b/>
      <w:bCs/>
      <w:iCs/>
      <w:sz w:val="28"/>
      <w:szCs w:val="28"/>
      <w:lang w:val="x-none" w:eastAsia="x-none"/>
    </w:rPr>
  </w:style>
  <w:style w:type="paragraph" w:styleId="31">
    <w:name w:val="heading 3"/>
    <w:basedOn w:val="a1"/>
    <w:next w:val="a1"/>
    <w:link w:val="32"/>
    <w:uiPriority w:val="9"/>
    <w:unhideWhenUsed/>
    <w:qFormat/>
    <w:rsid w:val="00DB4D33"/>
    <w:pPr>
      <w:keepNext/>
      <w:spacing w:before="240" w:after="60"/>
      <w:ind w:left="708"/>
      <w:outlineLvl w:val="2"/>
    </w:pPr>
    <w:rPr>
      <w:rFonts w:ascii="Arial" w:hAnsi="Arial"/>
      <w:bCs/>
      <w:i/>
      <w:sz w:val="28"/>
      <w:szCs w:val="26"/>
      <w:lang w:val="x-none" w:eastAsia="x-none"/>
    </w:rPr>
  </w:style>
  <w:style w:type="paragraph" w:styleId="41">
    <w:name w:val="heading 4"/>
    <w:basedOn w:val="a1"/>
    <w:next w:val="a1"/>
    <w:link w:val="42"/>
    <w:uiPriority w:val="9"/>
    <w:semiHidden/>
    <w:unhideWhenUsed/>
    <w:qFormat/>
    <w:rsid w:val="007F6A3D"/>
    <w:pPr>
      <w:keepNext/>
      <w:spacing w:before="240" w:after="60"/>
      <w:outlineLvl w:val="3"/>
    </w:pPr>
    <w:rPr>
      <w:b/>
      <w:bCs/>
      <w:sz w:val="28"/>
      <w:szCs w:val="28"/>
      <w:lang w:val="x-none" w:eastAsia="x-none"/>
    </w:rPr>
  </w:style>
  <w:style w:type="paragraph" w:styleId="51">
    <w:name w:val="heading 5"/>
    <w:basedOn w:val="a1"/>
    <w:next w:val="a1"/>
    <w:link w:val="52"/>
    <w:uiPriority w:val="9"/>
    <w:semiHidden/>
    <w:unhideWhenUsed/>
    <w:qFormat/>
    <w:rsid w:val="007F6A3D"/>
    <w:pPr>
      <w:spacing w:before="240" w:after="60"/>
      <w:outlineLvl w:val="4"/>
    </w:pPr>
    <w:rPr>
      <w:b/>
      <w:bCs/>
      <w:i/>
      <w:iCs/>
      <w:sz w:val="26"/>
      <w:szCs w:val="26"/>
      <w:lang w:val="x-none" w:eastAsia="x-none"/>
    </w:rPr>
  </w:style>
  <w:style w:type="paragraph" w:styleId="6">
    <w:name w:val="heading 6"/>
    <w:basedOn w:val="a1"/>
    <w:next w:val="a1"/>
    <w:link w:val="60"/>
    <w:uiPriority w:val="9"/>
    <w:semiHidden/>
    <w:unhideWhenUsed/>
    <w:qFormat/>
    <w:rsid w:val="007F6A3D"/>
    <w:pPr>
      <w:spacing w:before="240" w:after="60"/>
      <w:outlineLvl w:val="5"/>
    </w:pPr>
    <w:rPr>
      <w:b/>
      <w:bCs/>
      <w:sz w:val="20"/>
      <w:szCs w:val="20"/>
      <w:lang w:val="x-none" w:eastAsia="x-none"/>
    </w:rPr>
  </w:style>
  <w:style w:type="paragraph" w:styleId="7">
    <w:name w:val="heading 7"/>
    <w:basedOn w:val="a1"/>
    <w:next w:val="a1"/>
    <w:link w:val="70"/>
    <w:uiPriority w:val="9"/>
    <w:semiHidden/>
    <w:unhideWhenUsed/>
    <w:qFormat/>
    <w:rsid w:val="007F6A3D"/>
    <w:pPr>
      <w:spacing w:before="240" w:after="60"/>
      <w:outlineLvl w:val="6"/>
    </w:pPr>
    <w:rPr>
      <w:lang w:val="x-none" w:eastAsia="x-none"/>
    </w:rPr>
  </w:style>
  <w:style w:type="paragraph" w:styleId="8">
    <w:name w:val="heading 8"/>
    <w:basedOn w:val="a1"/>
    <w:next w:val="a1"/>
    <w:link w:val="80"/>
    <w:uiPriority w:val="9"/>
    <w:semiHidden/>
    <w:unhideWhenUsed/>
    <w:qFormat/>
    <w:rsid w:val="007F6A3D"/>
    <w:pPr>
      <w:spacing w:before="240" w:after="60"/>
      <w:outlineLvl w:val="7"/>
    </w:pPr>
    <w:rPr>
      <w:i/>
      <w:iCs/>
      <w:lang w:val="x-none" w:eastAsia="x-none"/>
    </w:rPr>
  </w:style>
  <w:style w:type="paragraph" w:styleId="9">
    <w:name w:val="heading 9"/>
    <w:basedOn w:val="a1"/>
    <w:next w:val="a1"/>
    <w:link w:val="90"/>
    <w:uiPriority w:val="9"/>
    <w:semiHidden/>
    <w:unhideWhenUsed/>
    <w:qFormat/>
    <w:rsid w:val="007F6A3D"/>
    <w:pPr>
      <w:spacing w:before="240" w:after="60"/>
      <w:outlineLvl w:val="8"/>
    </w:pPr>
    <w:rPr>
      <w:rFonts w:ascii="Cambria" w:hAnsi="Cambria"/>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DB4D33"/>
    <w:rPr>
      <w:rFonts w:ascii="Arial" w:hAnsi="Arial"/>
      <w:b/>
      <w:bCs/>
      <w:kern w:val="32"/>
      <w:sz w:val="28"/>
      <w:szCs w:val="32"/>
    </w:rPr>
  </w:style>
  <w:style w:type="character" w:customStyle="1" w:styleId="22">
    <w:name w:val="Заголовок 2 Знак"/>
    <w:link w:val="21"/>
    <w:uiPriority w:val="9"/>
    <w:rsid w:val="00DB4D33"/>
    <w:rPr>
      <w:rFonts w:ascii="Arial" w:hAnsi="Arial"/>
      <w:b/>
      <w:bCs/>
      <w:iCs/>
      <w:sz w:val="28"/>
      <w:szCs w:val="28"/>
    </w:rPr>
  </w:style>
  <w:style w:type="character" w:customStyle="1" w:styleId="32">
    <w:name w:val="Заголовок 3 Знак"/>
    <w:link w:val="31"/>
    <w:uiPriority w:val="9"/>
    <w:rsid w:val="00DB4D33"/>
    <w:rPr>
      <w:rFonts w:ascii="Arial" w:hAnsi="Arial"/>
      <w:bCs/>
      <w:i/>
      <w:sz w:val="28"/>
      <w:szCs w:val="26"/>
    </w:rPr>
  </w:style>
  <w:style w:type="character" w:customStyle="1" w:styleId="42">
    <w:name w:val="Заголовок 4 Знак"/>
    <w:link w:val="41"/>
    <w:uiPriority w:val="9"/>
    <w:semiHidden/>
    <w:rsid w:val="007F6A3D"/>
    <w:rPr>
      <w:b/>
      <w:bCs/>
      <w:sz w:val="28"/>
      <w:szCs w:val="28"/>
    </w:rPr>
  </w:style>
  <w:style w:type="character" w:customStyle="1" w:styleId="52">
    <w:name w:val="Заголовок 5 Знак"/>
    <w:link w:val="51"/>
    <w:uiPriority w:val="9"/>
    <w:semiHidden/>
    <w:rsid w:val="007F6A3D"/>
    <w:rPr>
      <w:b/>
      <w:bCs/>
      <w:i/>
      <w:iCs/>
      <w:sz w:val="26"/>
      <w:szCs w:val="26"/>
    </w:rPr>
  </w:style>
  <w:style w:type="character" w:customStyle="1" w:styleId="60">
    <w:name w:val="Заголовок 6 Знак"/>
    <w:link w:val="6"/>
    <w:uiPriority w:val="9"/>
    <w:semiHidden/>
    <w:rsid w:val="007F6A3D"/>
    <w:rPr>
      <w:b/>
      <w:bCs/>
    </w:rPr>
  </w:style>
  <w:style w:type="character" w:customStyle="1" w:styleId="70">
    <w:name w:val="Заголовок 7 Знак"/>
    <w:link w:val="7"/>
    <w:uiPriority w:val="9"/>
    <w:semiHidden/>
    <w:rsid w:val="007F6A3D"/>
    <w:rPr>
      <w:sz w:val="24"/>
      <w:szCs w:val="24"/>
    </w:rPr>
  </w:style>
  <w:style w:type="character" w:customStyle="1" w:styleId="80">
    <w:name w:val="Заголовок 8 Знак"/>
    <w:link w:val="8"/>
    <w:uiPriority w:val="9"/>
    <w:semiHidden/>
    <w:rsid w:val="007F6A3D"/>
    <w:rPr>
      <w:i/>
      <w:iCs/>
      <w:sz w:val="24"/>
      <w:szCs w:val="24"/>
    </w:rPr>
  </w:style>
  <w:style w:type="character" w:customStyle="1" w:styleId="90">
    <w:name w:val="Заголовок 9 Знак"/>
    <w:link w:val="9"/>
    <w:uiPriority w:val="9"/>
    <w:semiHidden/>
    <w:rsid w:val="007F6A3D"/>
    <w:rPr>
      <w:rFonts w:ascii="Cambria" w:eastAsia="Times New Roman" w:hAnsi="Cambria"/>
    </w:rPr>
  </w:style>
  <w:style w:type="paragraph" w:styleId="a5">
    <w:name w:val="Balloon Text"/>
    <w:basedOn w:val="a1"/>
    <w:link w:val="a6"/>
    <w:uiPriority w:val="99"/>
    <w:semiHidden/>
    <w:unhideWhenUsed/>
    <w:rsid w:val="004E6AB5"/>
    <w:rPr>
      <w:rFonts w:ascii="Segoe UI" w:hAnsi="Segoe UI"/>
      <w:sz w:val="18"/>
      <w:szCs w:val="18"/>
      <w:lang w:val="x-none" w:eastAsia="x-none"/>
    </w:rPr>
  </w:style>
  <w:style w:type="character" w:customStyle="1" w:styleId="a6">
    <w:name w:val="Текст выноски Знак"/>
    <w:link w:val="a5"/>
    <w:uiPriority w:val="99"/>
    <w:semiHidden/>
    <w:rsid w:val="004E6AB5"/>
    <w:rPr>
      <w:rFonts w:ascii="Segoe UI" w:hAnsi="Segoe UI" w:cs="Segoe UI"/>
      <w:sz w:val="18"/>
      <w:szCs w:val="18"/>
    </w:rPr>
  </w:style>
  <w:style w:type="paragraph" w:styleId="a7">
    <w:name w:val="footnote text"/>
    <w:basedOn w:val="a1"/>
    <w:link w:val="a8"/>
    <w:uiPriority w:val="99"/>
    <w:unhideWhenUsed/>
    <w:rsid w:val="000031B1"/>
    <w:rPr>
      <w:sz w:val="20"/>
      <w:szCs w:val="20"/>
      <w:lang w:val="x-none" w:eastAsia="x-none"/>
    </w:rPr>
  </w:style>
  <w:style w:type="character" w:customStyle="1" w:styleId="a8">
    <w:name w:val="Текст сноски Знак"/>
    <w:link w:val="a7"/>
    <w:uiPriority w:val="99"/>
    <w:rsid w:val="000031B1"/>
    <w:rPr>
      <w:sz w:val="20"/>
      <w:szCs w:val="20"/>
    </w:rPr>
  </w:style>
  <w:style w:type="character" w:styleId="a9">
    <w:name w:val="footnote reference"/>
    <w:uiPriority w:val="99"/>
    <w:semiHidden/>
    <w:unhideWhenUsed/>
    <w:rsid w:val="000031B1"/>
    <w:rPr>
      <w:vertAlign w:val="superscript"/>
    </w:rPr>
  </w:style>
  <w:style w:type="paragraph" w:styleId="aa">
    <w:name w:val="header"/>
    <w:basedOn w:val="a1"/>
    <w:link w:val="ab"/>
    <w:uiPriority w:val="99"/>
    <w:unhideWhenUsed/>
    <w:rsid w:val="000031B1"/>
    <w:pPr>
      <w:tabs>
        <w:tab w:val="center" w:pos="4677"/>
        <w:tab w:val="right" w:pos="9355"/>
      </w:tabs>
    </w:pPr>
  </w:style>
  <w:style w:type="character" w:customStyle="1" w:styleId="ab">
    <w:name w:val="Верхний колонтитул Знак"/>
    <w:basedOn w:val="a2"/>
    <w:link w:val="aa"/>
    <w:uiPriority w:val="99"/>
    <w:rsid w:val="000031B1"/>
  </w:style>
  <w:style w:type="paragraph" w:styleId="ac">
    <w:name w:val="footer"/>
    <w:basedOn w:val="a1"/>
    <w:link w:val="ad"/>
    <w:uiPriority w:val="99"/>
    <w:unhideWhenUsed/>
    <w:rsid w:val="000031B1"/>
    <w:pPr>
      <w:tabs>
        <w:tab w:val="center" w:pos="4677"/>
        <w:tab w:val="right" w:pos="9355"/>
      </w:tabs>
    </w:pPr>
  </w:style>
  <w:style w:type="character" w:customStyle="1" w:styleId="ad">
    <w:name w:val="Нижний колонтитул Знак"/>
    <w:basedOn w:val="a2"/>
    <w:link w:val="ac"/>
    <w:uiPriority w:val="99"/>
    <w:rsid w:val="000031B1"/>
  </w:style>
  <w:style w:type="table" w:styleId="ae">
    <w:name w:val="Table Grid"/>
    <w:basedOn w:val="a3"/>
    <w:uiPriority w:val="39"/>
    <w:rsid w:val="00F566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1"/>
    <w:uiPriority w:val="34"/>
    <w:qFormat/>
    <w:rsid w:val="007F6A3D"/>
    <w:pPr>
      <w:ind w:left="720"/>
      <w:contextualSpacing/>
    </w:pPr>
  </w:style>
  <w:style w:type="character" w:styleId="af0">
    <w:name w:val="Hyperlink"/>
    <w:uiPriority w:val="99"/>
    <w:unhideWhenUsed/>
    <w:rsid w:val="00511F05"/>
    <w:rPr>
      <w:color w:val="0563C1"/>
      <w:u w:val="single"/>
    </w:rPr>
  </w:style>
  <w:style w:type="paragraph" w:styleId="af1">
    <w:name w:val="TOC Heading"/>
    <w:basedOn w:val="1"/>
    <w:next w:val="a1"/>
    <w:uiPriority w:val="39"/>
    <w:unhideWhenUsed/>
    <w:qFormat/>
    <w:rsid w:val="007F6A3D"/>
    <w:pPr>
      <w:outlineLvl w:val="9"/>
    </w:pPr>
    <w:rPr>
      <w:rFonts w:ascii="Cambria" w:hAnsi="Cambria"/>
    </w:rPr>
  </w:style>
  <w:style w:type="paragraph" w:styleId="11">
    <w:name w:val="toc 1"/>
    <w:basedOn w:val="a1"/>
    <w:next w:val="a1"/>
    <w:autoRedefine/>
    <w:uiPriority w:val="39"/>
    <w:unhideWhenUsed/>
    <w:rsid w:val="00864FA4"/>
    <w:pPr>
      <w:tabs>
        <w:tab w:val="right" w:leader="dot" w:pos="9639"/>
      </w:tabs>
      <w:spacing w:line="276" w:lineRule="auto"/>
    </w:pPr>
    <w:rPr>
      <w:rFonts w:cs="Calibri"/>
      <w:noProof/>
      <w:sz w:val="22"/>
      <w:szCs w:val="22"/>
      <w:lang w:val="en-US"/>
    </w:rPr>
  </w:style>
  <w:style w:type="paragraph" w:styleId="23">
    <w:name w:val="toc 2"/>
    <w:basedOn w:val="a1"/>
    <w:next w:val="a1"/>
    <w:autoRedefine/>
    <w:uiPriority w:val="39"/>
    <w:unhideWhenUsed/>
    <w:rsid w:val="00325FE6"/>
    <w:pPr>
      <w:tabs>
        <w:tab w:val="right" w:leader="dot" w:pos="9628"/>
      </w:tabs>
      <w:ind w:left="426"/>
      <w:jc w:val="both"/>
    </w:pPr>
  </w:style>
  <w:style w:type="paragraph" w:styleId="33">
    <w:name w:val="toc 3"/>
    <w:basedOn w:val="a1"/>
    <w:next w:val="a1"/>
    <w:autoRedefine/>
    <w:uiPriority w:val="39"/>
    <w:unhideWhenUsed/>
    <w:rsid w:val="004179C1"/>
    <w:pPr>
      <w:spacing w:after="100" w:line="276" w:lineRule="auto"/>
      <w:ind w:left="440"/>
    </w:pPr>
  </w:style>
  <w:style w:type="paragraph" w:styleId="af2">
    <w:name w:val="caption"/>
    <w:basedOn w:val="a1"/>
    <w:next w:val="a1"/>
    <w:uiPriority w:val="35"/>
    <w:unhideWhenUsed/>
    <w:qFormat/>
    <w:rsid w:val="007F6A3D"/>
    <w:pPr>
      <w:spacing w:after="200"/>
    </w:pPr>
    <w:rPr>
      <w:i/>
      <w:iCs/>
      <w:color w:val="44546A"/>
      <w:sz w:val="18"/>
      <w:szCs w:val="18"/>
    </w:rPr>
  </w:style>
  <w:style w:type="paragraph" w:styleId="af3">
    <w:name w:val="endnote text"/>
    <w:basedOn w:val="a1"/>
    <w:link w:val="af4"/>
    <w:uiPriority w:val="99"/>
    <w:semiHidden/>
    <w:unhideWhenUsed/>
    <w:rsid w:val="0028029B"/>
    <w:rPr>
      <w:sz w:val="20"/>
      <w:szCs w:val="20"/>
      <w:lang w:val="x-none" w:eastAsia="en-US"/>
    </w:rPr>
  </w:style>
  <w:style w:type="character" w:customStyle="1" w:styleId="af4">
    <w:name w:val="Текст концевой сноски Знак"/>
    <w:link w:val="af3"/>
    <w:uiPriority w:val="99"/>
    <w:semiHidden/>
    <w:rsid w:val="0028029B"/>
    <w:rPr>
      <w:lang w:eastAsia="en-US"/>
    </w:rPr>
  </w:style>
  <w:style w:type="paragraph" w:styleId="af5">
    <w:name w:val="Title"/>
    <w:basedOn w:val="a1"/>
    <w:next w:val="a1"/>
    <w:link w:val="af6"/>
    <w:uiPriority w:val="10"/>
    <w:qFormat/>
    <w:rsid w:val="007F6A3D"/>
    <w:pPr>
      <w:spacing w:before="240" w:after="60"/>
      <w:jc w:val="center"/>
      <w:outlineLvl w:val="0"/>
    </w:pPr>
    <w:rPr>
      <w:rFonts w:ascii="Cambria" w:hAnsi="Cambria"/>
      <w:b/>
      <w:bCs/>
      <w:kern w:val="28"/>
      <w:sz w:val="32"/>
      <w:szCs w:val="32"/>
      <w:lang w:val="x-none" w:eastAsia="x-none"/>
    </w:rPr>
  </w:style>
  <w:style w:type="character" w:customStyle="1" w:styleId="af6">
    <w:name w:val="Заголовок Знак"/>
    <w:link w:val="af5"/>
    <w:uiPriority w:val="10"/>
    <w:rsid w:val="007F6A3D"/>
    <w:rPr>
      <w:rFonts w:ascii="Cambria" w:eastAsia="Times New Roman" w:hAnsi="Cambria"/>
      <w:b/>
      <w:bCs/>
      <w:kern w:val="28"/>
      <w:sz w:val="32"/>
      <w:szCs w:val="32"/>
    </w:rPr>
  </w:style>
  <w:style w:type="paragraph" w:styleId="af7">
    <w:name w:val="Subtitle"/>
    <w:basedOn w:val="a1"/>
    <w:next w:val="a1"/>
    <w:link w:val="af8"/>
    <w:uiPriority w:val="11"/>
    <w:qFormat/>
    <w:rsid w:val="007F6A3D"/>
    <w:pPr>
      <w:spacing w:after="60"/>
      <w:jc w:val="center"/>
      <w:outlineLvl w:val="1"/>
    </w:pPr>
    <w:rPr>
      <w:rFonts w:ascii="Cambria" w:hAnsi="Cambria"/>
      <w:lang w:val="x-none" w:eastAsia="x-none"/>
    </w:rPr>
  </w:style>
  <w:style w:type="character" w:customStyle="1" w:styleId="af8">
    <w:name w:val="Подзаголовок Знак"/>
    <w:link w:val="af7"/>
    <w:uiPriority w:val="11"/>
    <w:rsid w:val="007F6A3D"/>
    <w:rPr>
      <w:rFonts w:ascii="Cambria" w:eastAsia="Times New Roman" w:hAnsi="Cambria"/>
      <w:sz w:val="24"/>
      <w:szCs w:val="24"/>
    </w:rPr>
  </w:style>
  <w:style w:type="character" w:styleId="af9">
    <w:name w:val="Strong"/>
    <w:uiPriority w:val="22"/>
    <w:qFormat/>
    <w:rsid w:val="007F6A3D"/>
    <w:rPr>
      <w:b/>
      <w:bCs/>
    </w:rPr>
  </w:style>
  <w:style w:type="character" w:styleId="afa">
    <w:name w:val="Emphasis"/>
    <w:uiPriority w:val="20"/>
    <w:qFormat/>
    <w:rsid w:val="007F6A3D"/>
    <w:rPr>
      <w:rFonts w:ascii="Calibri" w:hAnsi="Calibri"/>
      <w:b/>
      <w:i/>
      <w:iCs/>
    </w:rPr>
  </w:style>
  <w:style w:type="paragraph" w:styleId="afb">
    <w:name w:val="No Spacing"/>
    <w:basedOn w:val="a1"/>
    <w:uiPriority w:val="1"/>
    <w:qFormat/>
    <w:rsid w:val="007F6A3D"/>
    <w:rPr>
      <w:szCs w:val="32"/>
    </w:rPr>
  </w:style>
  <w:style w:type="paragraph" w:styleId="24">
    <w:name w:val="Quote"/>
    <w:basedOn w:val="a1"/>
    <w:next w:val="a1"/>
    <w:link w:val="25"/>
    <w:uiPriority w:val="29"/>
    <w:qFormat/>
    <w:rsid w:val="007F6A3D"/>
    <w:rPr>
      <w:i/>
      <w:lang w:val="x-none" w:eastAsia="x-none"/>
    </w:rPr>
  </w:style>
  <w:style w:type="character" w:customStyle="1" w:styleId="25">
    <w:name w:val="Цитата 2 Знак"/>
    <w:link w:val="24"/>
    <w:uiPriority w:val="29"/>
    <w:rsid w:val="007F6A3D"/>
    <w:rPr>
      <w:i/>
      <w:sz w:val="24"/>
      <w:szCs w:val="24"/>
    </w:rPr>
  </w:style>
  <w:style w:type="paragraph" w:styleId="afc">
    <w:name w:val="Intense Quote"/>
    <w:basedOn w:val="a1"/>
    <w:next w:val="a1"/>
    <w:link w:val="afd"/>
    <w:uiPriority w:val="30"/>
    <w:qFormat/>
    <w:rsid w:val="007F6A3D"/>
    <w:pPr>
      <w:ind w:left="720" w:right="720"/>
    </w:pPr>
    <w:rPr>
      <w:b/>
      <w:i/>
      <w:szCs w:val="20"/>
      <w:lang w:val="x-none" w:eastAsia="x-none"/>
    </w:rPr>
  </w:style>
  <w:style w:type="character" w:customStyle="1" w:styleId="afd">
    <w:name w:val="Выделенная цитата Знак"/>
    <w:link w:val="afc"/>
    <w:uiPriority w:val="30"/>
    <w:rsid w:val="007F6A3D"/>
    <w:rPr>
      <w:b/>
      <w:i/>
      <w:sz w:val="24"/>
    </w:rPr>
  </w:style>
  <w:style w:type="character" w:styleId="afe">
    <w:name w:val="Subtle Emphasis"/>
    <w:uiPriority w:val="19"/>
    <w:qFormat/>
    <w:rsid w:val="007F6A3D"/>
    <w:rPr>
      <w:i/>
      <w:color w:val="5A5A5A"/>
    </w:rPr>
  </w:style>
  <w:style w:type="character" w:styleId="aff">
    <w:name w:val="Intense Emphasis"/>
    <w:uiPriority w:val="21"/>
    <w:qFormat/>
    <w:rsid w:val="007F6A3D"/>
    <w:rPr>
      <w:b/>
      <w:i/>
      <w:sz w:val="24"/>
      <w:szCs w:val="24"/>
      <w:u w:val="single"/>
    </w:rPr>
  </w:style>
  <w:style w:type="character" w:styleId="aff0">
    <w:name w:val="Subtle Reference"/>
    <w:uiPriority w:val="31"/>
    <w:qFormat/>
    <w:rsid w:val="007F6A3D"/>
    <w:rPr>
      <w:sz w:val="24"/>
      <w:szCs w:val="24"/>
      <w:u w:val="single"/>
    </w:rPr>
  </w:style>
  <w:style w:type="character" w:styleId="aff1">
    <w:name w:val="Intense Reference"/>
    <w:uiPriority w:val="32"/>
    <w:qFormat/>
    <w:rsid w:val="007F6A3D"/>
    <w:rPr>
      <w:b/>
      <w:sz w:val="24"/>
      <w:u w:val="single"/>
    </w:rPr>
  </w:style>
  <w:style w:type="character" w:styleId="aff2">
    <w:name w:val="Book Title"/>
    <w:uiPriority w:val="33"/>
    <w:qFormat/>
    <w:rsid w:val="007F6A3D"/>
    <w:rPr>
      <w:rFonts w:ascii="Cambria" w:eastAsia="Times New Roman" w:hAnsi="Cambria"/>
      <w:b/>
      <w:i/>
      <w:sz w:val="24"/>
      <w:szCs w:val="24"/>
    </w:rPr>
  </w:style>
  <w:style w:type="character" w:styleId="aff3">
    <w:name w:val="annotation reference"/>
    <w:uiPriority w:val="99"/>
    <w:semiHidden/>
    <w:unhideWhenUsed/>
    <w:rsid w:val="009569CC"/>
    <w:rPr>
      <w:sz w:val="16"/>
      <w:szCs w:val="16"/>
    </w:rPr>
  </w:style>
  <w:style w:type="paragraph" w:styleId="aff4">
    <w:name w:val="annotation text"/>
    <w:basedOn w:val="a1"/>
    <w:link w:val="aff5"/>
    <w:uiPriority w:val="99"/>
    <w:semiHidden/>
    <w:unhideWhenUsed/>
    <w:rsid w:val="009569CC"/>
    <w:rPr>
      <w:sz w:val="20"/>
      <w:szCs w:val="20"/>
    </w:rPr>
  </w:style>
  <w:style w:type="character" w:customStyle="1" w:styleId="aff5">
    <w:name w:val="Текст примечания Знак"/>
    <w:basedOn w:val="a2"/>
    <w:link w:val="aff4"/>
    <w:uiPriority w:val="99"/>
    <w:semiHidden/>
    <w:rsid w:val="009569CC"/>
  </w:style>
  <w:style w:type="paragraph" w:styleId="aff6">
    <w:name w:val="annotation subject"/>
    <w:basedOn w:val="aff4"/>
    <w:next w:val="aff4"/>
    <w:link w:val="aff7"/>
    <w:uiPriority w:val="99"/>
    <w:semiHidden/>
    <w:unhideWhenUsed/>
    <w:rsid w:val="009569CC"/>
    <w:rPr>
      <w:b/>
      <w:bCs/>
    </w:rPr>
  </w:style>
  <w:style w:type="character" w:customStyle="1" w:styleId="aff7">
    <w:name w:val="Тема примечания Знак"/>
    <w:link w:val="aff6"/>
    <w:uiPriority w:val="99"/>
    <w:semiHidden/>
    <w:rsid w:val="009569CC"/>
    <w:rPr>
      <w:b/>
      <w:bCs/>
    </w:rPr>
  </w:style>
  <w:style w:type="character" w:customStyle="1" w:styleId="apple-converted-space">
    <w:name w:val="apple-converted-space"/>
    <w:basedOn w:val="a2"/>
    <w:rsid w:val="006F0FAC"/>
  </w:style>
  <w:style w:type="paragraph" w:styleId="aff8">
    <w:name w:val="Normal (Web)"/>
    <w:basedOn w:val="a1"/>
    <w:uiPriority w:val="99"/>
    <w:unhideWhenUsed/>
    <w:rsid w:val="00A302C0"/>
    <w:pPr>
      <w:spacing w:before="100" w:beforeAutospacing="1" w:after="100" w:afterAutospacing="1"/>
    </w:pPr>
    <w:rPr>
      <w:rFonts w:ascii="Times New Roman" w:hAnsi="Times New Roman"/>
    </w:rPr>
  </w:style>
  <w:style w:type="table" w:styleId="-41">
    <w:name w:val="List Table 4 Accent 1"/>
    <w:basedOn w:val="a3"/>
    <w:uiPriority w:val="49"/>
    <w:rsid w:val="009304D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Default">
    <w:name w:val="Default"/>
    <w:rsid w:val="0045440F"/>
    <w:pPr>
      <w:autoSpaceDE w:val="0"/>
      <w:autoSpaceDN w:val="0"/>
      <w:adjustRightInd w:val="0"/>
    </w:pPr>
    <w:rPr>
      <w:rFonts w:cs="Calibri"/>
      <w:color w:val="000000"/>
      <w:sz w:val="24"/>
      <w:szCs w:val="24"/>
    </w:rPr>
  </w:style>
  <w:style w:type="table" w:styleId="-35">
    <w:name w:val="List Table 3 Accent 5"/>
    <w:basedOn w:val="a3"/>
    <w:uiPriority w:val="48"/>
    <w:rsid w:val="00C87CBC"/>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styleId="aff9">
    <w:name w:val="FollowedHyperlink"/>
    <w:uiPriority w:val="99"/>
    <w:semiHidden/>
    <w:unhideWhenUsed/>
    <w:rsid w:val="004A50A8"/>
    <w:rPr>
      <w:color w:val="954F72"/>
      <w:u w:val="single"/>
    </w:rPr>
  </w:style>
  <w:style w:type="paragraph" w:customStyle="1" w:styleId="msonormal0">
    <w:name w:val="msonormal"/>
    <w:basedOn w:val="a1"/>
    <w:rsid w:val="004A50A8"/>
    <w:pPr>
      <w:spacing w:before="100" w:beforeAutospacing="1" w:after="100" w:afterAutospacing="1"/>
    </w:pPr>
    <w:rPr>
      <w:rFonts w:ascii="Times New Roman" w:hAnsi="Times New Roman"/>
    </w:rPr>
  </w:style>
  <w:style w:type="paragraph" w:customStyle="1" w:styleId="font5">
    <w:name w:val="font5"/>
    <w:basedOn w:val="a1"/>
    <w:rsid w:val="004A50A8"/>
    <w:pPr>
      <w:spacing w:before="100" w:beforeAutospacing="1" w:after="100" w:afterAutospacing="1"/>
    </w:pPr>
    <w:rPr>
      <w:rFonts w:ascii="Tahoma" w:hAnsi="Tahoma" w:cs="Tahoma"/>
      <w:b/>
      <w:bCs/>
      <w:color w:val="000000"/>
      <w:sz w:val="18"/>
      <w:szCs w:val="18"/>
    </w:rPr>
  </w:style>
  <w:style w:type="paragraph" w:customStyle="1" w:styleId="xl63">
    <w:name w:val="xl63"/>
    <w:basedOn w:val="a1"/>
    <w:rsid w:val="004A50A8"/>
    <w:pPr>
      <w:spacing w:before="100" w:beforeAutospacing="1" w:after="100" w:afterAutospacing="1"/>
      <w:jc w:val="center"/>
    </w:pPr>
    <w:rPr>
      <w:rFonts w:ascii="Times New Roman" w:hAnsi="Times New Roman"/>
    </w:rPr>
  </w:style>
  <w:style w:type="paragraph" w:customStyle="1" w:styleId="xl66">
    <w:name w:val="xl66"/>
    <w:basedOn w:val="a1"/>
    <w:rsid w:val="004A5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67">
    <w:name w:val="xl67"/>
    <w:basedOn w:val="a1"/>
    <w:rsid w:val="004A5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68">
    <w:name w:val="xl68"/>
    <w:basedOn w:val="a1"/>
    <w:rsid w:val="004A50A8"/>
    <w:pPr>
      <w:spacing w:before="100" w:beforeAutospacing="1" w:after="100" w:afterAutospacing="1"/>
    </w:pPr>
    <w:rPr>
      <w:rFonts w:ascii="Times New Roman" w:hAnsi="Times New Roman"/>
      <w:b/>
      <w:bCs/>
    </w:rPr>
  </w:style>
  <w:style w:type="paragraph" w:customStyle="1" w:styleId="xl69">
    <w:name w:val="xl69"/>
    <w:basedOn w:val="a1"/>
    <w:rsid w:val="004A5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0">
    <w:name w:val="xl70"/>
    <w:basedOn w:val="a1"/>
    <w:rsid w:val="004A5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i/>
      <w:iCs/>
    </w:rPr>
  </w:style>
  <w:style w:type="paragraph" w:customStyle="1" w:styleId="xl71">
    <w:name w:val="xl71"/>
    <w:basedOn w:val="a1"/>
    <w:rsid w:val="004A5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a1"/>
    <w:rsid w:val="004A5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3">
    <w:name w:val="xl73"/>
    <w:basedOn w:val="a1"/>
    <w:rsid w:val="004A50A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Times New Roman" w:hAnsi="Times New Roman"/>
      <w:i/>
      <w:iCs/>
    </w:rPr>
  </w:style>
  <w:style w:type="paragraph" w:customStyle="1" w:styleId="xl74">
    <w:name w:val="xl74"/>
    <w:basedOn w:val="a1"/>
    <w:rsid w:val="004A50A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rFonts w:ascii="Times New Roman" w:hAnsi="Times New Roman"/>
      <w:b/>
      <w:bCs/>
    </w:rPr>
  </w:style>
  <w:style w:type="paragraph" w:customStyle="1" w:styleId="xl75">
    <w:name w:val="xl75"/>
    <w:basedOn w:val="a1"/>
    <w:rsid w:val="004A50A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Times New Roman" w:hAnsi="Times New Roman"/>
      <w:i/>
      <w:iCs/>
    </w:rPr>
  </w:style>
  <w:style w:type="paragraph" w:customStyle="1" w:styleId="xl76">
    <w:name w:val="xl76"/>
    <w:basedOn w:val="a1"/>
    <w:rsid w:val="004A50A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rFonts w:ascii="Times New Roman" w:hAnsi="Times New Roman"/>
      <w:b/>
      <w:bCs/>
    </w:rPr>
  </w:style>
  <w:style w:type="paragraph" w:customStyle="1" w:styleId="xl77">
    <w:name w:val="xl77"/>
    <w:basedOn w:val="a1"/>
    <w:rsid w:val="004A50A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Times New Roman" w:hAnsi="Times New Roman"/>
      <w:b/>
      <w:bCs/>
    </w:rPr>
  </w:style>
  <w:style w:type="paragraph" w:customStyle="1" w:styleId="xl78">
    <w:name w:val="xl78"/>
    <w:basedOn w:val="a1"/>
    <w:rsid w:val="004A50A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rFonts w:ascii="Times New Roman" w:hAnsi="Times New Roman"/>
      <w:b/>
      <w:bCs/>
    </w:rPr>
  </w:style>
  <w:style w:type="paragraph" w:customStyle="1" w:styleId="xl79">
    <w:name w:val="xl79"/>
    <w:basedOn w:val="a1"/>
    <w:rsid w:val="004A50A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Times New Roman" w:hAnsi="Times New Roman"/>
      <w:b/>
      <w:bCs/>
    </w:rPr>
  </w:style>
  <w:style w:type="paragraph" w:customStyle="1" w:styleId="xl80">
    <w:name w:val="xl80"/>
    <w:basedOn w:val="a1"/>
    <w:rsid w:val="004A5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2">
    <w:name w:val="xl82"/>
    <w:basedOn w:val="a1"/>
    <w:rsid w:val="004A50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83">
    <w:name w:val="xl83"/>
    <w:basedOn w:val="a1"/>
    <w:rsid w:val="004A50A8"/>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84">
    <w:name w:val="xl84"/>
    <w:basedOn w:val="a1"/>
    <w:rsid w:val="004A50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85">
    <w:name w:val="xl85"/>
    <w:basedOn w:val="a1"/>
    <w:rsid w:val="004A50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86">
    <w:name w:val="xl86"/>
    <w:basedOn w:val="a1"/>
    <w:rsid w:val="004A50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65">
    <w:name w:val="xl65"/>
    <w:basedOn w:val="a1"/>
    <w:rsid w:val="004A5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rPr>
  </w:style>
  <w:style w:type="paragraph" w:customStyle="1" w:styleId="xl81">
    <w:name w:val="xl81"/>
    <w:basedOn w:val="a1"/>
    <w:rsid w:val="004A5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7">
    <w:name w:val="xl87"/>
    <w:basedOn w:val="a1"/>
    <w:rsid w:val="004A50A8"/>
    <w:pPr>
      <w:pBdr>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Times New Roman" w:hAnsi="Times New Roman"/>
    </w:rPr>
  </w:style>
  <w:style w:type="paragraph" w:customStyle="1" w:styleId="xl88">
    <w:name w:val="xl88"/>
    <w:basedOn w:val="a1"/>
    <w:rsid w:val="004A5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9">
    <w:name w:val="xl89"/>
    <w:basedOn w:val="a1"/>
    <w:rsid w:val="004A5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90">
    <w:name w:val="xl90"/>
    <w:basedOn w:val="a1"/>
    <w:rsid w:val="004A50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rPr>
  </w:style>
  <w:style w:type="paragraph" w:customStyle="1" w:styleId="xl91">
    <w:name w:val="xl91"/>
    <w:basedOn w:val="a1"/>
    <w:rsid w:val="004A50A8"/>
    <w:pPr>
      <w:pBdr>
        <w:top w:val="single" w:sz="4" w:space="0" w:color="auto"/>
        <w:bottom w:val="single" w:sz="4" w:space="0" w:color="auto"/>
      </w:pBdr>
      <w:spacing w:before="100" w:beforeAutospacing="1" w:after="100" w:afterAutospacing="1"/>
      <w:jc w:val="center"/>
      <w:textAlignment w:val="center"/>
    </w:pPr>
    <w:rPr>
      <w:rFonts w:ascii="Times New Roman" w:hAnsi="Times New Roman"/>
    </w:rPr>
  </w:style>
  <w:style w:type="paragraph" w:customStyle="1" w:styleId="xl92">
    <w:name w:val="xl92"/>
    <w:basedOn w:val="a1"/>
    <w:rsid w:val="004A50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table" w:styleId="-31">
    <w:name w:val="List Table 3 Accent 1"/>
    <w:basedOn w:val="a3"/>
    <w:uiPriority w:val="48"/>
    <w:rsid w:val="004A50A8"/>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93">
    <w:name w:val="xl93"/>
    <w:basedOn w:val="a1"/>
    <w:rsid w:val="004A50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character" w:customStyle="1" w:styleId="HTML">
    <w:name w:val="Адрес HTML Знак"/>
    <w:basedOn w:val="a2"/>
    <w:link w:val="HTML0"/>
    <w:uiPriority w:val="99"/>
    <w:semiHidden/>
    <w:rsid w:val="008E4653"/>
    <w:rPr>
      <w:i/>
      <w:iCs/>
      <w:sz w:val="24"/>
      <w:szCs w:val="24"/>
    </w:rPr>
  </w:style>
  <w:style w:type="paragraph" w:styleId="HTML0">
    <w:name w:val="HTML Address"/>
    <w:basedOn w:val="a1"/>
    <w:link w:val="HTML"/>
    <w:uiPriority w:val="99"/>
    <w:semiHidden/>
    <w:unhideWhenUsed/>
    <w:rsid w:val="008E4653"/>
    <w:rPr>
      <w:i/>
      <w:iCs/>
    </w:rPr>
  </w:style>
  <w:style w:type="character" w:customStyle="1" w:styleId="HTML1">
    <w:name w:val="Стандартный HTML Знак"/>
    <w:basedOn w:val="a2"/>
    <w:link w:val="HTML2"/>
    <w:uiPriority w:val="99"/>
    <w:semiHidden/>
    <w:rsid w:val="008E4653"/>
    <w:rPr>
      <w:rFonts w:ascii="Consolas" w:hAnsi="Consolas"/>
    </w:rPr>
  </w:style>
  <w:style w:type="paragraph" w:styleId="HTML2">
    <w:name w:val="HTML Preformatted"/>
    <w:basedOn w:val="a1"/>
    <w:link w:val="HTML1"/>
    <w:uiPriority w:val="99"/>
    <w:semiHidden/>
    <w:unhideWhenUsed/>
    <w:rsid w:val="008E4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affa">
    <w:name w:val="Текст макроса Знак"/>
    <w:basedOn w:val="a2"/>
    <w:link w:val="affb"/>
    <w:uiPriority w:val="99"/>
    <w:semiHidden/>
    <w:rsid w:val="008E4653"/>
    <w:rPr>
      <w:rFonts w:ascii="Consolas" w:hAnsi="Consolas"/>
    </w:rPr>
  </w:style>
  <w:style w:type="paragraph" w:styleId="affb">
    <w:name w:val="macro"/>
    <w:link w:val="affa"/>
    <w:uiPriority w:val="99"/>
    <w:semiHidden/>
    <w:unhideWhenUsed/>
    <w:rsid w:val="008E465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paragraph" w:styleId="a0">
    <w:name w:val="List Bullet"/>
    <w:basedOn w:val="a1"/>
    <w:uiPriority w:val="99"/>
    <w:semiHidden/>
    <w:unhideWhenUsed/>
    <w:rsid w:val="008E4653"/>
    <w:pPr>
      <w:numPr>
        <w:numId w:val="3"/>
      </w:numPr>
      <w:contextualSpacing/>
    </w:pPr>
  </w:style>
  <w:style w:type="paragraph" w:styleId="a">
    <w:name w:val="List Number"/>
    <w:basedOn w:val="a1"/>
    <w:uiPriority w:val="99"/>
    <w:semiHidden/>
    <w:unhideWhenUsed/>
    <w:rsid w:val="008E4653"/>
    <w:pPr>
      <w:numPr>
        <w:numId w:val="4"/>
      </w:numPr>
      <w:contextualSpacing/>
    </w:pPr>
  </w:style>
  <w:style w:type="paragraph" w:styleId="20">
    <w:name w:val="List Bullet 2"/>
    <w:basedOn w:val="a1"/>
    <w:uiPriority w:val="99"/>
    <w:semiHidden/>
    <w:unhideWhenUsed/>
    <w:rsid w:val="008E4653"/>
    <w:pPr>
      <w:numPr>
        <w:numId w:val="5"/>
      </w:numPr>
      <w:contextualSpacing/>
    </w:pPr>
  </w:style>
  <w:style w:type="paragraph" w:styleId="30">
    <w:name w:val="List Bullet 3"/>
    <w:basedOn w:val="a1"/>
    <w:uiPriority w:val="99"/>
    <w:semiHidden/>
    <w:unhideWhenUsed/>
    <w:rsid w:val="008E4653"/>
    <w:pPr>
      <w:numPr>
        <w:numId w:val="6"/>
      </w:numPr>
      <w:contextualSpacing/>
    </w:pPr>
  </w:style>
  <w:style w:type="paragraph" w:styleId="40">
    <w:name w:val="List Bullet 4"/>
    <w:basedOn w:val="a1"/>
    <w:uiPriority w:val="99"/>
    <w:semiHidden/>
    <w:unhideWhenUsed/>
    <w:rsid w:val="008E4653"/>
    <w:pPr>
      <w:numPr>
        <w:numId w:val="7"/>
      </w:numPr>
      <w:contextualSpacing/>
    </w:pPr>
  </w:style>
  <w:style w:type="paragraph" w:styleId="50">
    <w:name w:val="List Bullet 5"/>
    <w:basedOn w:val="a1"/>
    <w:uiPriority w:val="99"/>
    <w:semiHidden/>
    <w:unhideWhenUsed/>
    <w:rsid w:val="008E4653"/>
    <w:pPr>
      <w:numPr>
        <w:numId w:val="8"/>
      </w:numPr>
      <w:contextualSpacing/>
    </w:pPr>
  </w:style>
  <w:style w:type="paragraph" w:styleId="2">
    <w:name w:val="List Number 2"/>
    <w:basedOn w:val="a1"/>
    <w:uiPriority w:val="99"/>
    <w:semiHidden/>
    <w:unhideWhenUsed/>
    <w:rsid w:val="008E4653"/>
    <w:pPr>
      <w:numPr>
        <w:numId w:val="9"/>
      </w:numPr>
      <w:contextualSpacing/>
    </w:pPr>
  </w:style>
  <w:style w:type="paragraph" w:styleId="3">
    <w:name w:val="List Number 3"/>
    <w:basedOn w:val="a1"/>
    <w:uiPriority w:val="99"/>
    <w:semiHidden/>
    <w:unhideWhenUsed/>
    <w:rsid w:val="008E4653"/>
    <w:pPr>
      <w:numPr>
        <w:numId w:val="10"/>
      </w:numPr>
      <w:contextualSpacing/>
    </w:pPr>
  </w:style>
  <w:style w:type="paragraph" w:styleId="4">
    <w:name w:val="List Number 4"/>
    <w:basedOn w:val="a1"/>
    <w:uiPriority w:val="99"/>
    <w:semiHidden/>
    <w:unhideWhenUsed/>
    <w:rsid w:val="008E4653"/>
    <w:pPr>
      <w:numPr>
        <w:numId w:val="11"/>
      </w:numPr>
      <w:contextualSpacing/>
    </w:pPr>
  </w:style>
  <w:style w:type="paragraph" w:styleId="5">
    <w:name w:val="List Number 5"/>
    <w:basedOn w:val="a1"/>
    <w:uiPriority w:val="99"/>
    <w:semiHidden/>
    <w:unhideWhenUsed/>
    <w:rsid w:val="008E4653"/>
    <w:pPr>
      <w:numPr>
        <w:numId w:val="12"/>
      </w:numPr>
      <w:contextualSpacing/>
    </w:pPr>
  </w:style>
  <w:style w:type="character" w:customStyle="1" w:styleId="affc">
    <w:name w:val="Прощание Знак"/>
    <w:basedOn w:val="a2"/>
    <w:link w:val="affd"/>
    <w:uiPriority w:val="99"/>
    <w:semiHidden/>
    <w:rsid w:val="008E4653"/>
    <w:rPr>
      <w:sz w:val="24"/>
      <w:szCs w:val="24"/>
    </w:rPr>
  </w:style>
  <w:style w:type="paragraph" w:styleId="affd">
    <w:name w:val="Closing"/>
    <w:basedOn w:val="a1"/>
    <w:link w:val="affc"/>
    <w:uiPriority w:val="99"/>
    <w:semiHidden/>
    <w:unhideWhenUsed/>
    <w:rsid w:val="008E4653"/>
    <w:pPr>
      <w:ind w:left="4252"/>
    </w:pPr>
  </w:style>
  <w:style w:type="character" w:customStyle="1" w:styleId="affe">
    <w:name w:val="Подпись Знак"/>
    <w:basedOn w:val="a2"/>
    <w:link w:val="afff"/>
    <w:uiPriority w:val="99"/>
    <w:semiHidden/>
    <w:rsid w:val="008E4653"/>
    <w:rPr>
      <w:sz w:val="24"/>
      <w:szCs w:val="24"/>
    </w:rPr>
  </w:style>
  <w:style w:type="paragraph" w:styleId="afff">
    <w:name w:val="Signature"/>
    <w:basedOn w:val="a1"/>
    <w:link w:val="affe"/>
    <w:uiPriority w:val="99"/>
    <w:semiHidden/>
    <w:unhideWhenUsed/>
    <w:rsid w:val="008E4653"/>
    <w:pPr>
      <w:ind w:left="4252"/>
    </w:pPr>
  </w:style>
  <w:style w:type="character" w:customStyle="1" w:styleId="afff0">
    <w:name w:val="Основной текст Знак"/>
    <w:basedOn w:val="a2"/>
    <w:link w:val="afff1"/>
    <w:uiPriority w:val="99"/>
    <w:semiHidden/>
    <w:rsid w:val="008E4653"/>
    <w:rPr>
      <w:sz w:val="24"/>
      <w:szCs w:val="24"/>
    </w:rPr>
  </w:style>
  <w:style w:type="paragraph" w:styleId="afff1">
    <w:name w:val="Body Text"/>
    <w:basedOn w:val="a1"/>
    <w:link w:val="afff0"/>
    <w:uiPriority w:val="99"/>
    <w:semiHidden/>
    <w:unhideWhenUsed/>
    <w:rsid w:val="008E4653"/>
    <w:pPr>
      <w:spacing w:after="120"/>
    </w:pPr>
  </w:style>
  <w:style w:type="character" w:customStyle="1" w:styleId="afff2">
    <w:name w:val="Основной текст с отступом Знак"/>
    <w:basedOn w:val="a2"/>
    <w:link w:val="afff3"/>
    <w:uiPriority w:val="99"/>
    <w:semiHidden/>
    <w:rsid w:val="008E4653"/>
    <w:rPr>
      <w:sz w:val="24"/>
      <w:szCs w:val="24"/>
    </w:rPr>
  </w:style>
  <w:style w:type="paragraph" w:styleId="afff3">
    <w:name w:val="Body Text Indent"/>
    <w:basedOn w:val="a1"/>
    <w:link w:val="afff2"/>
    <w:uiPriority w:val="99"/>
    <w:semiHidden/>
    <w:unhideWhenUsed/>
    <w:rsid w:val="008E4653"/>
    <w:pPr>
      <w:spacing w:after="120"/>
      <w:ind w:left="283"/>
    </w:pPr>
  </w:style>
  <w:style w:type="character" w:customStyle="1" w:styleId="afff4">
    <w:name w:val="Шапка Знак"/>
    <w:basedOn w:val="a2"/>
    <w:link w:val="afff5"/>
    <w:uiPriority w:val="99"/>
    <w:semiHidden/>
    <w:rsid w:val="008E4653"/>
    <w:rPr>
      <w:rFonts w:asciiTheme="majorHAnsi" w:eastAsiaTheme="majorEastAsia" w:hAnsiTheme="majorHAnsi" w:cstheme="majorBidi"/>
      <w:sz w:val="24"/>
      <w:szCs w:val="24"/>
      <w:shd w:val="pct20" w:color="auto" w:fill="auto"/>
    </w:rPr>
  </w:style>
  <w:style w:type="paragraph" w:styleId="afff5">
    <w:name w:val="Message Header"/>
    <w:basedOn w:val="a1"/>
    <w:link w:val="afff4"/>
    <w:uiPriority w:val="99"/>
    <w:semiHidden/>
    <w:unhideWhenUsed/>
    <w:rsid w:val="008E465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6">
    <w:name w:val="Приветствие Знак"/>
    <w:basedOn w:val="a2"/>
    <w:link w:val="afff7"/>
    <w:uiPriority w:val="99"/>
    <w:semiHidden/>
    <w:rsid w:val="008E4653"/>
    <w:rPr>
      <w:sz w:val="24"/>
      <w:szCs w:val="24"/>
    </w:rPr>
  </w:style>
  <w:style w:type="paragraph" w:styleId="afff7">
    <w:name w:val="Salutation"/>
    <w:basedOn w:val="a1"/>
    <w:next w:val="a1"/>
    <w:link w:val="afff6"/>
    <w:uiPriority w:val="99"/>
    <w:semiHidden/>
    <w:unhideWhenUsed/>
    <w:rsid w:val="008E4653"/>
  </w:style>
  <w:style w:type="character" w:customStyle="1" w:styleId="afff8">
    <w:name w:val="Дата Знак"/>
    <w:basedOn w:val="a2"/>
    <w:link w:val="afff9"/>
    <w:uiPriority w:val="99"/>
    <w:semiHidden/>
    <w:rsid w:val="008E4653"/>
    <w:rPr>
      <w:sz w:val="24"/>
      <w:szCs w:val="24"/>
    </w:rPr>
  </w:style>
  <w:style w:type="paragraph" w:styleId="afff9">
    <w:name w:val="Date"/>
    <w:basedOn w:val="a1"/>
    <w:next w:val="a1"/>
    <w:link w:val="afff8"/>
    <w:uiPriority w:val="99"/>
    <w:semiHidden/>
    <w:unhideWhenUsed/>
    <w:rsid w:val="008E4653"/>
  </w:style>
  <w:style w:type="character" w:customStyle="1" w:styleId="afffa">
    <w:name w:val="Красная строка Знак"/>
    <w:basedOn w:val="afff0"/>
    <w:link w:val="afffb"/>
    <w:uiPriority w:val="99"/>
    <w:semiHidden/>
    <w:rsid w:val="008E4653"/>
    <w:rPr>
      <w:sz w:val="24"/>
      <w:szCs w:val="24"/>
    </w:rPr>
  </w:style>
  <w:style w:type="paragraph" w:styleId="afffb">
    <w:name w:val="Body Text First Indent"/>
    <w:basedOn w:val="afff1"/>
    <w:link w:val="afffa"/>
    <w:uiPriority w:val="99"/>
    <w:semiHidden/>
    <w:unhideWhenUsed/>
    <w:rsid w:val="008E4653"/>
    <w:pPr>
      <w:spacing w:after="0"/>
      <w:ind w:firstLine="360"/>
    </w:pPr>
  </w:style>
  <w:style w:type="character" w:customStyle="1" w:styleId="26">
    <w:name w:val="Красная строка 2 Знак"/>
    <w:basedOn w:val="afff2"/>
    <w:link w:val="27"/>
    <w:uiPriority w:val="99"/>
    <w:semiHidden/>
    <w:rsid w:val="008E4653"/>
    <w:rPr>
      <w:sz w:val="24"/>
      <w:szCs w:val="24"/>
    </w:rPr>
  </w:style>
  <w:style w:type="paragraph" w:styleId="27">
    <w:name w:val="Body Text First Indent 2"/>
    <w:basedOn w:val="afff3"/>
    <w:link w:val="26"/>
    <w:uiPriority w:val="99"/>
    <w:semiHidden/>
    <w:unhideWhenUsed/>
    <w:rsid w:val="008E4653"/>
    <w:pPr>
      <w:spacing w:after="0"/>
      <w:ind w:left="360" w:firstLine="360"/>
    </w:pPr>
  </w:style>
  <w:style w:type="character" w:customStyle="1" w:styleId="afffc">
    <w:name w:val="Заголовок записки Знак"/>
    <w:basedOn w:val="a2"/>
    <w:link w:val="afffd"/>
    <w:uiPriority w:val="99"/>
    <w:semiHidden/>
    <w:rsid w:val="008E4653"/>
    <w:rPr>
      <w:sz w:val="24"/>
      <w:szCs w:val="24"/>
    </w:rPr>
  </w:style>
  <w:style w:type="paragraph" w:styleId="afffd">
    <w:name w:val="Note Heading"/>
    <w:basedOn w:val="a1"/>
    <w:next w:val="a1"/>
    <w:link w:val="afffc"/>
    <w:uiPriority w:val="99"/>
    <w:semiHidden/>
    <w:unhideWhenUsed/>
    <w:rsid w:val="008E4653"/>
  </w:style>
  <w:style w:type="character" w:customStyle="1" w:styleId="28">
    <w:name w:val="Основной текст 2 Знак"/>
    <w:basedOn w:val="a2"/>
    <w:link w:val="29"/>
    <w:uiPriority w:val="99"/>
    <w:semiHidden/>
    <w:rsid w:val="008E4653"/>
    <w:rPr>
      <w:sz w:val="24"/>
      <w:szCs w:val="24"/>
    </w:rPr>
  </w:style>
  <w:style w:type="paragraph" w:styleId="29">
    <w:name w:val="Body Text 2"/>
    <w:basedOn w:val="a1"/>
    <w:link w:val="28"/>
    <w:uiPriority w:val="99"/>
    <w:semiHidden/>
    <w:unhideWhenUsed/>
    <w:rsid w:val="008E4653"/>
    <w:pPr>
      <w:spacing w:after="120" w:line="480" w:lineRule="auto"/>
    </w:pPr>
  </w:style>
  <w:style w:type="character" w:customStyle="1" w:styleId="34">
    <w:name w:val="Основной текст 3 Знак"/>
    <w:basedOn w:val="a2"/>
    <w:link w:val="35"/>
    <w:uiPriority w:val="99"/>
    <w:semiHidden/>
    <w:rsid w:val="008E4653"/>
    <w:rPr>
      <w:sz w:val="16"/>
      <w:szCs w:val="16"/>
    </w:rPr>
  </w:style>
  <w:style w:type="paragraph" w:styleId="35">
    <w:name w:val="Body Text 3"/>
    <w:basedOn w:val="a1"/>
    <w:link w:val="34"/>
    <w:uiPriority w:val="99"/>
    <w:semiHidden/>
    <w:unhideWhenUsed/>
    <w:rsid w:val="008E4653"/>
    <w:pPr>
      <w:spacing w:after="120"/>
    </w:pPr>
    <w:rPr>
      <w:sz w:val="16"/>
      <w:szCs w:val="16"/>
    </w:rPr>
  </w:style>
  <w:style w:type="character" w:customStyle="1" w:styleId="2a">
    <w:name w:val="Основной текст с отступом 2 Знак"/>
    <w:basedOn w:val="a2"/>
    <w:link w:val="2b"/>
    <w:uiPriority w:val="99"/>
    <w:semiHidden/>
    <w:rsid w:val="008E4653"/>
    <w:rPr>
      <w:sz w:val="24"/>
      <w:szCs w:val="24"/>
    </w:rPr>
  </w:style>
  <w:style w:type="paragraph" w:styleId="2b">
    <w:name w:val="Body Text Indent 2"/>
    <w:basedOn w:val="a1"/>
    <w:link w:val="2a"/>
    <w:uiPriority w:val="99"/>
    <w:semiHidden/>
    <w:unhideWhenUsed/>
    <w:rsid w:val="008E4653"/>
    <w:pPr>
      <w:spacing w:after="120" w:line="480" w:lineRule="auto"/>
      <w:ind w:left="283"/>
    </w:pPr>
  </w:style>
  <w:style w:type="character" w:customStyle="1" w:styleId="36">
    <w:name w:val="Основной текст с отступом 3 Знак"/>
    <w:basedOn w:val="a2"/>
    <w:link w:val="37"/>
    <w:uiPriority w:val="99"/>
    <w:semiHidden/>
    <w:rsid w:val="008E4653"/>
    <w:rPr>
      <w:sz w:val="16"/>
      <w:szCs w:val="16"/>
    </w:rPr>
  </w:style>
  <w:style w:type="paragraph" w:styleId="37">
    <w:name w:val="Body Text Indent 3"/>
    <w:basedOn w:val="a1"/>
    <w:link w:val="36"/>
    <w:uiPriority w:val="99"/>
    <w:semiHidden/>
    <w:unhideWhenUsed/>
    <w:rsid w:val="008E4653"/>
    <w:pPr>
      <w:spacing w:after="120"/>
      <w:ind w:left="283"/>
    </w:pPr>
    <w:rPr>
      <w:sz w:val="16"/>
      <w:szCs w:val="16"/>
    </w:rPr>
  </w:style>
  <w:style w:type="character" w:customStyle="1" w:styleId="afffe">
    <w:name w:val="Схема документа Знак"/>
    <w:basedOn w:val="a2"/>
    <w:link w:val="affff"/>
    <w:uiPriority w:val="99"/>
    <w:semiHidden/>
    <w:rsid w:val="008E4653"/>
    <w:rPr>
      <w:rFonts w:ascii="Segoe UI" w:hAnsi="Segoe UI" w:cs="Segoe UI"/>
      <w:sz w:val="16"/>
      <w:szCs w:val="16"/>
    </w:rPr>
  </w:style>
  <w:style w:type="paragraph" w:styleId="affff">
    <w:name w:val="Document Map"/>
    <w:basedOn w:val="a1"/>
    <w:link w:val="afffe"/>
    <w:uiPriority w:val="99"/>
    <w:semiHidden/>
    <w:unhideWhenUsed/>
    <w:rsid w:val="008E4653"/>
    <w:rPr>
      <w:rFonts w:ascii="Segoe UI" w:hAnsi="Segoe UI" w:cs="Segoe UI"/>
      <w:sz w:val="16"/>
      <w:szCs w:val="16"/>
    </w:rPr>
  </w:style>
  <w:style w:type="character" w:customStyle="1" w:styleId="affff0">
    <w:name w:val="Текст Знак"/>
    <w:basedOn w:val="a2"/>
    <w:link w:val="affff1"/>
    <w:uiPriority w:val="99"/>
    <w:semiHidden/>
    <w:rsid w:val="008E4653"/>
    <w:rPr>
      <w:rFonts w:ascii="Consolas" w:hAnsi="Consolas"/>
      <w:sz w:val="21"/>
      <w:szCs w:val="21"/>
    </w:rPr>
  </w:style>
  <w:style w:type="paragraph" w:styleId="affff1">
    <w:name w:val="Plain Text"/>
    <w:basedOn w:val="a1"/>
    <w:link w:val="affff0"/>
    <w:uiPriority w:val="99"/>
    <w:semiHidden/>
    <w:unhideWhenUsed/>
    <w:rsid w:val="008E4653"/>
    <w:rPr>
      <w:rFonts w:ascii="Consolas" w:hAnsi="Consolas"/>
      <w:sz w:val="21"/>
      <w:szCs w:val="21"/>
    </w:rPr>
  </w:style>
  <w:style w:type="character" w:customStyle="1" w:styleId="affff2">
    <w:name w:val="Электронная подпись Знак"/>
    <w:basedOn w:val="a2"/>
    <w:link w:val="affff3"/>
    <w:uiPriority w:val="99"/>
    <w:semiHidden/>
    <w:rsid w:val="008E4653"/>
    <w:rPr>
      <w:sz w:val="24"/>
      <w:szCs w:val="24"/>
    </w:rPr>
  </w:style>
  <w:style w:type="paragraph" w:styleId="affff3">
    <w:name w:val="E-mail Signature"/>
    <w:basedOn w:val="a1"/>
    <w:link w:val="affff2"/>
    <w:uiPriority w:val="99"/>
    <w:semiHidden/>
    <w:unhideWhenUsed/>
    <w:rsid w:val="008E4653"/>
  </w:style>
  <w:style w:type="paragraph" w:customStyle="1" w:styleId="xl64">
    <w:name w:val="xl64"/>
    <w:basedOn w:val="a1"/>
    <w:rsid w:val="00705CFC"/>
    <w:pPr>
      <w:pBdr>
        <w:left w:val="single" w:sz="4" w:space="0" w:color="5B9BD5"/>
        <w:right w:val="single" w:sz="4" w:space="0" w:color="5B9BD5"/>
      </w:pBdr>
      <w:shd w:val="clear" w:color="000000" w:fill="BDD7EE"/>
      <w:spacing w:before="100" w:beforeAutospacing="1" w:after="100" w:afterAutospacing="1"/>
      <w:textAlignment w:val="center"/>
    </w:pPr>
    <w:rPr>
      <w:rFonts w:ascii="Times New Roman" w:hAnsi="Times New Roman"/>
      <w:b/>
      <w:bCs/>
    </w:rPr>
  </w:style>
  <w:style w:type="paragraph" w:styleId="affff4">
    <w:name w:val="envelope address"/>
    <w:basedOn w:val="a1"/>
    <w:uiPriority w:val="99"/>
    <w:semiHidden/>
    <w:unhideWhenUsed/>
    <w:rsid w:val="00043E99"/>
    <w:pPr>
      <w:framePr w:w="7920" w:h="1980" w:hRule="exact" w:hSpace="180" w:wrap="auto" w:hAnchor="page" w:xAlign="center" w:yAlign="bottom"/>
      <w:ind w:left="2880"/>
    </w:pPr>
    <w:rPr>
      <w:rFonts w:asciiTheme="majorHAnsi" w:eastAsiaTheme="majorEastAsia" w:hAnsiTheme="majorHAnsi" w:cstheme="majorBidi"/>
    </w:rPr>
  </w:style>
  <w:style w:type="paragraph" w:styleId="affff5">
    <w:name w:val="toa heading"/>
    <w:basedOn w:val="a1"/>
    <w:next w:val="a1"/>
    <w:uiPriority w:val="99"/>
    <w:semiHidden/>
    <w:unhideWhenUsed/>
    <w:rsid w:val="00043E99"/>
    <w:pPr>
      <w:spacing w:before="120"/>
    </w:pPr>
    <w:rPr>
      <w:rFonts w:asciiTheme="majorHAnsi" w:eastAsiaTheme="majorEastAsia" w:hAnsiTheme="majorHAnsi" w:cstheme="majorBidi"/>
      <w:b/>
      <w:bCs/>
    </w:rPr>
  </w:style>
  <w:style w:type="paragraph" w:styleId="2c">
    <w:name w:val="envelope return"/>
    <w:basedOn w:val="a1"/>
    <w:uiPriority w:val="99"/>
    <w:semiHidden/>
    <w:unhideWhenUsed/>
    <w:rsid w:val="00043E99"/>
    <w:rPr>
      <w:rFonts w:asciiTheme="majorHAnsi" w:eastAsiaTheme="majorEastAsia" w:hAnsiTheme="majorHAnsi" w:cstheme="majorBidi"/>
      <w:sz w:val="20"/>
      <w:szCs w:val="20"/>
    </w:rPr>
  </w:style>
  <w:style w:type="paragraph" w:styleId="affff6">
    <w:name w:val="Normal Indent"/>
    <w:basedOn w:val="a1"/>
    <w:uiPriority w:val="99"/>
    <w:semiHidden/>
    <w:unhideWhenUsed/>
    <w:rsid w:val="00043E99"/>
    <w:pPr>
      <w:ind w:left="708"/>
    </w:pPr>
  </w:style>
  <w:style w:type="paragraph" w:styleId="43">
    <w:name w:val="toc 4"/>
    <w:basedOn w:val="a1"/>
    <w:next w:val="a1"/>
    <w:autoRedefine/>
    <w:uiPriority w:val="39"/>
    <w:semiHidden/>
    <w:unhideWhenUsed/>
    <w:rsid w:val="00043E99"/>
    <w:pPr>
      <w:spacing w:after="100"/>
      <w:ind w:left="720"/>
    </w:pPr>
  </w:style>
  <w:style w:type="paragraph" w:styleId="53">
    <w:name w:val="toc 5"/>
    <w:basedOn w:val="a1"/>
    <w:next w:val="a1"/>
    <w:autoRedefine/>
    <w:uiPriority w:val="39"/>
    <w:semiHidden/>
    <w:unhideWhenUsed/>
    <w:rsid w:val="00043E99"/>
    <w:pPr>
      <w:spacing w:after="100"/>
      <w:ind w:left="960"/>
    </w:pPr>
  </w:style>
  <w:style w:type="paragraph" w:styleId="61">
    <w:name w:val="toc 6"/>
    <w:basedOn w:val="a1"/>
    <w:next w:val="a1"/>
    <w:autoRedefine/>
    <w:uiPriority w:val="39"/>
    <w:semiHidden/>
    <w:unhideWhenUsed/>
    <w:rsid w:val="00043E99"/>
    <w:pPr>
      <w:spacing w:after="100"/>
      <w:ind w:left="1200"/>
    </w:pPr>
  </w:style>
  <w:style w:type="paragraph" w:styleId="71">
    <w:name w:val="toc 7"/>
    <w:basedOn w:val="a1"/>
    <w:next w:val="a1"/>
    <w:autoRedefine/>
    <w:uiPriority w:val="39"/>
    <w:semiHidden/>
    <w:unhideWhenUsed/>
    <w:rsid w:val="00043E99"/>
    <w:pPr>
      <w:spacing w:after="100"/>
      <w:ind w:left="1440"/>
    </w:pPr>
  </w:style>
  <w:style w:type="paragraph" w:styleId="81">
    <w:name w:val="toc 8"/>
    <w:basedOn w:val="a1"/>
    <w:next w:val="a1"/>
    <w:autoRedefine/>
    <w:uiPriority w:val="39"/>
    <w:semiHidden/>
    <w:unhideWhenUsed/>
    <w:rsid w:val="00043E99"/>
    <w:pPr>
      <w:spacing w:after="100"/>
      <w:ind w:left="1680"/>
    </w:pPr>
  </w:style>
  <w:style w:type="paragraph" w:styleId="91">
    <w:name w:val="toc 9"/>
    <w:basedOn w:val="a1"/>
    <w:next w:val="a1"/>
    <w:autoRedefine/>
    <w:uiPriority w:val="39"/>
    <w:semiHidden/>
    <w:unhideWhenUsed/>
    <w:rsid w:val="00043E99"/>
    <w:pPr>
      <w:spacing w:after="100"/>
      <w:ind w:left="1920"/>
    </w:pPr>
  </w:style>
  <w:style w:type="paragraph" w:styleId="affff7">
    <w:name w:val="table of figures"/>
    <w:basedOn w:val="a1"/>
    <w:next w:val="a1"/>
    <w:uiPriority w:val="99"/>
    <w:semiHidden/>
    <w:unhideWhenUsed/>
    <w:rsid w:val="00043E99"/>
  </w:style>
  <w:style w:type="paragraph" w:styleId="affff8">
    <w:name w:val="List Continue"/>
    <w:basedOn w:val="a1"/>
    <w:uiPriority w:val="99"/>
    <w:semiHidden/>
    <w:unhideWhenUsed/>
    <w:rsid w:val="00043E99"/>
    <w:pPr>
      <w:spacing w:after="120"/>
      <w:ind w:left="283"/>
      <w:contextualSpacing/>
    </w:pPr>
  </w:style>
  <w:style w:type="paragraph" w:styleId="2d">
    <w:name w:val="List Continue 2"/>
    <w:basedOn w:val="a1"/>
    <w:uiPriority w:val="99"/>
    <w:semiHidden/>
    <w:unhideWhenUsed/>
    <w:rsid w:val="00043E99"/>
    <w:pPr>
      <w:spacing w:after="120"/>
      <w:ind w:left="566"/>
      <w:contextualSpacing/>
    </w:pPr>
  </w:style>
  <w:style w:type="paragraph" w:styleId="38">
    <w:name w:val="List Continue 3"/>
    <w:basedOn w:val="a1"/>
    <w:uiPriority w:val="99"/>
    <w:semiHidden/>
    <w:unhideWhenUsed/>
    <w:rsid w:val="00043E99"/>
    <w:pPr>
      <w:spacing w:after="120"/>
      <w:ind w:left="849"/>
      <w:contextualSpacing/>
    </w:pPr>
  </w:style>
  <w:style w:type="paragraph" w:styleId="44">
    <w:name w:val="List Continue 4"/>
    <w:basedOn w:val="a1"/>
    <w:uiPriority w:val="99"/>
    <w:semiHidden/>
    <w:unhideWhenUsed/>
    <w:rsid w:val="00043E99"/>
    <w:pPr>
      <w:spacing w:after="120"/>
      <w:ind w:left="1132"/>
      <w:contextualSpacing/>
    </w:pPr>
  </w:style>
  <w:style w:type="paragraph" w:styleId="54">
    <w:name w:val="List Continue 5"/>
    <w:basedOn w:val="a1"/>
    <w:uiPriority w:val="99"/>
    <w:semiHidden/>
    <w:unhideWhenUsed/>
    <w:rsid w:val="00043E99"/>
    <w:pPr>
      <w:spacing w:after="120"/>
      <w:ind w:left="1415"/>
      <w:contextualSpacing/>
    </w:pPr>
  </w:style>
  <w:style w:type="paragraph" w:styleId="affff9">
    <w:name w:val="List"/>
    <w:basedOn w:val="a1"/>
    <w:uiPriority w:val="99"/>
    <w:semiHidden/>
    <w:unhideWhenUsed/>
    <w:rsid w:val="00043E99"/>
    <w:pPr>
      <w:ind w:left="283" w:hanging="283"/>
      <w:contextualSpacing/>
    </w:pPr>
  </w:style>
  <w:style w:type="paragraph" w:styleId="2e">
    <w:name w:val="List 2"/>
    <w:basedOn w:val="a1"/>
    <w:uiPriority w:val="99"/>
    <w:semiHidden/>
    <w:unhideWhenUsed/>
    <w:rsid w:val="00043E99"/>
    <w:pPr>
      <w:ind w:left="566" w:hanging="283"/>
      <w:contextualSpacing/>
    </w:pPr>
  </w:style>
  <w:style w:type="paragraph" w:styleId="39">
    <w:name w:val="List 3"/>
    <w:basedOn w:val="a1"/>
    <w:uiPriority w:val="99"/>
    <w:semiHidden/>
    <w:unhideWhenUsed/>
    <w:rsid w:val="00043E99"/>
    <w:pPr>
      <w:ind w:left="849" w:hanging="283"/>
      <w:contextualSpacing/>
    </w:pPr>
  </w:style>
  <w:style w:type="paragraph" w:styleId="45">
    <w:name w:val="List 4"/>
    <w:basedOn w:val="a1"/>
    <w:uiPriority w:val="99"/>
    <w:semiHidden/>
    <w:unhideWhenUsed/>
    <w:rsid w:val="00043E99"/>
    <w:pPr>
      <w:ind w:left="1132" w:hanging="283"/>
      <w:contextualSpacing/>
    </w:pPr>
  </w:style>
  <w:style w:type="paragraph" w:styleId="55">
    <w:name w:val="List 5"/>
    <w:basedOn w:val="a1"/>
    <w:uiPriority w:val="99"/>
    <w:semiHidden/>
    <w:unhideWhenUsed/>
    <w:rsid w:val="00043E99"/>
    <w:pPr>
      <w:ind w:left="1415" w:hanging="283"/>
      <w:contextualSpacing/>
    </w:pPr>
  </w:style>
  <w:style w:type="paragraph" w:styleId="affffa">
    <w:name w:val="Bibliography"/>
    <w:basedOn w:val="a1"/>
    <w:next w:val="a1"/>
    <w:uiPriority w:val="37"/>
    <w:semiHidden/>
    <w:unhideWhenUsed/>
    <w:rsid w:val="00043E99"/>
  </w:style>
  <w:style w:type="paragraph" w:styleId="affffb">
    <w:name w:val="table of authorities"/>
    <w:basedOn w:val="a1"/>
    <w:next w:val="a1"/>
    <w:uiPriority w:val="99"/>
    <w:semiHidden/>
    <w:unhideWhenUsed/>
    <w:rsid w:val="00043E99"/>
    <w:pPr>
      <w:ind w:left="240" w:hanging="240"/>
    </w:pPr>
  </w:style>
  <w:style w:type="paragraph" w:styleId="12">
    <w:name w:val="index 1"/>
    <w:basedOn w:val="a1"/>
    <w:next w:val="a1"/>
    <w:autoRedefine/>
    <w:uiPriority w:val="99"/>
    <w:semiHidden/>
    <w:unhideWhenUsed/>
    <w:rsid w:val="00043E99"/>
    <w:pPr>
      <w:ind w:left="240" w:hanging="240"/>
    </w:pPr>
  </w:style>
  <w:style w:type="paragraph" w:styleId="affffc">
    <w:name w:val="index heading"/>
    <w:basedOn w:val="a1"/>
    <w:next w:val="12"/>
    <w:uiPriority w:val="99"/>
    <w:semiHidden/>
    <w:unhideWhenUsed/>
    <w:rsid w:val="00043E99"/>
    <w:rPr>
      <w:rFonts w:asciiTheme="majorHAnsi" w:eastAsiaTheme="majorEastAsia" w:hAnsiTheme="majorHAnsi" w:cstheme="majorBidi"/>
      <w:b/>
      <w:bCs/>
    </w:rPr>
  </w:style>
  <w:style w:type="paragraph" w:styleId="2f">
    <w:name w:val="index 2"/>
    <w:basedOn w:val="a1"/>
    <w:next w:val="a1"/>
    <w:autoRedefine/>
    <w:uiPriority w:val="99"/>
    <w:semiHidden/>
    <w:unhideWhenUsed/>
    <w:rsid w:val="00043E99"/>
    <w:pPr>
      <w:ind w:left="480" w:hanging="240"/>
    </w:pPr>
  </w:style>
  <w:style w:type="paragraph" w:styleId="3a">
    <w:name w:val="index 3"/>
    <w:basedOn w:val="a1"/>
    <w:next w:val="a1"/>
    <w:autoRedefine/>
    <w:uiPriority w:val="99"/>
    <w:semiHidden/>
    <w:unhideWhenUsed/>
    <w:rsid w:val="00043E99"/>
    <w:pPr>
      <w:ind w:left="720" w:hanging="240"/>
    </w:pPr>
  </w:style>
  <w:style w:type="paragraph" w:styleId="46">
    <w:name w:val="index 4"/>
    <w:basedOn w:val="a1"/>
    <w:next w:val="a1"/>
    <w:autoRedefine/>
    <w:uiPriority w:val="99"/>
    <w:semiHidden/>
    <w:unhideWhenUsed/>
    <w:rsid w:val="00043E99"/>
    <w:pPr>
      <w:ind w:left="960" w:hanging="240"/>
    </w:pPr>
  </w:style>
  <w:style w:type="paragraph" w:styleId="56">
    <w:name w:val="index 5"/>
    <w:basedOn w:val="a1"/>
    <w:next w:val="a1"/>
    <w:autoRedefine/>
    <w:uiPriority w:val="99"/>
    <w:semiHidden/>
    <w:unhideWhenUsed/>
    <w:rsid w:val="00043E99"/>
    <w:pPr>
      <w:ind w:left="1200" w:hanging="240"/>
    </w:pPr>
  </w:style>
  <w:style w:type="paragraph" w:styleId="62">
    <w:name w:val="index 6"/>
    <w:basedOn w:val="a1"/>
    <w:next w:val="a1"/>
    <w:autoRedefine/>
    <w:uiPriority w:val="99"/>
    <w:semiHidden/>
    <w:unhideWhenUsed/>
    <w:rsid w:val="00043E99"/>
    <w:pPr>
      <w:ind w:left="1440" w:hanging="240"/>
    </w:pPr>
  </w:style>
  <w:style w:type="paragraph" w:styleId="72">
    <w:name w:val="index 7"/>
    <w:basedOn w:val="a1"/>
    <w:next w:val="a1"/>
    <w:autoRedefine/>
    <w:uiPriority w:val="99"/>
    <w:semiHidden/>
    <w:unhideWhenUsed/>
    <w:rsid w:val="00043E99"/>
    <w:pPr>
      <w:ind w:left="1680" w:hanging="240"/>
    </w:pPr>
  </w:style>
  <w:style w:type="paragraph" w:styleId="82">
    <w:name w:val="index 8"/>
    <w:basedOn w:val="a1"/>
    <w:next w:val="a1"/>
    <w:autoRedefine/>
    <w:uiPriority w:val="99"/>
    <w:semiHidden/>
    <w:unhideWhenUsed/>
    <w:rsid w:val="00043E99"/>
    <w:pPr>
      <w:ind w:left="1920" w:hanging="240"/>
    </w:pPr>
  </w:style>
  <w:style w:type="paragraph" w:styleId="92">
    <w:name w:val="index 9"/>
    <w:basedOn w:val="a1"/>
    <w:next w:val="a1"/>
    <w:autoRedefine/>
    <w:uiPriority w:val="99"/>
    <w:semiHidden/>
    <w:unhideWhenUsed/>
    <w:rsid w:val="00043E99"/>
    <w:pPr>
      <w:ind w:left="2160" w:hanging="240"/>
    </w:pPr>
  </w:style>
  <w:style w:type="paragraph" w:styleId="affffd">
    <w:name w:val="Block Text"/>
    <w:basedOn w:val="a1"/>
    <w:uiPriority w:val="99"/>
    <w:semiHidden/>
    <w:unhideWhenUsed/>
    <w:rsid w:val="00043E9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customStyle="1" w:styleId="xl94">
    <w:name w:val="xl94"/>
    <w:basedOn w:val="a1"/>
    <w:rsid w:val="00043E99"/>
    <w:pPr>
      <w:pBdr>
        <w:top w:val="single" w:sz="4" w:space="0" w:color="4F81BD"/>
        <w:left w:val="single" w:sz="4" w:space="0" w:color="4F81BD"/>
        <w:bottom w:val="single" w:sz="4" w:space="0" w:color="4F81BD"/>
        <w:right w:val="single" w:sz="4" w:space="0" w:color="4F81BD"/>
      </w:pBdr>
      <w:shd w:val="clear" w:color="000000" w:fill="B8CCE4"/>
      <w:spacing w:before="100" w:beforeAutospacing="1" w:after="100" w:afterAutospacing="1"/>
      <w:textAlignment w:val="center"/>
    </w:pPr>
    <w:rPr>
      <w:rFonts w:ascii="Arial" w:hAnsi="Arial" w:cs="Arial"/>
      <w:b/>
      <w:bCs/>
      <w:color w:val="000000"/>
      <w:sz w:val="16"/>
      <w:szCs w:val="16"/>
    </w:rPr>
  </w:style>
  <w:style w:type="paragraph" w:customStyle="1" w:styleId="xl95">
    <w:name w:val="xl95"/>
    <w:basedOn w:val="a1"/>
    <w:rsid w:val="00043E99"/>
    <w:pPr>
      <w:pBdr>
        <w:left w:val="single" w:sz="4" w:space="0" w:color="4F81BD"/>
        <w:bottom w:val="single" w:sz="4" w:space="0" w:color="4F81BD"/>
        <w:right w:val="single" w:sz="4" w:space="0" w:color="4F81BD"/>
      </w:pBdr>
      <w:shd w:val="clear" w:color="000000" w:fill="B8CCE4"/>
      <w:spacing w:before="100" w:beforeAutospacing="1" w:after="100" w:afterAutospacing="1"/>
      <w:textAlignment w:val="center"/>
    </w:pPr>
    <w:rPr>
      <w:rFonts w:ascii="Arial" w:hAnsi="Arial" w:cs="Arial"/>
      <w:b/>
      <w:bCs/>
      <w:color w:val="000000"/>
      <w:sz w:val="16"/>
      <w:szCs w:val="16"/>
    </w:rPr>
  </w:style>
  <w:style w:type="paragraph" w:customStyle="1" w:styleId="xl96">
    <w:name w:val="xl96"/>
    <w:basedOn w:val="a1"/>
    <w:rsid w:val="00043E99"/>
    <w:pPr>
      <w:pBdr>
        <w:left w:val="single" w:sz="4" w:space="0" w:color="4F81BD"/>
        <w:bottom w:val="single" w:sz="4" w:space="0" w:color="4F81BD"/>
        <w:right w:val="single" w:sz="4" w:space="0" w:color="4F81BD"/>
      </w:pBdr>
      <w:shd w:val="clear" w:color="000000" w:fill="B8CCE4"/>
      <w:spacing w:before="100" w:beforeAutospacing="1" w:after="100" w:afterAutospacing="1"/>
      <w:jc w:val="right"/>
      <w:textAlignment w:val="center"/>
    </w:pPr>
    <w:rPr>
      <w:rFonts w:ascii="Arial" w:hAnsi="Arial" w:cs="Arial"/>
      <w:color w:val="000000"/>
      <w:sz w:val="16"/>
      <w:szCs w:val="16"/>
    </w:rPr>
  </w:style>
  <w:style w:type="paragraph" w:customStyle="1" w:styleId="xl97">
    <w:name w:val="xl97"/>
    <w:basedOn w:val="a1"/>
    <w:rsid w:val="00043E99"/>
    <w:pPr>
      <w:pBdr>
        <w:top w:val="single" w:sz="4" w:space="0" w:color="4F81BD"/>
        <w:left w:val="single" w:sz="4" w:space="0" w:color="4F81BD"/>
        <w:bottom w:val="single" w:sz="4" w:space="0" w:color="4F81BD"/>
        <w:right w:val="single" w:sz="4" w:space="0" w:color="4F81BD"/>
      </w:pBdr>
      <w:spacing w:before="100" w:beforeAutospacing="1" w:after="100" w:afterAutospacing="1"/>
      <w:jc w:val="right"/>
      <w:textAlignment w:val="center"/>
    </w:pPr>
    <w:rPr>
      <w:rFonts w:ascii="Arial" w:hAnsi="Arial" w:cs="Arial"/>
      <w:color w:val="000000"/>
      <w:sz w:val="16"/>
      <w:szCs w:val="16"/>
    </w:rPr>
  </w:style>
  <w:style w:type="paragraph" w:customStyle="1" w:styleId="xl98">
    <w:name w:val="xl98"/>
    <w:basedOn w:val="a1"/>
    <w:rsid w:val="00043E99"/>
    <w:pPr>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ascii="Arial" w:hAnsi="Arial" w:cs="Arial"/>
      <w:b/>
      <w:bCs/>
      <w:color w:val="000000"/>
      <w:sz w:val="16"/>
      <w:szCs w:val="16"/>
    </w:rPr>
  </w:style>
  <w:style w:type="paragraph" w:customStyle="1" w:styleId="xl99">
    <w:name w:val="xl99"/>
    <w:basedOn w:val="a1"/>
    <w:rsid w:val="00043E99"/>
    <w:pPr>
      <w:pBdr>
        <w:top w:val="single" w:sz="4" w:space="0" w:color="4F81BD"/>
        <w:left w:val="single" w:sz="4" w:space="0" w:color="4F81BD"/>
        <w:right w:val="single" w:sz="4" w:space="0" w:color="4F81BD"/>
      </w:pBdr>
      <w:spacing w:before="100" w:beforeAutospacing="1" w:after="100" w:afterAutospacing="1"/>
      <w:jc w:val="center"/>
      <w:textAlignment w:val="center"/>
    </w:pPr>
    <w:rPr>
      <w:rFonts w:ascii="Arial" w:hAnsi="Arial" w:cs="Arial"/>
      <w:b/>
      <w:bCs/>
      <w:color w:val="000000"/>
      <w:sz w:val="16"/>
      <w:szCs w:val="16"/>
    </w:rPr>
  </w:style>
  <w:style w:type="paragraph" w:customStyle="1" w:styleId="xl100">
    <w:name w:val="xl100"/>
    <w:basedOn w:val="a1"/>
    <w:rsid w:val="00043E99"/>
    <w:pPr>
      <w:pBdr>
        <w:left w:val="single" w:sz="4" w:space="0" w:color="4F81BD"/>
        <w:bottom w:val="single" w:sz="4" w:space="0" w:color="4F81BD"/>
        <w:right w:val="single" w:sz="4" w:space="0" w:color="4F81BD"/>
      </w:pBdr>
      <w:spacing w:before="100" w:beforeAutospacing="1" w:after="100" w:afterAutospacing="1"/>
      <w:jc w:val="center"/>
      <w:textAlignment w:val="center"/>
    </w:pPr>
    <w:rPr>
      <w:rFonts w:ascii="Arial" w:hAnsi="Arial" w:cs="Arial"/>
      <w:b/>
      <w:bCs/>
      <w:color w:val="000000"/>
      <w:sz w:val="16"/>
      <w:szCs w:val="16"/>
    </w:rPr>
  </w:style>
  <w:style w:type="character" w:styleId="affffe">
    <w:name w:val="endnote reference"/>
    <w:basedOn w:val="a2"/>
    <w:uiPriority w:val="99"/>
    <w:semiHidden/>
    <w:unhideWhenUsed/>
    <w:rsid w:val="006D36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171">
      <w:bodyDiv w:val="1"/>
      <w:marLeft w:val="0"/>
      <w:marRight w:val="0"/>
      <w:marTop w:val="0"/>
      <w:marBottom w:val="0"/>
      <w:divBdr>
        <w:top w:val="none" w:sz="0" w:space="0" w:color="auto"/>
        <w:left w:val="none" w:sz="0" w:space="0" w:color="auto"/>
        <w:bottom w:val="none" w:sz="0" w:space="0" w:color="auto"/>
        <w:right w:val="none" w:sz="0" w:space="0" w:color="auto"/>
      </w:divBdr>
    </w:div>
    <w:div w:id="32120292">
      <w:bodyDiv w:val="1"/>
      <w:marLeft w:val="0"/>
      <w:marRight w:val="0"/>
      <w:marTop w:val="0"/>
      <w:marBottom w:val="0"/>
      <w:divBdr>
        <w:top w:val="none" w:sz="0" w:space="0" w:color="auto"/>
        <w:left w:val="none" w:sz="0" w:space="0" w:color="auto"/>
        <w:bottom w:val="none" w:sz="0" w:space="0" w:color="auto"/>
        <w:right w:val="none" w:sz="0" w:space="0" w:color="auto"/>
      </w:divBdr>
    </w:div>
    <w:div w:id="39328967">
      <w:bodyDiv w:val="1"/>
      <w:marLeft w:val="0"/>
      <w:marRight w:val="0"/>
      <w:marTop w:val="0"/>
      <w:marBottom w:val="0"/>
      <w:divBdr>
        <w:top w:val="none" w:sz="0" w:space="0" w:color="auto"/>
        <w:left w:val="none" w:sz="0" w:space="0" w:color="auto"/>
        <w:bottom w:val="none" w:sz="0" w:space="0" w:color="auto"/>
        <w:right w:val="none" w:sz="0" w:space="0" w:color="auto"/>
      </w:divBdr>
    </w:div>
    <w:div w:id="56437153">
      <w:bodyDiv w:val="1"/>
      <w:marLeft w:val="0"/>
      <w:marRight w:val="0"/>
      <w:marTop w:val="0"/>
      <w:marBottom w:val="0"/>
      <w:divBdr>
        <w:top w:val="none" w:sz="0" w:space="0" w:color="auto"/>
        <w:left w:val="none" w:sz="0" w:space="0" w:color="auto"/>
        <w:bottom w:val="none" w:sz="0" w:space="0" w:color="auto"/>
        <w:right w:val="none" w:sz="0" w:space="0" w:color="auto"/>
      </w:divBdr>
    </w:div>
    <w:div w:id="65536540">
      <w:bodyDiv w:val="1"/>
      <w:marLeft w:val="0"/>
      <w:marRight w:val="0"/>
      <w:marTop w:val="0"/>
      <w:marBottom w:val="0"/>
      <w:divBdr>
        <w:top w:val="none" w:sz="0" w:space="0" w:color="auto"/>
        <w:left w:val="none" w:sz="0" w:space="0" w:color="auto"/>
        <w:bottom w:val="none" w:sz="0" w:space="0" w:color="auto"/>
        <w:right w:val="none" w:sz="0" w:space="0" w:color="auto"/>
      </w:divBdr>
    </w:div>
    <w:div w:id="75054733">
      <w:bodyDiv w:val="1"/>
      <w:marLeft w:val="0"/>
      <w:marRight w:val="0"/>
      <w:marTop w:val="0"/>
      <w:marBottom w:val="0"/>
      <w:divBdr>
        <w:top w:val="none" w:sz="0" w:space="0" w:color="auto"/>
        <w:left w:val="none" w:sz="0" w:space="0" w:color="auto"/>
        <w:bottom w:val="none" w:sz="0" w:space="0" w:color="auto"/>
        <w:right w:val="none" w:sz="0" w:space="0" w:color="auto"/>
      </w:divBdr>
    </w:div>
    <w:div w:id="104929092">
      <w:bodyDiv w:val="1"/>
      <w:marLeft w:val="0"/>
      <w:marRight w:val="0"/>
      <w:marTop w:val="0"/>
      <w:marBottom w:val="0"/>
      <w:divBdr>
        <w:top w:val="none" w:sz="0" w:space="0" w:color="auto"/>
        <w:left w:val="none" w:sz="0" w:space="0" w:color="auto"/>
        <w:bottom w:val="none" w:sz="0" w:space="0" w:color="auto"/>
        <w:right w:val="none" w:sz="0" w:space="0" w:color="auto"/>
      </w:divBdr>
    </w:div>
    <w:div w:id="111442463">
      <w:bodyDiv w:val="1"/>
      <w:marLeft w:val="0"/>
      <w:marRight w:val="0"/>
      <w:marTop w:val="0"/>
      <w:marBottom w:val="0"/>
      <w:divBdr>
        <w:top w:val="none" w:sz="0" w:space="0" w:color="auto"/>
        <w:left w:val="none" w:sz="0" w:space="0" w:color="auto"/>
        <w:bottom w:val="none" w:sz="0" w:space="0" w:color="auto"/>
        <w:right w:val="none" w:sz="0" w:space="0" w:color="auto"/>
      </w:divBdr>
    </w:div>
    <w:div w:id="111633920">
      <w:bodyDiv w:val="1"/>
      <w:marLeft w:val="0"/>
      <w:marRight w:val="0"/>
      <w:marTop w:val="0"/>
      <w:marBottom w:val="0"/>
      <w:divBdr>
        <w:top w:val="none" w:sz="0" w:space="0" w:color="auto"/>
        <w:left w:val="none" w:sz="0" w:space="0" w:color="auto"/>
        <w:bottom w:val="none" w:sz="0" w:space="0" w:color="auto"/>
        <w:right w:val="none" w:sz="0" w:space="0" w:color="auto"/>
      </w:divBdr>
    </w:div>
    <w:div w:id="115834137">
      <w:bodyDiv w:val="1"/>
      <w:marLeft w:val="0"/>
      <w:marRight w:val="0"/>
      <w:marTop w:val="0"/>
      <w:marBottom w:val="0"/>
      <w:divBdr>
        <w:top w:val="none" w:sz="0" w:space="0" w:color="auto"/>
        <w:left w:val="none" w:sz="0" w:space="0" w:color="auto"/>
        <w:bottom w:val="none" w:sz="0" w:space="0" w:color="auto"/>
        <w:right w:val="none" w:sz="0" w:space="0" w:color="auto"/>
      </w:divBdr>
    </w:div>
    <w:div w:id="144900338">
      <w:bodyDiv w:val="1"/>
      <w:marLeft w:val="0"/>
      <w:marRight w:val="0"/>
      <w:marTop w:val="0"/>
      <w:marBottom w:val="0"/>
      <w:divBdr>
        <w:top w:val="none" w:sz="0" w:space="0" w:color="auto"/>
        <w:left w:val="none" w:sz="0" w:space="0" w:color="auto"/>
        <w:bottom w:val="none" w:sz="0" w:space="0" w:color="auto"/>
        <w:right w:val="none" w:sz="0" w:space="0" w:color="auto"/>
      </w:divBdr>
    </w:div>
    <w:div w:id="156384237">
      <w:bodyDiv w:val="1"/>
      <w:marLeft w:val="0"/>
      <w:marRight w:val="0"/>
      <w:marTop w:val="0"/>
      <w:marBottom w:val="0"/>
      <w:divBdr>
        <w:top w:val="none" w:sz="0" w:space="0" w:color="auto"/>
        <w:left w:val="none" w:sz="0" w:space="0" w:color="auto"/>
        <w:bottom w:val="none" w:sz="0" w:space="0" w:color="auto"/>
        <w:right w:val="none" w:sz="0" w:space="0" w:color="auto"/>
      </w:divBdr>
    </w:div>
    <w:div w:id="180896007">
      <w:bodyDiv w:val="1"/>
      <w:marLeft w:val="0"/>
      <w:marRight w:val="0"/>
      <w:marTop w:val="0"/>
      <w:marBottom w:val="0"/>
      <w:divBdr>
        <w:top w:val="none" w:sz="0" w:space="0" w:color="auto"/>
        <w:left w:val="none" w:sz="0" w:space="0" w:color="auto"/>
        <w:bottom w:val="none" w:sz="0" w:space="0" w:color="auto"/>
        <w:right w:val="none" w:sz="0" w:space="0" w:color="auto"/>
      </w:divBdr>
    </w:div>
    <w:div w:id="189535553">
      <w:bodyDiv w:val="1"/>
      <w:marLeft w:val="0"/>
      <w:marRight w:val="0"/>
      <w:marTop w:val="0"/>
      <w:marBottom w:val="0"/>
      <w:divBdr>
        <w:top w:val="none" w:sz="0" w:space="0" w:color="auto"/>
        <w:left w:val="none" w:sz="0" w:space="0" w:color="auto"/>
        <w:bottom w:val="none" w:sz="0" w:space="0" w:color="auto"/>
        <w:right w:val="none" w:sz="0" w:space="0" w:color="auto"/>
      </w:divBdr>
    </w:div>
    <w:div w:id="193427062">
      <w:bodyDiv w:val="1"/>
      <w:marLeft w:val="0"/>
      <w:marRight w:val="0"/>
      <w:marTop w:val="0"/>
      <w:marBottom w:val="0"/>
      <w:divBdr>
        <w:top w:val="none" w:sz="0" w:space="0" w:color="auto"/>
        <w:left w:val="none" w:sz="0" w:space="0" w:color="auto"/>
        <w:bottom w:val="none" w:sz="0" w:space="0" w:color="auto"/>
        <w:right w:val="none" w:sz="0" w:space="0" w:color="auto"/>
      </w:divBdr>
    </w:div>
    <w:div w:id="194275826">
      <w:bodyDiv w:val="1"/>
      <w:marLeft w:val="0"/>
      <w:marRight w:val="0"/>
      <w:marTop w:val="0"/>
      <w:marBottom w:val="0"/>
      <w:divBdr>
        <w:top w:val="none" w:sz="0" w:space="0" w:color="auto"/>
        <w:left w:val="none" w:sz="0" w:space="0" w:color="auto"/>
        <w:bottom w:val="none" w:sz="0" w:space="0" w:color="auto"/>
        <w:right w:val="none" w:sz="0" w:space="0" w:color="auto"/>
      </w:divBdr>
    </w:div>
    <w:div w:id="205070745">
      <w:bodyDiv w:val="1"/>
      <w:marLeft w:val="0"/>
      <w:marRight w:val="0"/>
      <w:marTop w:val="0"/>
      <w:marBottom w:val="0"/>
      <w:divBdr>
        <w:top w:val="none" w:sz="0" w:space="0" w:color="auto"/>
        <w:left w:val="none" w:sz="0" w:space="0" w:color="auto"/>
        <w:bottom w:val="none" w:sz="0" w:space="0" w:color="auto"/>
        <w:right w:val="none" w:sz="0" w:space="0" w:color="auto"/>
      </w:divBdr>
    </w:div>
    <w:div w:id="216090265">
      <w:bodyDiv w:val="1"/>
      <w:marLeft w:val="0"/>
      <w:marRight w:val="0"/>
      <w:marTop w:val="0"/>
      <w:marBottom w:val="0"/>
      <w:divBdr>
        <w:top w:val="none" w:sz="0" w:space="0" w:color="auto"/>
        <w:left w:val="none" w:sz="0" w:space="0" w:color="auto"/>
        <w:bottom w:val="none" w:sz="0" w:space="0" w:color="auto"/>
        <w:right w:val="none" w:sz="0" w:space="0" w:color="auto"/>
      </w:divBdr>
    </w:div>
    <w:div w:id="275210724">
      <w:bodyDiv w:val="1"/>
      <w:marLeft w:val="0"/>
      <w:marRight w:val="0"/>
      <w:marTop w:val="0"/>
      <w:marBottom w:val="0"/>
      <w:divBdr>
        <w:top w:val="none" w:sz="0" w:space="0" w:color="auto"/>
        <w:left w:val="none" w:sz="0" w:space="0" w:color="auto"/>
        <w:bottom w:val="none" w:sz="0" w:space="0" w:color="auto"/>
        <w:right w:val="none" w:sz="0" w:space="0" w:color="auto"/>
      </w:divBdr>
    </w:div>
    <w:div w:id="280112035">
      <w:bodyDiv w:val="1"/>
      <w:marLeft w:val="0"/>
      <w:marRight w:val="0"/>
      <w:marTop w:val="0"/>
      <w:marBottom w:val="0"/>
      <w:divBdr>
        <w:top w:val="none" w:sz="0" w:space="0" w:color="auto"/>
        <w:left w:val="none" w:sz="0" w:space="0" w:color="auto"/>
        <w:bottom w:val="none" w:sz="0" w:space="0" w:color="auto"/>
        <w:right w:val="none" w:sz="0" w:space="0" w:color="auto"/>
      </w:divBdr>
    </w:div>
    <w:div w:id="281805737">
      <w:bodyDiv w:val="1"/>
      <w:marLeft w:val="0"/>
      <w:marRight w:val="0"/>
      <w:marTop w:val="0"/>
      <w:marBottom w:val="0"/>
      <w:divBdr>
        <w:top w:val="none" w:sz="0" w:space="0" w:color="auto"/>
        <w:left w:val="none" w:sz="0" w:space="0" w:color="auto"/>
        <w:bottom w:val="none" w:sz="0" w:space="0" w:color="auto"/>
        <w:right w:val="none" w:sz="0" w:space="0" w:color="auto"/>
      </w:divBdr>
    </w:div>
    <w:div w:id="294021763">
      <w:bodyDiv w:val="1"/>
      <w:marLeft w:val="0"/>
      <w:marRight w:val="0"/>
      <w:marTop w:val="0"/>
      <w:marBottom w:val="0"/>
      <w:divBdr>
        <w:top w:val="none" w:sz="0" w:space="0" w:color="auto"/>
        <w:left w:val="none" w:sz="0" w:space="0" w:color="auto"/>
        <w:bottom w:val="none" w:sz="0" w:space="0" w:color="auto"/>
        <w:right w:val="none" w:sz="0" w:space="0" w:color="auto"/>
      </w:divBdr>
    </w:div>
    <w:div w:id="297877471">
      <w:bodyDiv w:val="1"/>
      <w:marLeft w:val="0"/>
      <w:marRight w:val="0"/>
      <w:marTop w:val="0"/>
      <w:marBottom w:val="0"/>
      <w:divBdr>
        <w:top w:val="none" w:sz="0" w:space="0" w:color="auto"/>
        <w:left w:val="none" w:sz="0" w:space="0" w:color="auto"/>
        <w:bottom w:val="none" w:sz="0" w:space="0" w:color="auto"/>
        <w:right w:val="none" w:sz="0" w:space="0" w:color="auto"/>
      </w:divBdr>
    </w:div>
    <w:div w:id="308678419">
      <w:bodyDiv w:val="1"/>
      <w:marLeft w:val="0"/>
      <w:marRight w:val="0"/>
      <w:marTop w:val="0"/>
      <w:marBottom w:val="0"/>
      <w:divBdr>
        <w:top w:val="none" w:sz="0" w:space="0" w:color="auto"/>
        <w:left w:val="none" w:sz="0" w:space="0" w:color="auto"/>
        <w:bottom w:val="none" w:sz="0" w:space="0" w:color="auto"/>
        <w:right w:val="none" w:sz="0" w:space="0" w:color="auto"/>
      </w:divBdr>
    </w:div>
    <w:div w:id="312830969">
      <w:bodyDiv w:val="1"/>
      <w:marLeft w:val="0"/>
      <w:marRight w:val="0"/>
      <w:marTop w:val="0"/>
      <w:marBottom w:val="0"/>
      <w:divBdr>
        <w:top w:val="none" w:sz="0" w:space="0" w:color="auto"/>
        <w:left w:val="none" w:sz="0" w:space="0" w:color="auto"/>
        <w:bottom w:val="none" w:sz="0" w:space="0" w:color="auto"/>
        <w:right w:val="none" w:sz="0" w:space="0" w:color="auto"/>
      </w:divBdr>
    </w:div>
    <w:div w:id="332343430">
      <w:bodyDiv w:val="1"/>
      <w:marLeft w:val="0"/>
      <w:marRight w:val="0"/>
      <w:marTop w:val="0"/>
      <w:marBottom w:val="0"/>
      <w:divBdr>
        <w:top w:val="none" w:sz="0" w:space="0" w:color="auto"/>
        <w:left w:val="none" w:sz="0" w:space="0" w:color="auto"/>
        <w:bottom w:val="none" w:sz="0" w:space="0" w:color="auto"/>
        <w:right w:val="none" w:sz="0" w:space="0" w:color="auto"/>
      </w:divBdr>
    </w:div>
    <w:div w:id="363752166">
      <w:bodyDiv w:val="1"/>
      <w:marLeft w:val="0"/>
      <w:marRight w:val="0"/>
      <w:marTop w:val="0"/>
      <w:marBottom w:val="0"/>
      <w:divBdr>
        <w:top w:val="none" w:sz="0" w:space="0" w:color="auto"/>
        <w:left w:val="none" w:sz="0" w:space="0" w:color="auto"/>
        <w:bottom w:val="none" w:sz="0" w:space="0" w:color="auto"/>
        <w:right w:val="none" w:sz="0" w:space="0" w:color="auto"/>
      </w:divBdr>
    </w:div>
    <w:div w:id="386956154">
      <w:bodyDiv w:val="1"/>
      <w:marLeft w:val="0"/>
      <w:marRight w:val="0"/>
      <w:marTop w:val="0"/>
      <w:marBottom w:val="0"/>
      <w:divBdr>
        <w:top w:val="none" w:sz="0" w:space="0" w:color="auto"/>
        <w:left w:val="none" w:sz="0" w:space="0" w:color="auto"/>
        <w:bottom w:val="none" w:sz="0" w:space="0" w:color="auto"/>
        <w:right w:val="none" w:sz="0" w:space="0" w:color="auto"/>
      </w:divBdr>
    </w:div>
    <w:div w:id="391271415">
      <w:bodyDiv w:val="1"/>
      <w:marLeft w:val="0"/>
      <w:marRight w:val="0"/>
      <w:marTop w:val="0"/>
      <w:marBottom w:val="0"/>
      <w:divBdr>
        <w:top w:val="none" w:sz="0" w:space="0" w:color="auto"/>
        <w:left w:val="none" w:sz="0" w:space="0" w:color="auto"/>
        <w:bottom w:val="none" w:sz="0" w:space="0" w:color="auto"/>
        <w:right w:val="none" w:sz="0" w:space="0" w:color="auto"/>
      </w:divBdr>
    </w:div>
    <w:div w:id="405155276">
      <w:bodyDiv w:val="1"/>
      <w:marLeft w:val="0"/>
      <w:marRight w:val="0"/>
      <w:marTop w:val="0"/>
      <w:marBottom w:val="0"/>
      <w:divBdr>
        <w:top w:val="none" w:sz="0" w:space="0" w:color="auto"/>
        <w:left w:val="none" w:sz="0" w:space="0" w:color="auto"/>
        <w:bottom w:val="none" w:sz="0" w:space="0" w:color="auto"/>
        <w:right w:val="none" w:sz="0" w:space="0" w:color="auto"/>
      </w:divBdr>
    </w:div>
    <w:div w:id="432474682">
      <w:bodyDiv w:val="1"/>
      <w:marLeft w:val="0"/>
      <w:marRight w:val="0"/>
      <w:marTop w:val="0"/>
      <w:marBottom w:val="0"/>
      <w:divBdr>
        <w:top w:val="none" w:sz="0" w:space="0" w:color="auto"/>
        <w:left w:val="none" w:sz="0" w:space="0" w:color="auto"/>
        <w:bottom w:val="none" w:sz="0" w:space="0" w:color="auto"/>
        <w:right w:val="none" w:sz="0" w:space="0" w:color="auto"/>
      </w:divBdr>
    </w:div>
    <w:div w:id="437650380">
      <w:bodyDiv w:val="1"/>
      <w:marLeft w:val="0"/>
      <w:marRight w:val="0"/>
      <w:marTop w:val="0"/>
      <w:marBottom w:val="0"/>
      <w:divBdr>
        <w:top w:val="none" w:sz="0" w:space="0" w:color="auto"/>
        <w:left w:val="none" w:sz="0" w:space="0" w:color="auto"/>
        <w:bottom w:val="none" w:sz="0" w:space="0" w:color="auto"/>
        <w:right w:val="none" w:sz="0" w:space="0" w:color="auto"/>
      </w:divBdr>
    </w:div>
    <w:div w:id="453257721">
      <w:bodyDiv w:val="1"/>
      <w:marLeft w:val="0"/>
      <w:marRight w:val="0"/>
      <w:marTop w:val="0"/>
      <w:marBottom w:val="0"/>
      <w:divBdr>
        <w:top w:val="none" w:sz="0" w:space="0" w:color="auto"/>
        <w:left w:val="none" w:sz="0" w:space="0" w:color="auto"/>
        <w:bottom w:val="none" w:sz="0" w:space="0" w:color="auto"/>
        <w:right w:val="none" w:sz="0" w:space="0" w:color="auto"/>
      </w:divBdr>
    </w:div>
    <w:div w:id="461845253">
      <w:bodyDiv w:val="1"/>
      <w:marLeft w:val="0"/>
      <w:marRight w:val="0"/>
      <w:marTop w:val="0"/>
      <w:marBottom w:val="0"/>
      <w:divBdr>
        <w:top w:val="none" w:sz="0" w:space="0" w:color="auto"/>
        <w:left w:val="none" w:sz="0" w:space="0" w:color="auto"/>
        <w:bottom w:val="none" w:sz="0" w:space="0" w:color="auto"/>
        <w:right w:val="none" w:sz="0" w:space="0" w:color="auto"/>
      </w:divBdr>
    </w:div>
    <w:div w:id="471674014">
      <w:bodyDiv w:val="1"/>
      <w:marLeft w:val="0"/>
      <w:marRight w:val="0"/>
      <w:marTop w:val="0"/>
      <w:marBottom w:val="0"/>
      <w:divBdr>
        <w:top w:val="none" w:sz="0" w:space="0" w:color="auto"/>
        <w:left w:val="none" w:sz="0" w:space="0" w:color="auto"/>
        <w:bottom w:val="none" w:sz="0" w:space="0" w:color="auto"/>
        <w:right w:val="none" w:sz="0" w:space="0" w:color="auto"/>
      </w:divBdr>
    </w:div>
    <w:div w:id="505830816">
      <w:bodyDiv w:val="1"/>
      <w:marLeft w:val="0"/>
      <w:marRight w:val="0"/>
      <w:marTop w:val="0"/>
      <w:marBottom w:val="0"/>
      <w:divBdr>
        <w:top w:val="none" w:sz="0" w:space="0" w:color="auto"/>
        <w:left w:val="none" w:sz="0" w:space="0" w:color="auto"/>
        <w:bottom w:val="none" w:sz="0" w:space="0" w:color="auto"/>
        <w:right w:val="none" w:sz="0" w:space="0" w:color="auto"/>
      </w:divBdr>
    </w:div>
    <w:div w:id="534805746">
      <w:bodyDiv w:val="1"/>
      <w:marLeft w:val="0"/>
      <w:marRight w:val="0"/>
      <w:marTop w:val="0"/>
      <w:marBottom w:val="0"/>
      <w:divBdr>
        <w:top w:val="none" w:sz="0" w:space="0" w:color="auto"/>
        <w:left w:val="none" w:sz="0" w:space="0" w:color="auto"/>
        <w:bottom w:val="none" w:sz="0" w:space="0" w:color="auto"/>
        <w:right w:val="none" w:sz="0" w:space="0" w:color="auto"/>
      </w:divBdr>
    </w:div>
    <w:div w:id="535579054">
      <w:bodyDiv w:val="1"/>
      <w:marLeft w:val="0"/>
      <w:marRight w:val="0"/>
      <w:marTop w:val="0"/>
      <w:marBottom w:val="0"/>
      <w:divBdr>
        <w:top w:val="none" w:sz="0" w:space="0" w:color="auto"/>
        <w:left w:val="none" w:sz="0" w:space="0" w:color="auto"/>
        <w:bottom w:val="none" w:sz="0" w:space="0" w:color="auto"/>
        <w:right w:val="none" w:sz="0" w:space="0" w:color="auto"/>
      </w:divBdr>
    </w:div>
    <w:div w:id="553156144">
      <w:bodyDiv w:val="1"/>
      <w:marLeft w:val="0"/>
      <w:marRight w:val="0"/>
      <w:marTop w:val="0"/>
      <w:marBottom w:val="0"/>
      <w:divBdr>
        <w:top w:val="none" w:sz="0" w:space="0" w:color="auto"/>
        <w:left w:val="none" w:sz="0" w:space="0" w:color="auto"/>
        <w:bottom w:val="none" w:sz="0" w:space="0" w:color="auto"/>
        <w:right w:val="none" w:sz="0" w:space="0" w:color="auto"/>
      </w:divBdr>
    </w:div>
    <w:div w:id="587466498">
      <w:bodyDiv w:val="1"/>
      <w:marLeft w:val="0"/>
      <w:marRight w:val="0"/>
      <w:marTop w:val="0"/>
      <w:marBottom w:val="0"/>
      <w:divBdr>
        <w:top w:val="none" w:sz="0" w:space="0" w:color="auto"/>
        <w:left w:val="none" w:sz="0" w:space="0" w:color="auto"/>
        <w:bottom w:val="none" w:sz="0" w:space="0" w:color="auto"/>
        <w:right w:val="none" w:sz="0" w:space="0" w:color="auto"/>
      </w:divBdr>
    </w:div>
    <w:div w:id="601111065">
      <w:bodyDiv w:val="1"/>
      <w:marLeft w:val="0"/>
      <w:marRight w:val="0"/>
      <w:marTop w:val="0"/>
      <w:marBottom w:val="0"/>
      <w:divBdr>
        <w:top w:val="none" w:sz="0" w:space="0" w:color="auto"/>
        <w:left w:val="none" w:sz="0" w:space="0" w:color="auto"/>
        <w:bottom w:val="none" w:sz="0" w:space="0" w:color="auto"/>
        <w:right w:val="none" w:sz="0" w:space="0" w:color="auto"/>
      </w:divBdr>
    </w:div>
    <w:div w:id="610288332">
      <w:bodyDiv w:val="1"/>
      <w:marLeft w:val="0"/>
      <w:marRight w:val="0"/>
      <w:marTop w:val="0"/>
      <w:marBottom w:val="0"/>
      <w:divBdr>
        <w:top w:val="none" w:sz="0" w:space="0" w:color="auto"/>
        <w:left w:val="none" w:sz="0" w:space="0" w:color="auto"/>
        <w:bottom w:val="none" w:sz="0" w:space="0" w:color="auto"/>
        <w:right w:val="none" w:sz="0" w:space="0" w:color="auto"/>
      </w:divBdr>
    </w:div>
    <w:div w:id="627707618">
      <w:bodyDiv w:val="1"/>
      <w:marLeft w:val="0"/>
      <w:marRight w:val="0"/>
      <w:marTop w:val="0"/>
      <w:marBottom w:val="0"/>
      <w:divBdr>
        <w:top w:val="none" w:sz="0" w:space="0" w:color="auto"/>
        <w:left w:val="none" w:sz="0" w:space="0" w:color="auto"/>
        <w:bottom w:val="none" w:sz="0" w:space="0" w:color="auto"/>
        <w:right w:val="none" w:sz="0" w:space="0" w:color="auto"/>
      </w:divBdr>
    </w:div>
    <w:div w:id="652761127">
      <w:bodyDiv w:val="1"/>
      <w:marLeft w:val="0"/>
      <w:marRight w:val="0"/>
      <w:marTop w:val="0"/>
      <w:marBottom w:val="0"/>
      <w:divBdr>
        <w:top w:val="none" w:sz="0" w:space="0" w:color="auto"/>
        <w:left w:val="none" w:sz="0" w:space="0" w:color="auto"/>
        <w:bottom w:val="none" w:sz="0" w:space="0" w:color="auto"/>
        <w:right w:val="none" w:sz="0" w:space="0" w:color="auto"/>
      </w:divBdr>
    </w:div>
    <w:div w:id="658506753">
      <w:bodyDiv w:val="1"/>
      <w:marLeft w:val="0"/>
      <w:marRight w:val="0"/>
      <w:marTop w:val="0"/>
      <w:marBottom w:val="0"/>
      <w:divBdr>
        <w:top w:val="none" w:sz="0" w:space="0" w:color="auto"/>
        <w:left w:val="none" w:sz="0" w:space="0" w:color="auto"/>
        <w:bottom w:val="none" w:sz="0" w:space="0" w:color="auto"/>
        <w:right w:val="none" w:sz="0" w:space="0" w:color="auto"/>
      </w:divBdr>
    </w:div>
    <w:div w:id="669144161">
      <w:bodyDiv w:val="1"/>
      <w:marLeft w:val="0"/>
      <w:marRight w:val="0"/>
      <w:marTop w:val="0"/>
      <w:marBottom w:val="0"/>
      <w:divBdr>
        <w:top w:val="none" w:sz="0" w:space="0" w:color="auto"/>
        <w:left w:val="none" w:sz="0" w:space="0" w:color="auto"/>
        <w:bottom w:val="none" w:sz="0" w:space="0" w:color="auto"/>
        <w:right w:val="none" w:sz="0" w:space="0" w:color="auto"/>
      </w:divBdr>
    </w:div>
    <w:div w:id="678238249">
      <w:bodyDiv w:val="1"/>
      <w:marLeft w:val="0"/>
      <w:marRight w:val="0"/>
      <w:marTop w:val="0"/>
      <w:marBottom w:val="0"/>
      <w:divBdr>
        <w:top w:val="none" w:sz="0" w:space="0" w:color="auto"/>
        <w:left w:val="none" w:sz="0" w:space="0" w:color="auto"/>
        <w:bottom w:val="none" w:sz="0" w:space="0" w:color="auto"/>
        <w:right w:val="none" w:sz="0" w:space="0" w:color="auto"/>
      </w:divBdr>
    </w:div>
    <w:div w:id="679281913">
      <w:bodyDiv w:val="1"/>
      <w:marLeft w:val="0"/>
      <w:marRight w:val="0"/>
      <w:marTop w:val="0"/>
      <w:marBottom w:val="0"/>
      <w:divBdr>
        <w:top w:val="none" w:sz="0" w:space="0" w:color="auto"/>
        <w:left w:val="none" w:sz="0" w:space="0" w:color="auto"/>
        <w:bottom w:val="none" w:sz="0" w:space="0" w:color="auto"/>
        <w:right w:val="none" w:sz="0" w:space="0" w:color="auto"/>
      </w:divBdr>
    </w:div>
    <w:div w:id="691299554">
      <w:bodyDiv w:val="1"/>
      <w:marLeft w:val="0"/>
      <w:marRight w:val="0"/>
      <w:marTop w:val="0"/>
      <w:marBottom w:val="0"/>
      <w:divBdr>
        <w:top w:val="none" w:sz="0" w:space="0" w:color="auto"/>
        <w:left w:val="none" w:sz="0" w:space="0" w:color="auto"/>
        <w:bottom w:val="none" w:sz="0" w:space="0" w:color="auto"/>
        <w:right w:val="none" w:sz="0" w:space="0" w:color="auto"/>
      </w:divBdr>
    </w:div>
    <w:div w:id="706419214">
      <w:bodyDiv w:val="1"/>
      <w:marLeft w:val="0"/>
      <w:marRight w:val="0"/>
      <w:marTop w:val="0"/>
      <w:marBottom w:val="0"/>
      <w:divBdr>
        <w:top w:val="none" w:sz="0" w:space="0" w:color="auto"/>
        <w:left w:val="none" w:sz="0" w:space="0" w:color="auto"/>
        <w:bottom w:val="none" w:sz="0" w:space="0" w:color="auto"/>
        <w:right w:val="none" w:sz="0" w:space="0" w:color="auto"/>
      </w:divBdr>
    </w:div>
    <w:div w:id="709186927">
      <w:bodyDiv w:val="1"/>
      <w:marLeft w:val="0"/>
      <w:marRight w:val="0"/>
      <w:marTop w:val="0"/>
      <w:marBottom w:val="0"/>
      <w:divBdr>
        <w:top w:val="none" w:sz="0" w:space="0" w:color="auto"/>
        <w:left w:val="none" w:sz="0" w:space="0" w:color="auto"/>
        <w:bottom w:val="none" w:sz="0" w:space="0" w:color="auto"/>
        <w:right w:val="none" w:sz="0" w:space="0" w:color="auto"/>
      </w:divBdr>
    </w:div>
    <w:div w:id="710307952">
      <w:bodyDiv w:val="1"/>
      <w:marLeft w:val="0"/>
      <w:marRight w:val="0"/>
      <w:marTop w:val="0"/>
      <w:marBottom w:val="0"/>
      <w:divBdr>
        <w:top w:val="none" w:sz="0" w:space="0" w:color="auto"/>
        <w:left w:val="none" w:sz="0" w:space="0" w:color="auto"/>
        <w:bottom w:val="none" w:sz="0" w:space="0" w:color="auto"/>
        <w:right w:val="none" w:sz="0" w:space="0" w:color="auto"/>
      </w:divBdr>
    </w:div>
    <w:div w:id="737631283">
      <w:bodyDiv w:val="1"/>
      <w:marLeft w:val="0"/>
      <w:marRight w:val="0"/>
      <w:marTop w:val="0"/>
      <w:marBottom w:val="0"/>
      <w:divBdr>
        <w:top w:val="none" w:sz="0" w:space="0" w:color="auto"/>
        <w:left w:val="none" w:sz="0" w:space="0" w:color="auto"/>
        <w:bottom w:val="none" w:sz="0" w:space="0" w:color="auto"/>
        <w:right w:val="none" w:sz="0" w:space="0" w:color="auto"/>
      </w:divBdr>
    </w:div>
    <w:div w:id="740327081">
      <w:bodyDiv w:val="1"/>
      <w:marLeft w:val="0"/>
      <w:marRight w:val="0"/>
      <w:marTop w:val="0"/>
      <w:marBottom w:val="0"/>
      <w:divBdr>
        <w:top w:val="none" w:sz="0" w:space="0" w:color="auto"/>
        <w:left w:val="none" w:sz="0" w:space="0" w:color="auto"/>
        <w:bottom w:val="none" w:sz="0" w:space="0" w:color="auto"/>
        <w:right w:val="none" w:sz="0" w:space="0" w:color="auto"/>
      </w:divBdr>
    </w:div>
    <w:div w:id="746996209">
      <w:bodyDiv w:val="1"/>
      <w:marLeft w:val="0"/>
      <w:marRight w:val="0"/>
      <w:marTop w:val="0"/>
      <w:marBottom w:val="0"/>
      <w:divBdr>
        <w:top w:val="none" w:sz="0" w:space="0" w:color="auto"/>
        <w:left w:val="none" w:sz="0" w:space="0" w:color="auto"/>
        <w:bottom w:val="none" w:sz="0" w:space="0" w:color="auto"/>
        <w:right w:val="none" w:sz="0" w:space="0" w:color="auto"/>
      </w:divBdr>
    </w:div>
    <w:div w:id="764805643">
      <w:bodyDiv w:val="1"/>
      <w:marLeft w:val="0"/>
      <w:marRight w:val="0"/>
      <w:marTop w:val="0"/>
      <w:marBottom w:val="0"/>
      <w:divBdr>
        <w:top w:val="none" w:sz="0" w:space="0" w:color="auto"/>
        <w:left w:val="none" w:sz="0" w:space="0" w:color="auto"/>
        <w:bottom w:val="none" w:sz="0" w:space="0" w:color="auto"/>
        <w:right w:val="none" w:sz="0" w:space="0" w:color="auto"/>
      </w:divBdr>
    </w:div>
    <w:div w:id="775175459">
      <w:bodyDiv w:val="1"/>
      <w:marLeft w:val="0"/>
      <w:marRight w:val="0"/>
      <w:marTop w:val="0"/>
      <w:marBottom w:val="0"/>
      <w:divBdr>
        <w:top w:val="none" w:sz="0" w:space="0" w:color="auto"/>
        <w:left w:val="none" w:sz="0" w:space="0" w:color="auto"/>
        <w:bottom w:val="none" w:sz="0" w:space="0" w:color="auto"/>
        <w:right w:val="none" w:sz="0" w:space="0" w:color="auto"/>
      </w:divBdr>
    </w:div>
    <w:div w:id="796143004">
      <w:bodyDiv w:val="1"/>
      <w:marLeft w:val="0"/>
      <w:marRight w:val="0"/>
      <w:marTop w:val="0"/>
      <w:marBottom w:val="0"/>
      <w:divBdr>
        <w:top w:val="none" w:sz="0" w:space="0" w:color="auto"/>
        <w:left w:val="none" w:sz="0" w:space="0" w:color="auto"/>
        <w:bottom w:val="none" w:sz="0" w:space="0" w:color="auto"/>
        <w:right w:val="none" w:sz="0" w:space="0" w:color="auto"/>
      </w:divBdr>
    </w:div>
    <w:div w:id="801116126">
      <w:bodyDiv w:val="1"/>
      <w:marLeft w:val="0"/>
      <w:marRight w:val="0"/>
      <w:marTop w:val="0"/>
      <w:marBottom w:val="0"/>
      <w:divBdr>
        <w:top w:val="none" w:sz="0" w:space="0" w:color="auto"/>
        <w:left w:val="none" w:sz="0" w:space="0" w:color="auto"/>
        <w:bottom w:val="none" w:sz="0" w:space="0" w:color="auto"/>
        <w:right w:val="none" w:sz="0" w:space="0" w:color="auto"/>
      </w:divBdr>
    </w:div>
    <w:div w:id="826634676">
      <w:bodyDiv w:val="1"/>
      <w:marLeft w:val="0"/>
      <w:marRight w:val="0"/>
      <w:marTop w:val="0"/>
      <w:marBottom w:val="0"/>
      <w:divBdr>
        <w:top w:val="none" w:sz="0" w:space="0" w:color="auto"/>
        <w:left w:val="none" w:sz="0" w:space="0" w:color="auto"/>
        <w:bottom w:val="none" w:sz="0" w:space="0" w:color="auto"/>
        <w:right w:val="none" w:sz="0" w:space="0" w:color="auto"/>
      </w:divBdr>
    </w:div>
    <w:div w:id="851140419">
      <w:bodyDiv w:val="1"/>
      <w:marLeft w:val="0"/>
      <w:marRight w:val="0"/>
      <w:marTop w:val="0"/>
      <w:marBottom w:val="0"/>
      <w:divBdr>
        <w:top w:val="none" w:sz="0" w:space="0" w:color="auto"/>
        <w:left w:val="none" w:sz="0" w:space="0" w:color="auto"/>
        <w:bottom w:val="none" w:sz="0" w:space="0" w:color="auto"/>
        <w:right w:val="none" w:sz="0" w:space="0" w:color="auto"/>
      </w:divBdr>
    </w:div>
    <w:div w:id="875510396">
      <w:bodyDiv w:val="1"/>
      <w:marLeft w:val="0"/>
      <w:marRight w:val="0"/>
      <w:marTop w:val="0"/>
      <w:marBottom w:val="0"/>
      <w:divBdr>
        <w:top w:val="none" w:sz="0" w:space="0" w:color="auto"/>
        <w:left w:val="none" w:sz="0" w:space="0" w:color="auto"/>
        <w:bottom w:val="none" w:sz="0" w:space="0" w:color="auto"/>
        <w:right w:val="none" w:sz="0" w:space="0" w:color="auto"/>
      </w:divBdr>
    </w:div>
    <w:div w:id="887912353">
      <w:bodyDiv w:val="1"/>
      <w:marLeft w:val="0"/>
      <w:marRight w:val="0"/>
      <w:marTop w:val="0"/>
      <w:marBottom w:val="0"/>
      <w:divBdr>
        <w:top w:val="none" w:sz="0" w:space="0" w:color="auto"/>
        <w:left w:val="none" w:sz="0" w:space="0" w:color="auto"/>
        <w:bottom w:val="none" w:sz="0" w:space="0" w:color="auto"/>
        <w:right w:val="none" w:sz="0" w:space="0" w:color="auto"/>
      </w:divBdr>
    </w:div>
    <w:div w:id="909541255">
      <w:bodyDiv w:val="1"/>
      <w:marLeft w:val="0"/>
      <w:marRight w:val="0"/>
      <w:marTop w:val="0"/>
      <w:marBottom w:val="0"/>
      <w:divBdr>
        <w:top w:val="none" w:sz="0" w:space="0" w:color="auto"/>
        <w:left w:val="none" w:sz="0" w:space="0" w:color="auto"/>
        <w:bottom w:val="none" w:sz="0" w:space="0" w:color="auto"/>
        <w:right w:val="none" w:sz="0" w:space="0" w:color="auto"/>
      </w:divBdr>
    </w:div>
    <w:div w:id="919632930">
      <w:bodyDiv w:val="1"/>
      <w:marLeft w:val="0"/>
      <w:marRight w:val="0"/>
      <w:marTop w:val="0"/>
      <w:marBottom w:val="0"/>
      <w:divBdr>
        <w:top w:val="none" w:sz="0" w:space="0" w:color="auto"/>
        <w:left w:val="none" w:sz="0" w:space="0" w:color="auto"/>
        <w:bottom w:val="none" w:sz="0" w:space="0" w:color="auto"/>
        <w:right w:val="none" w:sz="0" w:space="0" w:color="auto"/>
      </w:divBdr>
    </w:div>
    <w:div w:id="950358445">
      <w:bodyDiv w:val="1"/>
      <w:marLeft w:val="0"/>
      <w:marRight w:val="0"/>
      <w:marTop w:val="0"/>
      <w:marBottom w:val="0"/>
      <w:divBdr>
        <w:top w:val="none" w:sz="0" w:space="0" w:color="auto"/>
        <w:left w:val="none" w:sz="0" w:space="0" w:color="auto"/>
        <w:bottom w:val="none" w:sz="0" w:space="0" w:color="auto"/>
        <w:right w:val="none" w:sz="0" w:space="0" w:color="auto"/>
      </w:divBdr>
    </w:div>
    <w:div w:id="957489628">
      <w:bodyDiv w:val="1"/>
      <w:marLeft w:val="0"/>
      <w:marRight w:val="0"/>
      <w:marTop w:val="0"/>
      <w:marBottom w:val="0"/>
      <w:divBdr>
        <w:top w:val="none" w:sz="0" w:space="0" w:color="auto"/>
        <w:left w:val="none" w:sz="0" w:space="0" w:color="auto"/>
        <w:bottom w:val="none" w:sz="0" w:space="0" w:color="auto"/>
        <w:right w:val="none" w:sz="0" w:space="0" w:color="auto"/>
      </w:divBdr>
    </w:div>
    <w:div w:id="964430270">
      <w:bodyDiv w:val="1"/>
      <w:marLeft w:val="0"/>
      <w:marRight w:val="0"/>
      <w:marTop w:val="0"/>
      <w:marBottom w:val="0"/>
      <w:divBdr>
        <w:top w:val="none" w:sz="0" w:space="0" w:color="auto"/>
        <w:left w:val="none" w:sz="0" w:space="0" w:color="auto"/>
        <w:bottom w:val="none" w:sz="0" w:space="0" w:color="auto"/>
        <w:right w:val="none" w:sz="0" w:space="0" w:color="auto"/>
      </w:divBdr>
    </w:div>
    <w:div w:id="975524026">
      <w:bodyDiv w:val="1"/>
      <w:marLeft w:val="0"/>
      <w:marRight w:val="0"/>
      <w:marTop w:val="0"/>
      <w:marBottom w:val="0"/>
      <w:divBdr>
        <w:top w:val="none" w:sz="0" w:space="0" w:color="auto"/>
        <w:left w:val="none" w:sz="0" w:space="0" w:color="auto"/>
        <w:bottom w:val="none" w:sz="0" w:space="0" w:color="auto"/>
        <w:right w:val="none" w:sz="0" w:space="0" w:color="auto"/>
      </w:divBdr>
    </w:div>
    <w:div w:id="991837904">
      <w:bodyDiv w:val="1"/>
      <w:marLeft w:val="0"/>
      <w:marRight w:val="0"/>
      <w:marTop w:val="0"/>
      <w:marBottom w:val="0"/>
      <w:divBdr>
        <w:top w:val="none" w:sz="0" w:space="0" w:color="auto"/>
        <w:left w:val="none" w:sz="0" w:space="0" w:color="auto"/>
        <w:bottom w:val="none" w:sz="0" w:space="0" w:color="auto"/>
        <w:right w:val="none" w:sz="0" w:space="0" w:color="auto"/>
      </w:divBdr>
    </w:div>
    <w:div w:id="999187443">
      <w:bodyDiv w:val="1"/>
      <w:marLeft w:val="0"/>
      <w:marRight w:val="0"/>
      <w:marTop w:val="0"/>
      <w:marBottom w:val="0"/>
      <w:divBdr>
        <w:top w:val="none" w:sz="0" w:space="0" w:color="auto"/>
        <w:left w:val="none" w:sz="0" w:space="0" w:color="auto"/>
        <w:bottom w:val="none" w:sz="0" w:space="0" w:color="auto"/>
        <w:right w:val="none" w:sz="0" w:space="0" w:color="auto"/>
      </w:divBdr>
    </w:div>
    <w:div w:id="1016157964">
      <w:bodyDiv w:val="1"/>
      <w:marLeft w:val="0"/>
      <w:marRight w:val="0"/>
      <w:marTop w:val="0"/>
      <w:marBottom w:val="0"/>
      <w:divBdr>
        <w:top w:val="none" w:sz="0" w:space="0" w:color="auto"/>
        <w:left w:val="none" w:sz="0" w:space="0" w:color="auto"/>
        <w:bottom w:val="none" w:sz="0" w:space="0" w:color="auto"/>
        <w:right w:val="none" w:sz="0" w:space="0" w:color="auto"/>
      </w:divBdr>
    </w:div>
    <w:div w:id="1019160057">
      <w:bodyDiv w:val="1"/>
      <w:marLeft w:val="0"/>
      <w:marRight w:val="0"/>
      <w:marTop w:val="0"/>
      <w:marBottom w:val="0"/>
      <w:divBdr>
        <w:top w:val="none" w:sz="0" w:space="0" w:color="auto"/>
        <w:left w:val="none" w:sz="0" w:space="0" w:color="auto"/>
        <w:bottom w:val="none" w:sz="0" w:space="0" w:color="auto"/>
        <w:right w:val="none" w:sz="0" w:space="0" w:color="auto"/>
      </w:divBdr>
    </w:div>
    <w:div w:id="1021935257">
      <w:bodyDiv w:val="1"/>
      <w:marLeft w:val="0"/>
      <w:marRight w:val="0"/>
      <w:marTop w:val="0"/>
      <w:marBottom w:val="0"/>
      <w:divBdr>
        <w:top w:val="none" w:sz="0" w:space="0" w:color="auto"/>
        <w:left w:val="none" w:sz="0" w:space="0" w:color="auto"/>
        <w:bottom w:val="none" w:sz="0" w:space="0" w:color="auto"/>
        <w:right w:val="none" w:sz="0" w:space="0" w:color="auto"/>
      </w:divBdr>
    </w:div>
    <w:div w:id="1034771369">
      <w:bodyDiv w:val="1"/>
      <w:marLeft w:val="0"/>
      <w:marRight w:val="0"/>
      <w:marTop w:val="0"/>
      <w:marBottom w:val="0"/>
      <w:divBdr>
        <w:top w:val="none" w:sz="0" w:space="0" w:color="auto"/>
        <w:left w:val="none" w:sz="0" w:space="0" w:color="auto"/>
        <w:bottom w:val="none" w:sz="0" w:space="0" w:color="auto"/>
        <w:right w:val="none" w:sz="0" w:space="0" w:color="auto"/>
      </w:divBdr>
    </w:div>
    <w:div w:id="1046685016">
      <w:bodyDiv w:val="1"/>
      <w:marLeft w:val="0"/>
      <w:marRight w:val="0"/>
      <w:marTop w:val="0"/>
      <w:marBottom w:val="0"/>
      <w:divBdr>
        <w:top w:val="none" w:sz="0" w:space="0" w:color="auto"/>
        <w:left w:val="none" w:sz="0" w:space="0" w:color="auto"/>
        <w:bottom w:val="none" w:sz="0" w:space="0" w:color="auto"/>
        <w:right w:val="none" w:sz="0" w:space="0" w:color="auto"/>
      </w:divBdr>
    </w:div>
    <w:div w:id="1051340263">
      <w:bodyDiv w:val="1"/>
      <w:marLeft w:val="0"/>
      <w:marRight w:val="0"/>
      <w:marTop w:val="0"/>
      <w:marBottom w:val="0"/>
      <w:divBdr>
        <w:top w:val="none" w:sz="0" w:space="0" w:color="auto"/>
        <w:left w:val="none" w:sz="0" w:space="0" w:color="auto"/>
        <w:bottom w:val="none" w:sz="0" w:space="0" w:color="auto"/>
        <w:right w:val="none" w:sz="0" w:space="0" w:color="auto"/>
      </w:divBdr>
    </w:div>
    <w:div w:id="1105224023">
      <w:bodyDiv w:val="1"/>
      <w:marLeft w:val="0"/>
      <w:marRight w:val="0"/>
      <w:marTop w:val="0"/>
      <w:marBottom w:val="0"/>
      <w:divBdr>
        <w:top w:val="none" w:sz="0" w:space="0" w:color="auto"/>
        <w:left w:val="none" w:sz="0" w:space="0" w:color="auto"/>
        <w:bottom w:val="none" w:sz="0" w:space="0" w:color="auto"/>
        <w:right w:val="none" w:sz="0" w:space="0" w:color="auto"/>
      </w:divBdr>
    </w:div>
    <w:div w:id="1108551169">
      <w:bodyDiv w:val="1"/>
      <w:marLeft w:val="0"/>
      <w:marRight w:val="0"/>
      <w:marTop w:val="0"/>
      <w:marBottom w:val="0"/>
      <w:divBdr>
        <w:top w:val="none" w:sz="0" w:space="0" w:color="auto"/>
        <w:left w:val="none" w:sz="0" w:space="0" w:color="auto"/>
        <w:bottom w:val="none" w:sz="0" w:space="0" w:color="auto"/>
        <w:right w:val="none" w:sz="0" w:space="0" w:color="auto"/>
      </w:divBdr>
    </w:div>
    <w:div w:id="1110970485">
      <w:bodyDiv w:val="1"/>
      <w:marLeft w:val="0"/>
      <w:marRight w:val="0"/>
      <w:marTop w:val="0"/>
      <w:marBottom w:val="0"/>
      <w:divBdr>
        <w:top w:val="none" w:sz="0" w:space="0" w:color="auto"/>
        <w:left w:val="none" w:sz="0" w:space="0" w:color="auto"/>
        <w:bottom w:val="none" w:sz="0" w:space="0" w:color="auto"/>
        <w:right w:val="none" w:sz="0" w:space="0" w:color="auto"/>
      </w:divBdr>
    </w:div>
    <w:div w:id="1119447846">
      <w:bodyDiv w:val="1"/>
      <w:marLeft w:val="0"/>
      <w:marRight w:val="0"/>
      <w:marTop w:val="0"/>
      <w:marBottom w:val="0"/>
      <w:divBdr>
        <w:top w:val="none" w:sz="0" w:space="0" w:color="auto"/>
        <w:left w:val="none" w:sz="0" w:space="0" w:color="auto"/>
        <w:bottom w:val="none" w:sz="0" w:space="0" w:color="auto"/>
        <w:right w:val="none" w:sz="0" w:space="0" w:color="auto"/>
      </w:divBdr>
    </w:div>
    <w:div w:id="1131291467">
      <w:bodyDiv w:val="1"/>
      <w:marLeft w:val="0"/>
      <w:marRight w:val="0"/>
      <w:marTop w:val="0"/>
      <w:marBottom w:val="0"/>
      <w:divBdr>
        <w:top w:val="none" w:sz="0" w:space="0" w:color="auto"/>
        <w:left w:val="none" w:sz="0" w:space="0" w:color="auto"/>
        <w:bottom w:val="none" w:sz="0" w:space="0" w:color="auto"/>
        <w:right w:val="none" w:sz="0" w:space="0" w:color="auto"/>
      </w:divBdr>
    </w:div>
    <w:div w:id="1145119254">
      <w:bodyDiv w:val="1"/>
      <w:marLeft w:val="0"/>
      <w:marRight w:val="0"/>
      <w:marTop w:val="0"/>
      <w:marBottom w:val="0"/>
      <w:divBdr>
        <w:top w:val="none" w:sz="0" w:space="0" w:color="auto"/>
        <w:left w:val="none" w:sz="0" w:space="0" w:color="auto"/>
        <w:bottom w:val="none" w:sz="0" w:space="0" w:color="auto"/>
        <w:right w:val="none" w:sz="0" w:space="0" w:color="auto"/>
      </w:divBdr>
    </w:div>
    <w:div w:id="1145273766">
      <w:bodyDiv w:val="1"/>
      <w:marLeft w:val="0"/>
      <w:marRight w:val="0"/>
      <w:marTop w:val="0"/>
      <w:marBottom w:val="0"/>
      <w:divBdr>
        <w:top w:val="none" w:sz="0" w:space="0" w:color="auto"/>
        <w:left w:val="none" w:sz="0" w:space="0" w:color="auto"/>
        <w:bottom w:val="none" w:sz="0" w:space="0" w:color="auto"/>
        <w:right w:val="none" w:sz="0" w:space="0" w:color="auto"/>
      </w:divBdr>
    </w:div>
    <w:div w:id="1170025182">
      <w:bodyDiv w:val="1"/>
      <w:marLeft w:val="0"/>
      <w:marRight w:val="0"/>
      <w:marTop w:val="0"/>
      <w:marBottom w:val="0"/>
      <w:divBdr>
        <w:top w:val="none" w:sz="0" w:space="0" w:color="auto"/>
        <w:left w:val="none" w:sz="0" w:space="0" w:color="auto"/>
        <w:bottom w:val="none" w:sz="0" w:space="0" w:color="auto"/>
        <w:right w:val="none" w:sz="0" w:space="0" w:color="auto"/>
      </w:divBdr>
    </w:div>
    <w:div w:id="1174227717">
      <w:bodyDiv w:val="1"/>
      <w:marLeft w:val="0"/>
      <w:marRight w:val="0"/>
      <w:marTop w:val="0"/>
      <w:marBottom w:val="0"/>
      <w:divBdr>
        <w:top w:val="none" w:sz="0" w:space="0" w:color="auto"/>
        <w:left w:val="none" w:sz="0" w:space="0" w:color="auto"/>
        <w:bottom w:val="none" w:sz="0" w:space="0" w:color="auto"/>
        <w:right w:val="none" w:sz="0" w:space="0" w:color="auto"/>
      </w:divBdr>
    </w:div>
    <w:div w:id="1183207473">
      <w:bodyDiv w:val="1"/>
      <w:marLeft w:val="0"/>
      <w:marRight w:val="0"/>
      <w:marTop w:val="0"/>
      <w:marBottom w:val="0"/>
      <w:divBdr>
        <w:top w:val="none" w:sz="0" w:space="0" w:color="auto"/>
        <w:left w:val="none" w:sz="0" w:space="0" w:color="auto"/>
        <w:bottom w:val="none" w:sz="0" w:space="0" w:color="auto"/>
        <w:right w:val="none" w:sz="0" w:space="0" w:color="auto"/>
      </w:divBdr>
    </w:div>
    <w:div w:id="1201628991">
      <w:bodyDiv w:val="1"/>
      <w:marLeft w:val="0"/>
      <w:marRight w:val="0"/>
      <w:marTop w:val="0"/>
      <w:marBottom w:val="0"/>
      <w:divBdr>
        <w:top w:val="none" w:sz="0" w:space="0" w:color="auto"/>
        <w:left w:val="none" w:sz="0" w:space="0" w:color="auto"/>
        <w:bottom w:val="none" w:sz="0" w:space="0" w:color="auto"/>
        <w:right w:val="none" w:sz="0" w:space="0" w:color="auto"/>
      </w:divBdr>
    </w:div>
    <w:div w:id="1221329450">
      <w:bodyDiv w:val="1"/>
      <w:marLeft w:val="0"/>
      <w:marRight w:val="0"/>
      <w:marTop w:val="0"/>
      <w:marBottom w:val="0"/>
      <w:divBdr>
        <w:top w:val="none" w:sz="0" w:space="0" w:color="auto"/>
        <w:left w:val="none" w:sz="0" w:space="0" w:color="auto"/>
        <w:bottom w:val="none" w:sz="0" w:space="0" w:color="auto"/>
        <w:right w:val="none" w:sz="0" w:space="0" w:color="auto"/>
      </w:divBdr>
    </w:div>
    <w:div w:id="1227304958">
      <w:bodyDiv w:val="1"/>
      <w:marLeft w:val="0"/>
      <w:marRight w:val="0"/>
      <w:marTop w:val="0"/>
      <w:marBottom w:val="0"/>
      <w:divBdr>
        <w:top w:val="none" w:sz="0" w:space="0" w:color="auto"/>
        <w:left w:val="none" w:sz="0" w:space="0" w:color="auto"/>
        <w:bottom w:val="none" w:sz="0" w:space="0" w:color="auto"/>
        <w:right w:val="none" w:sz="0" w:space="0" w:color="auto"/>
      </w:divBdr>
    </w:div>
    <w:div w:id="1236280174">
      <w:bodyDiv w:val="1"/>
      <w:marLeft w:val="0"/>
      <w:marRight w:val="0"/>
      <w:marTop w:val="0"/>
      <w:marBottom w:val="0"/>
      <w:divBdr>
        <w:top w:val="none" w:sz="0" w:space="0" w:color="auto"/>
        <w:left w:val="none" w:sz="0" w:space="0" w:color="auto"/>
        <w:bottom w:val="none" w:sz="0" w:space="0" w:color="auto"/>
        <w:right w:val="none" w:sz="0" w:space="0" w:color="auto"/>
      </w:divBdr>
    </w:div>
    <w:div w:id="1239558208">
      <w:bodyDiv w:val="1"/>
      <w:marLeft w:val="0"/>
      <w:marRight w:val="0"/>
      <w:marTop w:val="0"/>
      <w:marBottom w:val="0"/>
      <w:divBdr>
        <w:top w:val="none" w:sz="0" w:space="0" w:color="auto"/>
        <w:left w:val="none" w:sz="0" w:space="0" w:color="auto"/>
        <w:bottom w:val="none" w:sz="0" w:space="0" w:color="auto"/>
        <w:right w:val="none" w:sz="0" w:space="0" w:color="auto"/>
      </w:divBdr>
    </w:div>
    <w:div w:id="1265654663">
      <w:bodyDiv w:val="1"/>
      <w:marLeft w:val="0"/>
      <w:marRight w:val="0"/>
      <w:marTop w:val="0"/>
      <w:marBottom w:val="0"/>
      <w:divBdr>
        <w:top w:val="none" w:sz="0" w:space="0" w:color="auto"/>
        <w:left w:val="none" w:sz="0" w:space="0" w:color="auto"/>
        <w:bottom w:val="none" w:sz="0" w:space="0" w:color="auto"/>
        <w:right w:val="none" w:sz="0" w:space="0" w:color="auto"/>
      </w:divBdr>
    </w:div>
    <w:div w:id="1267152390">
      <w:bodyDiv w:val="1"/>
      <w:marLeft w:val="0"/>
      <w:marRight w:val="0"/>
      <w:marTop w:val="0"/>
      <w:marBottom w:val="0"/>
      <w:divBdr>
        <w:top w:val="none" w:sz="0" w:space="0" w:color="auto"/>
        <w:left w:val="none" w:sz="0" w:space="0" w:color="auto"/>
        <w:bottom w:val="none" w:sz="0" w:space="0" w:color="auto"/>
        <w:right w:val="none" w:sz="0" w:space="0" w:color="auto"/>
      </w:divBdr>
    </w:div>
    <w:div w:id="1281834520">
      <w:bodyDiv w:val="1"/>
      <w:marLeft w:val="0"/>
      <w:marRight w:val="0"/>
      <w:marTop w:val="0"/>
      <w:marBottom w:val="0"/>
      <w:divBdr>
        <w:top w:val="none" w:sz="0" w:space="0" w:color="auto"/>
        <w:left w:val="none" w:sz="0" w:space="0" w:color="auto"/>
        <w:bottom w:val="none" w:sz="0" w:space="0" w:color="auto"/>
        <w:right w:val="none" w:sz="0" w:space="0" w:color="auto"/>
      </w:divBdr>
    </w:div>
    <w:div w:id="1294209603">
      <w:bodyDiv w:val="1"/>
      <w:marLeft w:val="0"/>
      <w:marRight w:val="0"/>
      <w:marTop w:val="0"/>
      <w:marBottom w:val="0"/>
      <w:divBdr>
        <w:top w:val="none" w:sz="0" w:space="0" w:color="auto"/>
        <w:left w:val="none" w:sz="0" w:space="0" w:color="auto"/>
        <w:bottom w:val="none" w:sz="0" w:space="0" w:color="auto"/>
        <w:right w:val="none" w:sz="0" w:space="0" w:color="auto"/>
      </w:divBdr>
    </w:div>
    <w:div w:id="1297027530">
      <w:bodyDiv w:val="1"/>
      <w:marLeft w:val="0"/>
      <w:marRight w:val="0"/>
      <w:marTop w:val="0"/>
      <w:marBottom w:val="0"/>
      <w:divBdr>
        <w:top w:val="none" w:sz="0" w:space="0" w:color="auto"/>
        <w:left w:val="none" w:sz="0" w:space="0" w:color="auto"/>
        <w:bottom w:val="none" w:sz="0" w:space="0" w:color="auto"/>
        <w:right w:val="none" w:sz="0" w:space="0" w:color="auto"/>
      </w:divBdr>
    </w:div>
    <w:div w:id="1300645612">
      <w:bodyDiv w:val="1"/>
      <w:marLeft w:val="0"/>
      <w:marRight w:val="0"/>
      <w:marTop w:val="0"/>
      <w:marBottom w:val="0"/>
      <w:divBdr>
        <w:top w:val="none" w:sz="0" w:space="0" w:color="auto"/>
        <w:left w:val="none" w:sz="0" w:space="0" w:color="auto"/>
        <w:bottom w:val="none" w:sz="0" w:space="0" w:color="auto"/>
        <w:right w:val="none" w:sz="0" w:space="0" w:color="auto"/>
      </w:divBdr>
    </w:div>
    <w:div w:id="1301613474">
      <w:bodyDiv w:val="1"/>
      <w:marLeft w:val="0"/>
      <w:marRight w:val="0"/>
      <w:marTop w:val="0"/>
      <w:marBottom w:val="0"/>
      <w:divBdr>
        <w:top w:val="none" w:sz="0" w:space="0" w:color="auto"/>
        <w:left w:val="none" w:sz="0" w:space="0" w:color="auto"/>
        <w:bottom w:val="none" w:sz="0" w:space="0" w:color="auto"/>
        <w:right w:val="none" w:sz="0" w:space="0" w:color="auto"/>
      </w:divBdr>
    </w:div>
    <w:div w:id="1308974970">
      <w:bodyDiv w:val="1"/>
      <w:marLeft w:val="0"/>
      <w:marRight w:val="0"/>
      <w:marTop w:val="0"/>
      <w:marBottom w:val="0"/>
      <w:divBdr>
        <w:top w:val="none" w:sz="0" w:space="0" w:color="auto"/>
        <w:left w:val="none" w:sz="0" w:space="0" w:color="auto"/>
        <w:bottom w:val="none" w:sz="0" w:space="0" w:color="auto"/>
        <w:right w:val="none" w:sz="0" w:space="0" w:color="auto"/>
      </w:divBdr>
    </w:div>
    <w:div w:id="1322656363">
      <w:bodyDiv w:val="1"/>
      <w:marLeft w:val="0"/>
      <w:marRight w:val="0"/>
      <w:marTop w:val="0"/>
      <w:marBottom w:val="0"/>
      <w:divBdr>
        <w:top w:val="none" w:sz="0" w:space="0" w:color="auto"/>
        <w:left w:val="none" w:sz="0" w:space="0" w:color="auto"/>
        <w:bottom w:val="none" w:sz="0" w:space="0" w:color="auto"/>
        <w:right w:val="none" w:sz="0" w:space="0" w:color="auto"/>
      </w:divBdr>
    </w:div>
    <w:div w:id="1332484095">
      <w:bodyDiv w:val="1"/>
      <w:marLeft w:val="0"/>
      <w:marRight w:val="0"/>
      <w:marTop w:val="0"/>
      <w:marBottom w:val="0"/>
      <w:divBdr>
        <w:top w:val="none" w:sz="0" w:space="0" w:color="auto"/>
        <w:left w:val="none" w:sz="0" w:space="0" w:color="auto"/>
        <w:bottom w:val="none" w:sz="0" w:space="0" w:color="auto"/>
        <w:right w:val="none" w:sz="0" w:space="0" w:color="auto"/>
      </w:divBdr>
    </w:div>
    <w:div w:id="1333681285">
      <w:bodyDiv w:val="1"/>
      <w:marLeft w:val="0"/>
      <w:marRight w:val="0"/>
      <w:marTop w:val="0"/>
      <w:marBottom w:val="0"/>
      <w:divBdr>
        <w:top w:val="none" w:sz="0" w:space="0" w:color="auto"/>
        <w:left w:val="none" w:sz="0" w:space="0" w:color="auto"/>
        <w:bottom w:val="none" w:sz="0" w:space="0" w:color="auto"/>
        <w:right w:val="none" w:sz="0" w:space="0" w:color="auto"/>
      </w:divBdr>
    </w:div>
    <w:div w:id="1348600954">
      <w:bodyDiv w:val="1"/>
      <w:marLeft w:val="0"/>
      <w:marRight w:val="0"/>
      <w:marTop w:val="0"/>
      <w:marBottom w:val="0"/>
      <w:divBdr>
        <w:top w:val="none" w:sz="0" w:space="0" w:color="auto"/>
        <w:left w:val="none" w:sz="0" w:space="0" w:color="auto"/>
        <w:bottom w:val="none" w:sz="0" w:space="0" w:color="auto"/>
        <w:right w:val="none" w:sz="0" w:space="0" w:color="auto"/>
      </w:divBdr>
    </w:div>
    <w:div w:id="1350252618">
      <w:bodyDiv w:val="1"/>
      <w:marLeft w:val="0"/>
      <w:marRight w:val="0"/>
      <w:marTop w:val="0"/>
      <w:marBottom w:val="0"/>
      <w:divBdr>
        <w:top w:val="none" w:sz="0" w:space="0" w:color="auto"/>
        <w:left w:val="none" w:sz="0" w:space="0" w:color="auto"/>
        <w:bottom w:val="none" w:sz="0" w:space="0" w:color="auto"/>
        <w:right w:val="none" w:sz="0" w:space="0" w:color="auto"/>
      </w:divBdr>
    </w:div>
    <w:div w:id="1379278481">
      <w:bodyDiv w:val="1"/>
      <w:marLeft w:val="0"/>
      <w:marRight w:val="0"/>
      <w:marTop w:val="0"/>
      <w:marBottom w:val="0"/>
      <w:divBdr>
        <w:top w:val="none" w:sz="0" w:space="0" w:color="auto"/>
        <w:left w:val="none" w:sz="0" w:space="0" w:color="auto"/>
        <w:bottom w:val="none" w:sz="0" w:space="0" w:color="auto"/>
        <w:right w:val="none" w:sz="0" w:space="0" w:color="auto"/>
      </w:divBdr>
    </w:div>
    <w:div w:id="1389453575">
      <w:bodyDiv w:val="1"/>
      <w:marLeft w:val="0"/>
      <w:marRight w:val="0"/>
      <w:marTop w:val="0"/>
      <w:marBottom w:val="0"/>
      <w:divBdr>
        <w:top w:val="none" w:sz="0" w:space="0" w:color="auto"/>
        <w:left w:val="none" w:sz="0" w:space="0" w:color="auto"/>
        <w:bottom w:val="none" w:sz="0" w:space="0" w:color="auto"/>
        <w:right w:val="none" w:sz="0" w:space="0" w:color="auto"/>
      </w:divBdr>
    </w:div>
    <w:div w:id="1412971411">
      <w:bodyDiv w:val="1"/>
      <w:marLeft w:val="0"/>
      <w:marRight w:val="0"/>
      <w:marTop w:val="0"/>
      <w:marBottom w:val="0"/>
      <w:divBdr>
        <w:top w:val="none" w:sz="0" w:space="0" w:color="auto"/>
        <w:left w:val="none" w:sz="0" w:space="0" w:color="auto"/>
        <w:bottom w:val="none" w:sz="0" w:space="0" w:color="auto"/>
        <w:right w:val="none" w:sz="0" w:space="0" w:color="auto"/>
      </w:divBdr>
    </w:div>
    <w:div w:id="1425496563">
      <w:bodyDiv w:val="1"/>
      <w:marLeft w:val="0"/>
      <w:marRight w:val="0"/>
      <w:marTop w:val="0"/>
      <w:marBottom w:val="0"/>
      <w:divBdr>
        <w:top w:val="none" w:sz="0" w:space="0" w:color="auto"/>
        <w:left w:val="none" w:sz="0" w:space="0" w:color="auto"/>
        <w:bottom w:val="none" w:sz="0" w:space="0" w:color="auto"/>
        <w:right w:val="none" w:sz="0" w:space="0" w:color="auto"/>
      </w:divBdr>
    </w:div>
    <w:div w:id="1431241601">
      <w:bodyDiv w:val="1"/>
      <w:marLeft w:val="0"/>
      <w:marRight w:val="0"/>
      <w:marTop w:val="0"/>
      <w:marBottom w:val="0"/>
      <w:divBdr>
        <w:top w:val="none" w:sz="0" w:space="0" w:color="auto"/>
        <w:left w:val="none" w:sz="0" w:space="0" w:color="auto"/>
        <w:bottom w:val="none" w:sz="0" w:space="0" w:color="auto"/>
        <w:right w:val="none" w:sz="0" w:space="0" w:color="auto"/>
      </w:divBdr>
    </w:div>
    <w:div w:id="1448238634">
      <w:bodyDiv w:val="1"/>
      <w:marLeft w:val="0"/>
      <w:marRight w:val="0"/>
      <w:marTop w:val="0"/>
      <w:marBottom w:val="0"/>
      <w:divBdr>
        <w:top w:val="none" w:sz="0" w:space="0" w:color="auto"/>
        <w:left w:val="none" w:sz="0" w:space="0" w:color="auto"/>
        <w:bottom w:val="none" w:sz="0" w:space="0" w:color="auto"/>
        <w:right w:val="none" w:sz="0" w:space="0" w:color="auto"/>
      </w:divBdr>
    </w:div>
    <w:div w:id="1457673309">
      <w:bodyDiv w:val="1"/>
      <w:marLeft w:val="0"/>
      <w:marRight w:val="0"/>
      <w:marTop w:val="0"/>
      <w:marBottom w:val="0"/>
      <w:divBdr>
        <w:top w:val="none" w:sz="0" w:space="0" w:color="auto"/>
        <w:left w:val="none" w:sz="0" w:space="0" w:color="auto"/>
        <w:bottom w:val="none" w:sz="0" w:space="0" w:color="auto"/>
        <w:right w:val="none" w:sz="0" w:space="0" w:color="auto"/>
      </w:divBdr>
    </w:div>
    <w:div w:id="1471558341">
      <w:bodyDiv w:val="1"/>
      <w:marLeft w:val="0"/>
      <w:marRight w:val="0"/>
      <w:marTop w:val="0"/>
      <w:marBottom w:val="0"/>
      <w:divBdr>
        <w:top w:val="none" w:sz="0" w:space="0" w:color="auto"/>
        <w:left w:val="none" w:sz="0" w:space="0" w:color="auto"/>
        <w:bottom w:val="none" w:sz="0" w:space="0" w:color="auto"/>
        <w:right w:val="none" w:sz="0" w:space="0" w:color="auto"/>
      </w:divBdr>
    </w:div>
    <w:div w:id="1486357444">
      <w:bodyDiv w:val="1"/>
      <w:marLeft w:val="0"/>
      <w:marRight w:val="0"/>
      <w:marTop w:val="0"/>
      <w:marBottom w:val="0"/>
      <w:divBdr>
        <w:top w:val="none" w:sz="0" w:space="0" w:color="auto"/>
        <w:left w:val="none" w:sz="0" w:space="0" w:color="auto"/>
        <w:bottom w:val="none" w:sz="0" w:space="0" w:color="auto"/>
        <w:right w:val="none" w:sz="0" w:space="0" w:color="auto"/>
      </w:divBdr>
    </w:div>
    <w:div w:id="1494026582">
      <w:bodyDiv w:val="1"/>
      <w:marLeft w:val="0"/>
      <w:marRight w:val="0"/>
      <w:marTop w:val="0"/>
      <w:marBottom w:val="0"/>
      <w:divBdr>
        <w:top w:val="none" w:sz="0" w:space="0" w:color="auto"/>
        <w:left w:val="none" w:sz="0" w:space="0" w:color="auto"/>
        <w:bottom w:val="none" w:sz="0" w:space="0" w:color="auto"/>
        <w:right w:val="none" w:sz="0" w:space="0" w:color="auto"/>
      </w:divBdr>
    </w:div>
    <w:div w:id="1510870655">
      <w:bodyDiv w:val="1"/>
      <w:marLeft w:val="0"/>
      <w:marRight w:val="0"/>
      <w:marTop w:val="0"/>
      <w:marBottom w:val="0"/>
      <w:divBdr>
        <w:top w:val="none" w:sz="0" w:space="0" w:color="auto"/>
        <w:left w:val="none" w:sz="0" w:space="0" w:color="auto"/>
        <w:bottom w:val="none" w:sz="0" w:space="0" w:color="auto"/>
        <w:right w:val="none" w:sz="0" w:space="0" w:color="auto"/>
      </w:divBdr>
    </w:div>
    <w:div w:id="1521352997">
      <w:bodyDiv w:val="1"/>
      <w:marLeft w:val="0"/>
      <w:marRight w:val="0"/>
      <w:marTop w:val="0"/>
      <w:marBottom w:val="0"/>
      <w:divBdr>
        <w:top w:val="none" w:sz="0" w:space="0" w:color="auto"/>
        <w:left w:val="none" w:sz="0" w:space="0" w:color="auto"/>
        <w:bottom w:val="none" w:sz="0" w:space="0" w:color="auto"/>
        <w:right w:val="none" w:sz="0" w:space="0" w:color="auto"/>
      </w:divBdr>
    </w:div>
    <w:div w:id="1529101465">
      <w:bodyDiv w:val="1"/>
      <w:marLeft w:val="0"/>
      <w:marRight w:val="0"/>
      <w:marTop w:val="0"/>
      <w:marBottom w:val="0"/>
      <w:divBdr>
        <w:top w:val="none" w:sz="0" w:space="0" w:color="auto"/>
        <w:left w:val="none" w:sz="0" w:space="0" w:color="auto"/>
        <w:bottom w:val="none" w:sz="0" w:space="0" w:color="auto"/>
        <w:right w:val="none" w:sz="0" w:space="0" w:color="auto"/>
      </w:divBdr>
    </w:div>
    <w:div w:id="1537690702">
      <w:bodyDiv w:val="1"/>
      <w:marLeft w:val="0"/>
      <w:marRight w:val="0"/>
      <w:marTop w:val="0"/>
      <w:marBottom w:val="0"/>
      <w:divBdr>
        <w:top w:val="none" w:sz="0" w:space="0" w:color="auto"/>
        <w:left w:val="none" w:sz="0" w:space="0" w:color="auto"/>
        <w:bottom w:val="none" w:sz="0" w:space="0" w:color="auto"/>
        <w:right w:val="none" w:sz="0" w:space="0" w:color="auto"/>
      </w:divBdr>
    </w:div>
    <w:div w:id="1556894431">
      <w:bodyDiv w:val="1"/>
      <w:marLeft w:val="0"/>
      <w:marRight w:val="0"/>
      <w:marTop w:val="0"/>
      <w:marBottom w:val="0"/>
      <w:divBdr>
        <w:top w:val="none" w:sz="0" w:space="0" w:color="auto"/>
        <w:left w:val="none" w:sz="0" w:space="0" w:color="auto"/>
        <w:bottom w:val="none" w:sz="0" w:space="0" w:color="auto"/>
        <w:right w:val="none" w:sz="0" w:space="0" w:color="auto"/>
      </w:divBdr>
    </w:div>
    <w:div w:id="1559170907">
      <w:bodyDiv w:val="1"/>
      <w:marLeft w:val="0"/>
      <w:marRight w:val="0"/>
      <w:marTop w:val="0"/>
      <w:marBottom w:val="0"/>
      <w:divBdr>
        <w:top w:val="none" w:sz="0" w:space="0" w:color="auto"/>
        <w:left w:val="none" w:sz="0" w:space="0" w:color="auto"/>
        <w:bottom w:val="none" w:sz="0" w:space="0" w:color="auto"/>
        <w:right w:val="none" w:sz="0" w:space="0" w:color="auto"/>
      </w:divBdr>
    </w:div>
    <w:div w:id="1575163069">
      <w:bodyDiv w:val="1"/>
      <w:marLeft w:val="0"/>
      <w:marRight w:val="0"/>
      <w:marTop w:val="0"/>
      <w:marBottom w:val="0"/>
      <w:divBdr>
        <w:top w:val="none" w:sz="0" w:space="0" w:color="auto"/>
        <w:left w:val="none" w:sz="0" w:space="0" w:color="auto"/>
        <w:bottom w:val="none" w:sz="0" w:space="0" w:color="auto"/>
        <w:right w:val="none" w:sz="0" w:space="0" w:color="auto"/>
      </w:divBdr>
    </w:div>
    <w:div w:id="1609703802">
      <w:bodyDiv w:val="1"/>
      <w:marLeft w:val="0"/>
      <w:marRight w:val="0"/>
      <w:marTop w:val="0"/>
      <w:marBottom w:val="0"/>
      <w:divBdr>
        <w:top w:val="none" w:sz="0" w:space="0" w:color="auto"/>
        <w:left w:val="none" w:sz="0" w:space="0" w:color="auto"/>
        <w:bottom w:val="none" w:sz="0" w:space="0" w:color="auto"/>
        <w:right w:val="none" w:sz="0" w:space="0" w:color="auto"/>
      </w:divBdr>
    </w:div>
    <w:div w:id="1614097533">
      <w:bodyDiv w:val="1"/>
      <w:marLeft w:val="0"/>
      <w:marRight w:val="0"/>
      <w:marTop w:val="0"/>
      <w:marBottom w:val="0"/>
      <w:divBdr>
        <w:top w:val="none" w:sz="0" w:space="0" w:color="auto"/>
        <w:left w:val="none" w:sz="0" w:space="0" w:color="auto"/>
        <w:bottom w:val="none" w:sz="0" w:space="0" w:color="auto"/>
        <w:right w:val="none" w:sz="0" w:space="0" w:color="auto"/>
      </w:divBdr>
    </w:div>
    <w:div w:id="1631740443">
      <w:bodyDiv w:val="1"/>
      <w:marLeft w:val="0"/>
      <w:marRight w:val="0"/>
      <w:marTop w:val="0"/>
      <w:marBottom w:val="0"/>
      <w:divBdr>
        <w:top w:val="none" w:sz="0" w:space="0" w:color="auto"/>
        <w:left w:val="none" w:sz="0" w:space="0" w:color="auto"/>
        <w:bottom w:val="none" w:sz="0" w:space="0" w:color="auto"/>
        <w:right w:val="none" w:sz="0" w:space="0" w:color="auto"/>
      </w:divBdr>
    </w:div>
    <w:div w:id="1653024548">
      <w:bodyDiv w:val="1"/>
      <w:marLeft w:val="0"/>
      <w:marRight w:val="0"/>
      <w:marTop w:val="0"/>
      <w:marBottom w:val="0"/>
      <w:divBdr>
        <w:top w:val="none" w:sz="0" w:space="0" w:color="auto"/>
        <w:left w:val="none" w:sz="0" w:space="0" w:color="auto"/>
        <w:bottom w:val="none" w:sz="0" w:space="0" w:color="auto"/>
        <w:right w:val="none" w:sz="0" w:space="0" w:color="auto"/>
      </w:divBdr>
    </w:div>
    <w:div w:id="1658877870">
      <w:bodyDiv w:val="1"/>
      <w:marLeft w:val="0"/>
      <w:marRight w:val="0"/>
      <w:marTop w:val="0"/>
      <w:marBottom w:val="0"/>
      <w:divBdr>
        <w:top w:val="none" w:sz="0" w:space="0" w:color="auto"/>
        <w:left w:val="none" w:sz="0" w:space="0" w:color="auto"/>
        <w:bottom w:val="none" w:sz="0" w:space="0" w:color="auto"/>
        <w:right w:val="none" w:sz="0" w:space="0" w:color="auto"/>
      </w:divBdr>
    </w:div>
    <w:div w:id="1668442103">
      <w:bodyDiv w:val="1"/>
      <w:marLeft w:val="0"/>
      <w:marRight w:val="0"/>
      <w:marTop w:val="0"/>
      <w:marBottom w:val="0"/>
      <w:divBdr>
        <w:top w:val="none" w:sz="0" w:space="0" w:color="auto"/>
        <w:left w:val="none" w:sz="0" w:space="0" w:color="auto"/>
        <w:bottom w:val="none" w:sz="0" w:space="0" w:color="auto"/>
        <w:right w:val="none" w:sz="0" w:space="0" w:color="auto"/>
      </w:divBdr>
    </w:div>
    <w:div w:id="1668825632">
      <w:bodyDiv w:val="1"/>
      <w:marLeft w:val="0"/>
      <w:marRight w:val="0"/>
      <w:marTop w:val="0"/>
      <w:marBottom w:val="0"/>
      <w:divBdr>
        <w:top w:val="none" w:sz="0" w:space="0" w:color="auto"/>
        <w:left w:val="none" w:sz="0" w:space="0" w:color="auto"/>
        <w:bottom w:val="none" w:sz="0" w:space="0" w:color="auto"/>
        <w:right w:val="none" w:sz="0" w:space="0" w:color="auto"/>
      </w:divBdr>
    </w:div>
    <w:div w:id="1674066897">
      <w:bodyDiv w:val="1"/>
      <w:marLeft w:val="0"/>
      <w:marRight w:val="0"/>
      <w:marTop w:val="0"/>
      <w:marBottom w:val="0"/>
      <w:divBdr>
        <w:top w:val="none" w:sz="0" w:space="0" w:color="auto"/>
        <w:left w:val="none" w:sz="0" w:space="0" w:color="auto"/>
        <w:bottom w:val="none" w:sz="0" w:space="0" w:color="auto"/>
        <w:right w:val="none" w:sz="0" w:space="0" w:color="auto"/>
      </w:divBdr>
    </w:div>
    <w:div w:id="1676029632">
      <w:bodyDiv w:val="1"/>
      <w:marLeft w:val="0"/>
      <w:marRight w:val="0"/>
      <w:marTop w:val="0"/>
      <w:marBottom w:val="0"/>
      <w:divBdr>
        <w:top w:val="none" w:sz="0" w:space="0" w:color="auto"/>
        <w:left w:val="none" w:sz="0" w:space="0" w:color="auto"/>
        <w:bottom w:val="none" w:sz="0" w:space="0" w:color="auto"/>
        <w:right w:val="none" w:sz="0" w:space="0" w:color="auto"/>
      </w:divBdr>
    </w:div>
    <w:div w:id="1691643465">
      <w:bodyDiv w:val="1"/>
      <w:marLeft w:val="0"/>
      <w:marRight w:val="0"/>
      <w:marTop w:val="0"/>
      <w:marBottom w:val="0"/>
      <w:divBdr>
        <w:top w:val="none" w:sz="0" w:space="0" w:color="auto"/>
        <w:left w:val="none" w:sz="0" w:space="0" w:color="auto"/>
        <w:bottom w:val="none" w:sz="0" w:space="0" w:color="auto"/>
        <w:right w:val="none" w:sz="0" w:space="0" w:color="auto"/>
      </w:divBdr>
    </w:div>
    <w:div w:id="1694726385">
      <w:bodyDiv w:val="1"/>
      <w:marLeft w:val="0"/>
      <w:marRight w:val="0"/>
      <w:marTop w:val="0"/>
      <w:marBottom w:val="0"/>
      <w:divBdr>
        <w:top w:val="none" w:sz="0" w:space="0" w:color="auto"/>
        <w:left w:val="none" w:sz="0" w:space="0" w:color="auto"/>
        <w:bottom w:val="none" w:sz="0" w:space="0" w:color="auto"/>
        <w:right w:val="none" w:sz="0" w:space="0" w:color="auto"/>
      </w:divBdr>
    </w:div>
    <w:div w:id="1699618119">
      <w:bodyDiv w:val="1"/>
      <w:marLeft w:val="0"/>
      <w:marRight w:val="0"/>
      <w:marTop w:val="0"/>
      <w:marBottom w:val="0"/>
      <w:divBdr>
        <w:top w:val="none" w:sz="0" w:space="0" w:color="auto"/>
        <w:left w:val="none" w:sz="0" w:space="0" w:color="auto"/>
        <w:bottom w:val="none" w:sz="0" w:space="0" w:color="auto"/>
        <w:right w:val="none" w:sz="0" w:space="0" w:color="auto"/>
      </w:divBdr>
    </w:div>
    <w:div w:id="1710757918">
      <w:bodyDiv w:val="1"/>
      <w:marLeft w:val="0"/>
      <w:marRight w:val="0"/>
      <w:marTop w:val="0"/>
      <w:marBottom w:val="0"/>
      <w:divBdr>
        <w:top w:val="none" w:sz="0" w:space="0" w:color="auto"/>
        <w:left w:val="none" w:sz="0" w:space="0" w:color="auto"/>
        <w:bottom w:val="none" w:sz="0" w:space="0" w:color="auto"/>
        <w:right w:val="none" w:sz="0" w:space="0" w:color="auto"/>
      </w:divBdr>
    </w:div>
    <w:div w:id="1715153357">
      <w:bodyDiv w:val="1"/>
      <w:marLeft w:val="0"/>
      <w:marRight w:val="0"/>
      <w:marTop w:val="0"/>
      <w:marBottom w:val="0"/>
      <w:divBdr>
        <w:top w:val="none" w:sz="0" w:space="0" w:color="auto"/>
        <w:left w:val="none" w:sz="0" w:space="0" w:color="auto"/>
        <w:bottom w:val="none" w:sz="0" w:space="0" w:color="auto"/>
        <w:right w:val="none" w:sz="0" w:space="0" w:color="auto"/>
      </w:divBdr>
    </w:div>
    <w:div w:id="1716662827">
      <w:bodyDiv w:val="1"/>
      <w:marLeft w:val="0"/>
      <w:marRight w:val="0"/>
      <w:marTop w:val="0"/>
      <w:marBottom w:val="0"/>
      <w:divBdr>
        <w:top w:val="none" w:sz="0" w:space="0" w:color="auto"/>
        <w:left w:val="none" w:sz="0" w:space="0" w:color="auto"/>
        <w:bottom w:val="none" w:sz="0" w:space="0" w:color="auto"/>
        <w:right w:val="none" w:sz="0" w:space="0" w:color="auto"/>
      </w:divBdr>
    </w:div>
    <w:div w:id="1739551954">
      <w:bodyDiv w:val="1"/>
      <w:marLeft w:val="0"/>
      <w:marRight w:val="0"/>
      <w:marTop w:val="0"/>
      <w:marBottom w:val="0"/>
      <w:divBdr>
        <w:top w:val="none" w:sz="0" w:space="0" w:color="auto"/>
        <w:left w:val="none" w:sz="0" w:space="0" w:color="auto"/>
        <w:bottom w:val="none" w:sz="0" w:space="0" w:color="auto"/>
        <w:right w:val="none" w:sz="0" w:space="0" w:color="auto"/>
      </w:divBdr>
    </w:div>
    <w:div w:id="1742361380">
      <w:bodyDiv w:val="1"/>
      <w:marLeft w:val="0"/>
      <w:marRight w:val="0"/>
      <w:marTop w:val="0"/>
      <w:marBottom w:val="0"/>
      <w:divBdr>
        <w:top w:val="none" w:sz="0" w:space="0" w:color="auto"/>
        <w:left w:val="none" w:sz="0" w:space="0" w:color="auto"/>
        <w:bottom w:val="none" w:sz="0" w:space="0" w:color="auto"/>
        <w:right w:val="none" w:sz="0" w:space="0" w:color="auto"/>
      </w:divBdr>
    </w:div>
    <w:div w:id="1762870549">
      <w:bodyDiv w:val="1"/>
      <w:marLeft w:val="0"/>
      <w:marRight w:val="0"/>
      <w:marTop w:val="0"/>
      <w:marBottom w:val="0"/>
      <w:divBdr>
        <w:top w:val="none" w:sz="0" w:space="0" w:color="auto"/>
        <w:left w:val="none" w:sz="0" w:space="0" w:color="auto"/>
        <w:bottom w:val="none" w:sz="0" w:space="0" w:color="auto"/>
        <w:right w:val="none" w:sz="0" w:space="0" w:color="auto"/>
      </w:divBdr>
    </w:div>
    <w:div w:id="1793747427">
      <w:bodyDiv w:val="1"/>
      <w:marLeft w:val="0"/>
      <w:marRight w:val="0"/>
      <w:marTop w:val="0"/>
      <w:marBottom w:val="0"/>
      <w:divBdr>
        <w:top w:val="none" w:sz="0" w:space="0" w:color="auto"/>
        <w:left w:val="none" w:sz="0" w:space="0" w:color="auto"/>
        <w:bottom w:val="none" w:sz="0" w:space="0" w:color="auto"/>
        <w:right w:val="none" w:sz="0" w:space="0" w:color="auto"/>
      </w:divBdr>
    </w:div>
    <w:div w:id="1797790213">
      <w:bodyDiv w:val="1"/>
      <w:marLeft w:val="0"/>
      <w:marRight w:val="0"/>
      <w:marTop w:val="0"/>
      <w:marBottom w:val="0"/>
      <w:divBdr>
        <w:top w:val="none" w:sz="0" w:space="0" w:color="auto"/>
        <w:left w:val="none" w:sz="0" w:space="0" w:color="auto"/>
        <w:bottom w:val="none" w:sz="0" w:space="0" w:color="auto"/>
        <w:right w:val="none" w:sz="0" w:space="0" w:color="auto"/>
      </w:divBdr>
    </w:div>
    <w:div w:id="1807509435">
      <w:bodyDiv w:val="1"/>
      <w:marLeft w:val="0"/>
      <w:marRight w:val="0"/>
      <w:marTop w:val="0"/>
      <w:marBottom w:val="0"/>
      <w:divBdr>
        <w:top w:val="none" w:sz="0" w:space="0" w:color="auto"/>
        <w:left w:val="none" w:sz="0" w:space="0" w:color="auto"/>
        <w:bottom w:val="none" w:sz="0" w:space="0" w:color="auto"/>
        <w:right w:val="none" w:sz="0" w:space="0" w:color="auto"/>
      </w:divBdr>
    </w:div>
    <w:div w:id="1827698303">
      <w:bodyDiv w:val="1"/>
      <w:marLeft w:val="0"/>
      <w:marRight w:val="0"/>
      <w:marTop w:val="0"/>
      <w:marBottom w:val="0"/>
      <w:divBdr>
        <w:top w:val="none" w:sz="0" w:space="0" w:color="auto"/>
        <w:left w:val="none" w:sz="0" w:space="0" w:color="auto"/>
        <w:bottom w:val="none" w:sz="0" w:space="0" w:color="auto"/>
        <w:right w:val="none" w:sz="0" w:space="0" w:color="auto"/>
      </w:divBdr>
    </w:div>
    <w:div w:id="1841847013">
      <w:bodyDiv w:val="1"/>
      <w:marLeft w:val="0"/>
      <w:marRight w:val="0"/>
      <w:marTop w:val="0"/>
      <w:marBottom w:val="0"/>
      <w:divBdr>
        <w:top w:val="none" w:sz="0" w:space="0" w:color="auto"/>
        <w:left w:val="none" w:sz="0" w:space="0" w:color="auto"/>
        <w:bottom w:val="none" w:sz="0" w:space="0" w:color="auto"/>
        <w:right w:val="none" w:sz="0" w:space="0" w:color="auto"/>
      </w:divBdr>
    </w:div>
    <w:div w:id="1908570102">
      <w:bodyDiv w:val="1"/>
      <w:marLeft w:val="0"/>
      <w:marRight w:val="0"/>
      <w:marTop w:val="0"/>
      <w:marBottom w:val="0"/>
      <w:divBdr>
        <w:top w:val="none" w:sz="0" w:space="0" w:color="auto"/>
        <w:left w:val="none" w:sz="0" w:space="0" w:color="auto"/>
        <w:bottom w:val="none" w:sz="0" w:space="0" w:color="auto"/>
        <w:right w:val="none" w:sz="0" w:space="0" w:color="auto"/>
      </w:divBdr>
    </w:div>
    <w:div w:id="1963420083">
      <w:bodyDiv w:val="1"/>
      <w:marLeft w:val="0"/>
      <w:marRight w:val="0"/>
      <w:marTop w:val="0"/>
      <w:marBottom w:val="0"/>
      <w:divBdr>
        <w:top w:val="none" w:sz="0" w:space="0" w:color="auto"/>
        <w:left w:val="none" w:sz="0" w:space="0" w:color="auto"/>
        <w:bottom w:val="none" w:sz="0" w:space="0" w:color="auto"/>
        <w:right w:val="none" w:sz="0" w:space="0" w:color="auto"/>
      </w:divBdr>
    </w:div>
    <w:div w:id="1964115677">
      <w:bodyDiv w:val="1"/>
      <w:marLeft w:val="0"/>
      <w:marRight w:val="0"/>
      <w:marTop w:val="0"/>
      <w:marBottom w:val="0"/>
      <w:divBdr>
        <w:top w:val="none" w:sz="0" w:space="0" w:color="auto"/>
        <w:left w:val="none" w:sz="0" w:space="0" w:color="auto"/>
        <w:bottom w:val="none" w:sz="0" w:space="0" w:color="auto"/>
        <w:right w:val="none" w:sz="0" w:space="0" w:color="auto"/>
      </w:divBdr>
    </w:div>
    <w:div w:id="2114549586">
      <w:bodyDiv w:val="1"/>
      <w:marLeft w:val="0"/>
      <w:marRight w:val="0"/>
      <w:marTop w:val="0"/>
      <w:marBottom w:val="0"/>
      <w:divBdr>
        <w:top w:val="none" w:sz="0" w:space="0" w:color="auto"/>
        <w:left w:val="none" w:sz="0" w:space="0" w:color="auto"/>
        <w:bottom w:val="none" w:sz="0" w:space="0" w:color="auto"/>
        <w:right w:val="none" w:sz="0" w:space="0" w:color="auto"/>
      </w:divBdr>
    </w:div>
    <w:div w:id="214434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bu.uz/" TargetMode="External"/><Relationship Id="rId18" Type="http://schemas.openxmlformats.org/officeDocument/2006/relationships/hyperlink" Target="mailto:val@cbu.uz" TargetMode="External"/><Relationship Id="rId26" Type="http://schemas.openxmlformats.org/officeDocument/2006/relationships/chart" Target="charts/chart7.xml"/><Relationship Id="rId39" Type="http://schemas.openxmlformats.org/officeDocument/2006/relationships/chart" Target="charts/chart20.xml"/><Relationship Id="rId21" Type="http://schemas.openxmlformats.org/officeDocument/2006/relationships/chart" Target="charts/chart2.xml"/><Relationship Id="rId34" Type="http://schemas.openxmlformats.org/officeDocument/2006/relationships/chart" Target="charts/chart15.xml"/><Relationship Id="rId42" Type="http://schemas.openxmlformats.org/officeDocument/2006/relationships/chart" Target="charts/chart23.xml"/><Relationship Id="rId47" Type="http://schemas.openxmlformats.org/officeDocument/2006/relationships/chart" Target="charts/chart28.xml"/><Relationship Id="rId50" Type="http://schemas.openxmlformats.org/officeDocument/2006/relationships/footer" Target="footer6.xml"/><Relationship Id="rId55"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mirzaahmedov@cbu.uz" TargetMode="External"/><Relationship Id="rId29" Type="http://schemas.openxmlformats.org/officeDocument/2006/relationships/chart" Target="charts/chart10.xml"/><Relationship Id="rId11" Type="http://schemas.openxmlformats.org/officeDocument/2006/relationships/header" Target="header2.xm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chart" Target="charts/chart21.xml"/><Relationship Id="rId45" Type="http://schemas.openxmlformats.org/officeDocument/2006/relationships/chart" Target="charts/chart26.xml"/><Relationship Id="rId53" Type="http://schemas.openxmlformats.org/officeDocument/2006/relationships/footer" Target="footer9.xml"/><Relationship Id="rId5" Type="http://schemas.openxmlformats.org/officeDocument/2006/relationships/webSettings" Target="webSettings.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ata.imf.org/" TargetMode="Externa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chart" Target="charts/chart24.xml"/><Relationship Id="rId48" Type="http://schemas.openxmlformats.org/officeDocument/2006/relationships/footer" Target="footer4.xml"/><Relationship Id="rId56"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z.irgashev@cbu.uz" TargetMode="Externa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chart" Target="charts/chart19.xml"/><Relationship Id="rId46" Type="http://schemas.openxmlformats.org/officeDocument/2006/relationships/chart" Target="charts/chart27.xml"/><Relationship Id="rId20" Type="http://schemas.openxmlformats.org/officeDocument/2006/relationships/footer" Target="footer3.xml"/><Relationship Id="rId41" Type="http://schemas.openxmlformats.org/officeDocument/2006/relationships/chart" Target="charts/chart22.xml"/><Relationship Id="rId54"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fayzullaxodjaev@cbu.uz" TargetMode="Externa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7.xml"/><Relationship Id="rId49" Type="http://schemas.openxmlformats.org/officeDocument/2006/relationships/footer" Target="footer5.xm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chart" Target="charts/chart12.xml"/><Relationship Id="rId44" Type="http://schemas.openxmlformats.org/officeDocument/2006/relationships/chart" Target="charts/chart25.xml"/><Relationship Id="rId52" Type="http://schemas.openxmlformats.org/officeDocument/2006/relationships/footer" Target="footer8.xml"/></Relationships>
</file>

<file path=word/charts/_rels/chart1.xml.rels><?xml version="1.0" encoding="UTF-8" standalone="yes"?>
<Relationships xmlns="http://schemas.openxmlformats.org/package/2006/relationships"><Relationship Id="rId3"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REER%202010-20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58;&#1072;&#1073;&#1083;&#1080;&#1094;&#1099;%20&#1087;&#1086;%20&#1090;&#1077;&#1082;&#1091;&#1097;&#1077;&#1084;&#1091;%20&#1089;&#1095;&#1105;&#1090;&#1091;\0%20&#1044;&#1080;&#1072;&#1075;&#1088;&#1072;&#1084;&#1084;&#1072;&#1083;&#1072;&#1088;%202016-2020%209%20&#1086;&#1081;.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58;&#1072;&#1073;&#1083;&#1080;&#1094;&#1099;%20&#1087;&#1086;%20&#1090;&#1077;&#1082;&#1091;&#1097;&#1077;&#1084;&#1091;%20&#1089;&#1095;&#1105;&#1090;&#1091;\0%20&#1044;&#1080;&#1072;&#1075;&#1088;&#1072;&#1084;&#1084;&#1072;&#1083;&#1072;&#1088;%202016-2020%209%20&#1086;&#1081;.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58;&#1072;&#1073;&#1083;&#1080;&#1094;&#1099;%20&#1087;&#1086;%20&#1090;&#1077;&#1082;&#1091;&#1097;&#1077;&#1084;&#1091;%20&#1089;&#1095;&#1105;&#1090;&#1091;\0%20&#1044;&#1080;&#1072;&#1075;&#1088;&#1072;&#1084;&#1084;&#1072;&#1083;&#1072;&#1088;%202016-2020%209%20&#1086;&#1081;.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58;&#1072;&#1073;&#1083;&#1080;&#1094;&#1099;%20&#1087;&#1086;%20&#1090;&#1077;&#1082;&#1091;&#1097;&#1077;&#1084;&#1091;%20&#1089;&#1095;&#1105;&#1090;&#1091;\0%20&#1044;&#1080;&#1072;&#1075;&#1088;&#1072;&#1084;&#1084;&#1072;&#1083;&#1072;&#1088;%202016-2020%209%20&#1086;&#1081;.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58;&#1072;&#1073;&#1083;&#1080;&#1094;&#1099;%20&#1087;&#1086;%20&#1090;&#1077;&#1082;&#1091;&#1097;&#1077;&#1084;&#1091;%20&#1089;&#1095;&#1105;&#1090;&#1091;\0%20&#1044;&#1080;&#1072;&#1075;&#1088;&#1072;&#1084;&#1084;&#1072;&#1083;&#1072;&#1088;%202016-2020%209%20&#1086;&#1081;.xlsx"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1.xml"/></Relationships>
</file>

<file path=word/charts/_rels/chart15.xml.rels><?xml version="1.0" encoding="UTF-8" standalone="yes"?>
<Relationships xmlns="http://schemas.openxmlformats.org/package/2006/relationships"><Relationship Id="rId3"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92;&#1080;&#1085;&#1072;&#1085;&#1089;&#1086;&#1074;&#1099;&#1081;%20&#1089;&#1095;&#1105;&#1090;\&#1092;&#1080;&#1085;%20&#1089;&#1095;&#1105;&#1090;%20&#1080;%20&#1052;&#1048;&#1055;\&#1092;&#1080;&#1085;%20&#1089;&#1095;&#1105;&#1090;%20&#1076;&#1083;&#1103;%20&#1087;&#1091;&#1073;&#1083;&#1080;&#1082;&#1072;&#1094;&#1080;&#1080;%20(rus+uzb+eng).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92;&#1080;&#1085;&#1072;&#1085;&#1089;&#1086;&#1074;&#1099;&#1081;%20&#1089;&#1095;&#1105;&#1090;\&#1092;&#1080;&#1085;%20&#1089;&#1095;&#1105;&#1090;%20&#1080;%20&#1052;&#1048;&#1055;\&#1092;&#1080;&#1085;%20&#1089;&#1095;&#1105;&#1090;%20&#1076;&#1083;&#1103;%20&#1087;&#1091;&#1073;&#1083;&#1080;&#1082;&#1072;&#1094;&#1080;&#1080;%20(rus+uzb+eng).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92;&#1080;&#1085;&#1072;&#1085;&#1089;&#1086;&#1074;&#1099;&#1081;%20&#1089;&#1095;&#1105;&#1090;\&#1092;&#1080;&#1085;%20&#1089;&#1095;&#1105;&#1090;%20&#1080;%20&#1052;&#1048;&#1055;\&#1092;&#1080;&#1085;%20&#1089;&#1095;&#1105;&#1090;%20&#1076;&#1083;&#1103;%20&#1087;&#1091;&#1073;&#1083;&#1080;&#1082;&#1072;&#1094;&#1080;&#1080;%20(rus+uzb+eng).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92;&#1080;&#1085;&#1072;&#1085;&#1089;&#1086;&#1074;&#1099;&#1081;%20&#1089;&#1095;&#1105;&#1090;\&#1092;&#1080;&#1085;%20&#1089;&#1095;&#1105;&#1090;%20&#1080;%20&#1052;&#1048;&#1055;\&#1088;&#1072;&#1079;&#1073;&#1080;&#1074;&#1082;&#1072;%20&#1086;&#1073;&#1103;&#1079;&#1072;&#1090;&#1077;&#1083;&#1100;&#1089;&#1090;&#1074;%20(rus,%20eng,%20uzb).xlsx" TargetMode="External"/><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92;&#1080;&#1085;&#1072;&#1085;&#1089;&#1086;&#1074;&#1099;&#1081;%20&#1089;&#1095;&#1105;&#1090;\&#1092;&#1080;&#1085;%20&#1089;&#1095;&#1105;&#1090;%20&#1080;%20&#1052;&#1048;&#1055;\&#1084;&#1080;&#1087;%20(rus).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58;&#1072;&#1073;&#1083;&#1080;&#1094;&#1099;%20&#1087;&#1086;%20&#1090;&#1077;&#1082;&#1091;&#1097;&#1077;&#1084;&#1091;%20&#1089;&#1095;&#1105;&#1090;&#1091;\0%20&#1044;&#1080;&#1072;&#1075;&#1088;&#1072;&#1084;&#1084;&#1072;&#1083;&#1072;&#1088;%202016-2020%209%20&#1086;&#1081;.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92;&#1080;&#1085;&#1072;&#1085;&#1089;&#1086;&#1074;&#1099;&#1081;%20&#1089;&#1095;&#1105;&#1090;\&#1074;&#1085;&#1077;&#1096;&#1085;&#1080;&#1081;%20&#1076;&#1086;&#1083;%2001.01.2021\Fixing%20Price%20Gold.xlsx" TargetMode="Externa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chartUserShapes" Target="../drawings/drawing2.xml"/></Relationships>
</file>

<file path=word/charts/_rels/chart21.xml.rels><?xml version="1.0" encoding="UTF-8" standalone="yes"?>
<Relationships xmlns="http://schemas.openxmlformats.org/package/2006/relationships"><Relationship Id="rId2"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92;&#1080;&#1085;&#1072;&#1085;&#1089;&#1086;&#1074;&#1099;&#1081;%20&#1089;&#1095;&#1105;&#1090;\&#1092;&#1080;&#1085;%20&#1089;&#1095;&#1105;&#1090;%20&#1080;%20&#1052;&#1048;&#1055;\&#1084;&#1080;&#1087;%20(rus).xlsx" TargetMode="External"/><Relationship Id="rId1" Type="http://schemas.openxmlformats.org/officeDocument/2006/relationships/themeOverride" Target="../theme/themeOverride1.xml"/></Relationships>
</file>

<file path=word/charts/_rels/chart22.xml.rels><?xml version="1.0" encoding="UTF-8" standalone="yes"?>
<Relationships xmlns="http://schemas.openxmlformats.org/package/2006/relationships"><Relationship Id="rId2"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92;&#1080;&#1085;&#1072;&#1085;&#1089;&#1086;&#1074;&#1099;&#1081;%20&#1089;&#1095;&#1105;&#1090;\&#1092;&#1080;&#1085;%20&#1089;&#1095;&#1105;&#1090;%20&#1080;%20&#1052;&#1048;&#1055;\&#1084;&#1080;&#1087;%20(rus).xlsx" TargetMode="External"/><Relationship Id="rId1" Type="http://schemas.openxmlformats.org/officeDocument/2006/relationships/themeOverride" Target="../theme/themeOverride2.xml"/></Relationships>
</file>

<file path=word/charts/_rels/chart23.xml.rels><?xml version="1.0" encoding="UTF-8" standalone="yes"?>
<Relationships xmlns="http://schemas.openxmlformats.org/package/2006/relationships"><Relationship Id="rId2" Type="http://schemas.openxmlformats.org/officeDocument/2006/relationships/oleObject" Target="file:///\\10.1.64.19\&#1089;&#1090;&#1072;&#1090;&#1080;&#1089;&#1090;&#1080;&#1082;&#1072;%20&#1074;&#1085;&#1077;&#1096;&#1085;&#1077;&#1075;&#1086;%20&#1089;&#1077;&#1082;&#1090;&#1086;&#1088;&#1072;\1%20&#1082;&#1074;&#1072;&#1088;&#1090;&#1072;&#1083;%202019%20&#1075;&#1086;&#1076;&#1072;\&#1076;&#1083;&#1103;%20&#1087;&#1091;&#1073;&#1083;&#1080;&#1082;&#1072;&#1094;&#1080;&#1080;%201%20&#1082;&#1074;%202019\&#1092;&#1080;&#1085;&#1072;&#1085;&#1089;&#1086;&#1074;&#1099;&#1081;%20&#1089;&#1095;&#1105;&#1090;\&#1052;&#1048;&#1055;\&#1084;&#1080;&#1087;1%20eng.xlsx" TargetMode="External"/><Relationship Id="rId1" Type="http://schemas.openxmlformats.org/officeDocument/2006/relationships/themeOverride" Target="../theme/themeOverride3.xml"/></Relationships>
</file>

<file path=word/charts/_rels/chart24.xml.rels><?xml version="1.0" encoding="UTF-8" standalone="yes"?>
<Relationships xmlns="http://schemas.openxmlformats.org/package/2006/relationships"><Relationship Id="rId2"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92;&#1080;&#1085;&#1072;&#1085;&#1089;&#1086;&#1074;&#1099;&#1081;%20&#1089;&#1095;&#1105;&#1090;\&#1074;&#1085;&#1077;&#1096;&#1085;&#1080;&#1081;%20&#1076;&#1086;&#1083;%2001.01.2021\&#1044;&#1080;&#1072;&#1075;&#1088;&#1072;&#1084;&#1084;&#1099;%20RU,%20EN,%20UZ%20(01.01.2021)%201.xlsx" TargetMode="External"/><Relationship Id="rId1" Type="http://schemas.openxmlformats.org/officeDocument/2006/relationships/themeOverride" Target="../theme/themeOverride4.xml"/></Relationships>
</file>

<file path=word/charts/_rels/chart25.xml.rels><?xml version="1.0" encoding="UTF-8" standalone="yes"?>
<Relationships xmlns="http://schemas.openxmlformats.org/package/2006/relationships"><Relationship Id="rId1"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92;&#1080;&#1085;&#1072;&#1085;&#1089;&#1086;&#1074;&#1099;&#1081;%20&#1089;&#1095;&#1105;&#1090;\&#1074;&#1085;&#1077;&#1096;&#1085;&#1080;&#1081;%20&#1076;&#1086;&#1083;%2001.01.2021\&#1044;&#1080;&#1072;&#1075;&#1088;&#1072;&#1084;&#1084;&#1099;%20RU,%20EN,%20UZ%20(01.01.2021)%201.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92;&#1080;&#1085;&#1072;&#1085;&#1089;&#1086;&#1074;&#1099;&#1081;%20&#1089;&#1095;&#1105;&#1090;\&#1074;&#1085;&#1077;&#1096;&#1085;&#1080;&#1081;%20&#1076;&#1086;&#1083;%2001.01.2021\&#1044;&#1080;&#1072;&#1075;&#1088;&#1072;&#1084;&#1084;&#1099;%20RU,%20EN,%20UZ%20(01.01.2021)%20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92;&#1080;&#1085;&#1072;&#1085;&#1089;&#1086;&#1074;&#1099;&#1081;%20&#1089;&#1095;&#1105;&#1090;\&#1074;&#1085;&#1077;&#1096;&#1085;&#1080;&#1081;%20&#1076;&#1086;&#1083;%2001.01.2021\&#1044;&#1080;&#1072;&#1075;&#1088;&#1072;&#1084;&#1084;&#1099;%20RU,%20EN,%20UZ%20(01.01.2021)%201.xlsx" TargetMode="External"/></Relationships>
</file>

<file path=word/charts/_rels/chart28.xml.rels><?xml version="1.0" encoding="UTF-8" standalone="yes"?>
<Relationships xmlns="http://schemas.openxmlformats.org/package/2006/relationships"><Relationship Id="rId3" Type="http://schemas.openxmlformats.org/officeDocument/2006/relationships/oleObject" Target="file:///C:\Users\val20\Desktop\&#1076;&#1080;&#1072;&#1075;&#1088;&#1072;&#1084;&#1084;&#1099;.xlsx"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58;&#1072;&#1073;&#1083;&#1080;&#1094;&#1099;%20&#1087;&#1086;%20&#1090;&#1077;&#1082;&#1091;&#1097;&#1077;&#1084;&#1091;%20&#1089;&#1095;&#1105;&#1090;&#1091;\0%20&#1044;&#1080;&#1072;&#1075;&#1088;&#1072;&#1084;&#1084;&#1072;&#1083;&#1072;&#1088;%202016-2020%209%20&#1086;&#108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58;&#1072;&#1073;&#1083;&#1080;&#1094;&#1099;%20&#1087;&#1086;%20&#1090;&#1077;&#1082;&#1091;&#1097;&#1077;&#1084;&#1091;%20&#1089;&#1095;&#1105;&#1090;&#1091;\0%20&#1044;&#1080;&#1072;&#1075;&#1088;&#1072;&#1084;&#1084;&#1072;&#1083;&#1072;&#1088;%202016-2020%209%20&#1086;&#108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58;&#1072;&#1073;&#1083;&#1080;&#1094;&#1099;%20&#1087;&#1086;%20&#1090;&#1077;&#1082;&#1091;&#1097;&#1077;&#1084;&#1091;%20&#1089;&#1095;&#1105;&#1090;&#1091;\0%20&#1044;&#1080;&#1072;&#1075;&#1088;&#1072;&#1084;&#1084;&#1072;&#1083;&#1072;&#1088;%202016-2020%209%20&#1086;&#1081;.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val4\Desktop\0%20&#1044;&#1080;&#1072;&#1075;&#1088;&#1072;&#1084;&#1084;&#1072;&#1083;&#1072;&#1088;%202016-2020%209%20&#1086;&#1081;.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58;&#1072;&#1073;&#1083;&#1080;&#1094;&#1099;%20&#1087;&#1086;%20&#1090;&#1077;&#1082;&#1091;&#1097;&#1077;&#1084;&#1091;%20&#1089;&#1095;&#1105;&#1090;&#1091;\0%20&#1044;&#1080;&#1072;&#1075;&#1088;&#1072;&#1084;&#1084;&#1072;&#1083;&#1072;&#1088;%202016-2020%209%20&#1086;&#1081;.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58;&#1072;&#1073;&#1083;&#1080;&#1094;&#1099;%20&#1087;&#1086;%20&#1090;&#1077;&#1082;&#1091;&#1097;&#1077;&#1084;&#1091;%20&#1089;&#1095;&#1105;&#1090;&#1091;\0%20&#1044;&#1080;&#1072;&#1075;&#1088;&#1072;&#1084;&#1084;&#1072;&#1083;&#1072;&#1088;%202016-2020%209%20&#1086;&#1081;.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10.1.64.19\&#1089;&#1090;&#1072;&#1090;&#1080;&#1089;&#1090;&#1080;&#1082;&#1072;%20&#1074;&#1085;&#1077;&#1096;&#1085;&#1077;&#1075;&#1086;%20&#1089;&#1077;&#1082;&#1090;&#1086;&#1088;&#1072;\4%20&#1082;&#1074;&#1072;&#1088;&#1090;&#1072;&#1083;%202020%20&#1075;&#1086;&#1076;&#1072;\&#1076;&#1083;&#1103;%20&#1087;&#1091;&#1073;&#1083;&#1080;&#1082;&#1072;&#1094;&#1080;&#1080;%204%20&#1082;&#1074;.%202020\&#1058;&#1072;&#1073;&#1083;&#1080;&#1094;&#1099;%20&#1087;&#1086;%20&#1090;&#1077;&#1082;&#1091;&#1097;&#1077;&#1084;&#1091;%20&#1089;&#1095;&#1105;&#1090;&#1091;\0%20&#1044;&#1080;&#1072;&#1075;&#1088;&#1072;&#1084;&#1084;&#1072;&#1083;&#1072;&#1088;%202016-2020%209%20&#1086;&#108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464839952157476E-2"/>
          <c:y val="1.8241513400994256E-2"/>
          <c:w val="0.9324777553697835"/>
          <c:h val="0.72510244588738926"/>
        </c:manualLayout>
      </c:layout>
      <c:lineChart>
        <c:grouping val="standard"/>
        <c:varyColors val="0"/>
        <c:ser>
          <c:idx val="0"/>
          <c:order val="0"/>
          <c:tx>
            <c:strRef>
              <c:f>'[REER 2010-2020.xlsx]2010-2020 РЭОК'!$B$111</c:f>
              <c:strCache>
                <c:ptCount val="1"/>
                <c:pt idx="0">
                  <c:v>REER</c:v>
                </c:pt>
              </c:strCache>
            </c:strRef>
          </c:tx>
          <c:spPr>
            <a:ln w="15875" cap="rnd">
              <a:solidFill>
                <a:schemeClr val="accent1"/>
              </a:solidFill>
              <a:prstDash val="dash"/>
              <a:round/>
            </a:ln>
            <a:effectLst/>
          </c:spPr>
          <c:marker>
            <c:symbol val="none"/>
          </c:marker>
          <c:cat>
            <c:multiLvlStrRef>
              <c:f>'[REER 2010-2020.xlsx]2010-2020 РЭОК'!$D$109:$EE$110</c:f>
              <c:multiLvlStrCache>
                <c:ptCount val="132"/>
                <c:lvl>
                  <c:pt idx="1">
                    <c:v>I</c:v>
                  </c:pt>
                  <c:pt idx="4">
                    <c:v>II</c:v>
                  </c:pt>
                  <c:pt idx="7">
                    <c:v>III</c:v>
                  </c:pt>
                  <c:pt idx="10">
                    <c:v>IV</c:v>
                  </c:pt>
                  <c:pt idx="13">
                    <c:v>I</c:v>
                  </c:pt>
                  <c:pt idx="16">
                    <c:v>II</c:v>
                  </c:pt>
                  <c:pt idx="19">
                    <c:v>III</c:v>
                  </c:pt>
                  <c:pt idx="22">
                    <c:v>IV</c:v>
                  </c:pt>
                  <c:pt idx="25">
                    <c:v>I</c:v>
                  </c:pt>
                  <c:pt idx="28">
                    <c:v>II</c:v>
                  </c:pt>
                  <c:pt idx="31">
                    <c:v>III</c:v>
                  </c:pt>
                  <c:pt idx="34">
                    <c:v>IV</c:v>
                  </c:pt>
                  <c:pt idx="37">
                    <c:v>I</c:v>
                  </c:pt>
                  <c:pt idx="40">
                    <c:v>II</c:v>
                  </c:pt>
                  <c:pt idx="43">
                    <c:v>III</c:v>
                  </c:pt>
                  <c:pt idx="46">
                    <c:v>IV</c:v>
                  </c:pt>
                  <c:pt idx="49">
                    <c:v>I</c:v>
                  </c:pt>
                  <c:pt idx="52">
                    <c:v>II</c:v>
                  </c:pt>
                  <c:pt idx="55">
                    <c:v>III</c:v>
                  </c:pt>
                  <c:pt idx="58">
                    <c:v>IV</c:v>
                  </c:pt>
                  <c:pt idx="61">
                    <c:v>I</c:v>
                  </c:pt>
                  <c:pt idx="64">
                    <c:v>II</c:v>
                  </c:pt>
                  <c:pt idx="67">
                    <c:v>III</c:v>
                  </c:pt>
                  <c:pt idx="70">
                    <c:v>IV</c:v>
                  </c:pt>
                  <c:pt idx="73">
                    <c:v>I</c:v>
                  </c:pt>
                  <c:pt idx="76">
                    <c:v>II</c:v>
                  </c:pt>
                  <c:pt idx="79">
                    <c:v>III</c:v>
                  </c:pt>
                  <c:pt idx="82">
                    <c:v>IV</c:v>
                  </c:pt>
                  <c:pt idx="85">
                    <c:v>I</c:v>
                  </c:pt>
                  <c:pt idx="88">
                    <c:v>II</c:v>
                  </c:pt>
                  <c:pt idx="91">
                    <c:v>III</c:v>
                  </c:pt>
                  <c:pt idx="94">
                    <c:v>IV</c:v>
                  </c:pt>
                  <c:pt idx="97">
                    <c:v>I</c:v>
                  </c:pt>
                  <c:pt idx="100">
                    <c:v>II</c:v>
                  </c:pt>
                  <c:pt idx="103">
                    <c:v>III</c:v>
                  </c:pt>
                  <c:pt idx="106">
                    <c:v>IV</c:v>
                  </c:pt>
                  <c:pt idx="109">
                    <c:v>I</c:v>
                  </c:pt>
                  <c:pt idx="112">
                    <c:v>II</c:v>
                  </c:pt>
                  <c:pt idx="115">
                    <c:v>III</c:v>
                  </c:pt>
                  <c:pt idx="118">
                    <c:v>IV</c:v>
                  </c:pt>
                  <c:pt idx="121">
                    <c:v>I</c:v>
                  </c:pt>
                  <c:pt idx="124">
                    <c:v>II</c:v>
                  </c:pt>
                  <c:pt idx="127">
                    <c:v>III</c:v>
                  </c:pt>
                  <c:pt idx="131">
                    <c:v>IV</c:v>
                  </c:pt>
                </c:lvl>
                <c:lvl>
                  <c:pt idx="0">
                    <c:v>2010</c:v>
                  </c:pt>
                  <c:pt idx="12">
                    <c:v>2011</c:v>
                  </c:pt>
                  <c:pt idx="24">
                    <c:v>2012</c:v>
                  </c:pt>
                  <c:pt idx="36">
                    <c:v>2013</c:v>
                  </c:pt>
                  <c:pt idx="48">
                    <c:v>2014</c:v>
                  </c:pt>
                  <c:pt idx="60">
                    <c:v>2015</c:v>
                  </c:pt>
                  <c:pt idx="72">
                    <c:v>2016</c:v>
                  </c:pt>
                  <c:pt idx="84">
                    <c:v>2017</c:v>
                  </c:pt>
                  <c:pt idx="96">
                    <c:v>2018</c:v>
                  </c:pt>
                  <c:pt idx="108">
                    <c:v>2019</c:v>
                  </c:pt>
                  <c:pt idx="120">
                    <c:v>2020</c:v>
                  </c:pt>
                </c:lvl>
              </c:multiLvlStrCache>
            </c:multiLvlStrRef>
          </c:cat>
          <c:val>
            <c:numRef>
              <c:f>'[REER 2010-2020.xlsx]2010-2020 РЭОК'!$D$111:$EE$111</c:f>
              <c:numCache>
                <c:formatCode>General</c:formatCode>
                <c:ptCount val="132"/>
                <c:pt idx="0">
                  <c:v>100</c:v>
                </c:pt>
                <c:pt idx="1">
                  <c:v>99.767212522942557</c:v>
                </c:pt>
                <c:pt idx="2">
                  <c:v>98.851397386582121</c:v>
                </c:pt>
                <c:pt idx="3">
                  <c:v>98.011846205368244</c:v>
                </c:pt>
                <c:pt idx="4">
                  <c:v>101.0769848567198</c:v>
                </c:pt>
                <c:pt idx="5">
                  <c:v>99.583144863271585</c:v>
                </c:pt>
                <c:pt idx="6">
                  <c:v>96.951645596221852</c:v>
                </c:pt>
                <c:pt idx="7">
                  <c:v>96.816191457181503</c:v>
                </c:pt>
                <c:pt idx="8">
                  <c:v>94.998943971527012</c:v>
                </c:pt>
                <c:pt idx="9">
                  <c:v>93.409792576756047</c:v>
                </c:pt>
                <c:pt idx="10">
                  <c:v>95.046828863970873</c:v>
                </c:pt>
                <c:pt idx="11">
                  <c:v>94.726848983583324</c:v>
                </c:pt>
                <c:pt idx="12">
                  <c:v>92.849844826173424</c:v>
                </c:pt>
                <c:pt idx="13">
                  <c:v>91.252948245856786</c:v>
                </c:pt>
                <c:pt idx="14">
                  <c:v>89.284747770188389</c:v>
                </c:pt>
                <c:pt idx="15">
                  <c:v>88.181604506589977</c:v>
                </c:pt>
                <c:pt idx="16">
                  <c:v>87.833206646147957</c:v>
                </c:pt>
                <c:pt idx="17">
                  <c:v>87.09886417365837</c:v>
                </c:pt>
                <c:pt idx="18">
                  <c:v>85.451846176121521</c:v>
                </c:pt>
                <c:pt idx="19">
                  <c:v>85.996368858831701</c:v>
                </c:pt>
                <c:pt idx="20">
                  <c:v>89.821955090814271</c:v>
                </c:pt>
                <c:pt idx="21">
                  <c:v>88.540848637839488</c:v>
                </c:pt>
                <c:pt idx="22">
                  <c:v>88.838775600224125</c:v>
                </c:pt>
                <c:pt idx="23">
                  <c:v>88.624743583644758</c:v>
                </c:pt>
                <c:pt idx="24">
                  <c:v>86.658684733696845</c:v>
                </c:pt>
                <c:pt idx="25">
                  <c:v>85.6261249994282</c:v>
                </c:pt>
                <c:pt idx="26">
                  <c:v>85.431748009827828</c:v>
                </c:pt>
                <c:pt idx="27">
                  <c:v>85.411339269979578</c:v>
                </c:pt>
                <c:pt idx="28">
                  <c:v>87.190667349135865</c:v>
                </c:pt>
                <c:pt idx="29">
                  <c:v>87.175160709963734</c:v>
                </c:pt>
                <c:pt idx="30">
                  <c:v>84.869601189776461</c:v>
                </c:pt>
                <c:pt idx="31">
                  <c:v>82.936289453062301</c:v>
                </c:pt>
                <c:pt idx="32">
                  <c:v>81.361531611090044</c:v>
                </c:pt>
                <c:pt idx="33">
                  <c:v>81.09113163431627</c:v>
                </c:pt>
                <c:pt idx="34">
                  <c:v>80.90073251537666</c:v>
                </c:pt>
                <c:pt idx="35">
                  <c:v>80.272025161487477</c:v>
                </c:pt>
                <c:pt idx="36">
                  <c:v>79.297489704245976</c:v>
                </c:pt>
                <c:pt idx="37">
                  <c:v>79.012040911341401</c:v>
                </c:pt>
                <c:pt idx="38">
                  <c:v>79.524504540619319</c:v>
                </c:pt>
                <c:pt idx="39">
                  <c:v>78.914938764719949</c:v>
                </c:pt>
                <c:pt idx="40">
                  <c:v>78.778879227558079</c:v>
                </c:pt>
                <c:pt idx="41">
                  <c:v>78.925366637509342</c:v>
                </c:pt>
                <c:pt idx="42">
                  <c:v>77.070248633063528</c:v>
                </c:pt>
                <c:pt idx="43">
                  <c:v>76.692772346775001</c:v>
                </c:pt>
                <c:pt idx="44">
                  <c:v>75.283484453974864</c:v>
                </c:pt>
                <c:pt idx="45">
                  <c:v>74.340255651305725</c:v>
                </c:pt>
                <c:pt idx="46">
                  <c:v>75.101716954247024</c:v>
                </c:pt>
                <c:pt idx="47">
                  <c:v>75.253869142264108</c:v>
                </c:pt>
                <c:pt idx="48">
                  <c:v>76.548097159626877</c:v>
                </c:pt>
                <c:pt idx="49">
                  <c:v>77.82817915817067</c:v>
                </c:pt>
                <c:pt idx="50">
                  <c:v>77.725093707843712</c:v>
                </c:pt>
                <c:pt idx="51">
                  <c:v>76.45852508254346</c:v>
                </c:pt>
                <c:pt idx="52">
                  <c:v>74.741982655547943</c:v>
                </c:pt>
                <c:pt idx="53">
                  <c:v>74.114440757127326</c:v>
                </c:pt>
                <c:pt idx="54">
                  <c:v>72.986968276244752</c:v>
                </c:pt>
                <c:pt idx="55">
                  <c:v>72.827551982057997</c:v>
                </c:pt>
                <c:pt idx="56">
                  <c:v>74.43940011861983</c:v>
                </c:pt>
                <c:pt idx="57">
                  <c:v>75.522834242776099</c:v>
                </c:pt>
                <c:pt idx="58">
                  <c:v>77.860191699279227</c:v>
                </c:pt>
                <c:pt idx="59">
                  <c:v>80.315172654216425</c:v>
                </c:pt>
                <c:pt idx="60">
                  <c:v>83.928564451364551</c:v>
                </c:pt>
                <c:pt idx="61">
                  <c:v>83.016212293618864</c:v>
                </c:pt>
                <c:pt idx="62">
                  <c:v>81.440309432801598</c:v>
                </c:pt>
                <c:pt idx="63">
                  <c:v>78.372755436653136</c:v>
                </c:pt>
                <c:pt idx="64">
                  <c:v>77.190481140851801</c:v>
                </c:pt>
                <c:pt idx="65">
                  <c:v>78.502086412390398</c:v>
                </c:pt>
                <c:pt idx="66">
                  <c:v>78.735106064873946</c:v>
                </c:pt>
                <c:pt idx="67">
                  <c:v>84.552962806411514</c:v>
                </c:pt>
                <c:pt idx="68">
                  <c:v>84.730204652745442</c:v>
                </c:pt>
                <c:pt idx="69">
                  <c:v>81.320048773922821</c:v>
                </c:pt>
                <c:pt idx="70">
                  <c:v>82.380493495618055</c:v>
                </c:pt>
                <c:pt idx="71">
                  <c:v>83.406197621090115</c:v>
                </c:pt>
                <c:pt idx="72">
                  <c:v>87.072272870369105</c:v>
                </c:pt>
                <c:pt idx="73">
                  <c:v>84.717568470732132</c:v>
                </c:pt>
                <c:pt idx="74">
                  <c:v>81.198432330296242</c:v>
                </c:pt>
                <c:pt idx="75">
                  <c:v>79.360498405851075</c:v>
                </c:pt>
                <c:pt idx="76">
                  <c:v>79.715224531796835</c:v>
                </c:pt>
                <c:pt idx="77">
                  <c:v>78.79470596539494</c:v>
                </c:pt>
                <c:pt idx="78">
                  <c:v>78.086949455609826</c:v>
                </c:pt>
                <c:pt idx="79">
                  <c:v>76.617854443193337</c:v>
                </c:pt>
                <c:pt idx="80">
                  <c:v>76.492862884087216</c:v>
                </c:pt>
                <c:pt idx="81">
                  <c:v>75.911626957931858</c:v>
                </c:pt>
                <c:pt idx="82">
                  <c:v>77.023308402440875</c:v>
                </c:pt>
                <c:pt idx="83">
                  <c:v>76.182558608389087</c:v>
                </c:pt>
                <c:pt idx="84">
                  <c:v>75.168305299332729</c:v>
                </c:pt>
                <c:pt idx="85">
                  <c:v>71.338569230123099</c:v>
                </c:pt>
                <c:pt idx="86">
                  <c:v>67.869504035342658</c:v>
                </c:pt>
                <c:pt idx="87">
                  <c:v>66.133984411710941</c:v>
                </c:pt>
                <c:pt idx="88">
                  <c:v>63.902763424308198</c:v>
                </c:pt>
                <c:pt idx="89">
                  <c:v>63.241677127209798</c:v>
                </c:pt>
                <c:pt idx="90">
                  <c:v>61.635104260576831</c:v>
                </c:pt>
                <c:pt idx="91">
                  <c:v>59.629126819824627</c:v>
                </c:pt>
                <c:pt idx="92">
                  <c:v>31.60024486356766</c:v>
                </c:pt>
                <c:pt idx="93">
                  <c:v>32.055165541739363</c:v>
                </c:pt>
                <c:pt idx="94">
                  <c:v>32.338904329806105</c:v>
                </c:pt>
                <c:pt idx="95">
                  <c:v>33.066173504508193</c:v>
                </c:pt>
                <c:pt idx="96">
                  <c:v>32.479342080788676</c:v>
                </c:pt>
                <c:pt idx="97">
                  <c:v>32.480392957602469</c:v>
                </c:pt>
                <c:pt idx="98">
                  <c:v>33.24084422835687</c:v>
                </c:pt>
                <c:pt idx="99">
                  <c:v>34.263382999575001</c:v>
                </c:pt>
                <c:pt idx="100">
                  <c:v>35.8307380104647</c:v>
                </c:pt>
                <c:pt idx="101">
                  <c:v>36.469558531578102</c:v>
                </c:pt>
                <c:pt idx="102">
                  <c:v>37.437907291417581</c:v>
                </c:pt>
                <c:pt idx="103">
                  <c:v>38.628854312030029</c:v>
                </c:pt>
                <c:pt idx="104">
                  <c:v>37.885559898028568</c:v>
                </c:pt>
                <c:pt idx="105">
                  <c:v>37.111280190052611</c:v>
                </c:pt>
                <c:pt idx="106">
                  <c:v>37.405663726853469</c:v>
                </c:pt>
                <c:pt idx="107">
                  <c:v>38.006536916394616</c:v>
                </c:pt>
                <c:pt idx="108">
                  <c:v>37.371340425347675</c:v>
                </c:pt>
                <c:pt idx="109">
                  <c:v>37.446487345535381</c:v>
                </c:pt>
                <c:pt idx="110">
                  <c:v>37.93155104812061</c:v>
                </c:pt>
                <c:pt idx="111">
                  <c:v>38.042528964918496</c:v>
                </c:pt>
                <c:pt idx="112">
                  <c:v>38.307431944822227</c:v>
                </c:pt>
                <c:pt idx="113">
                  <c:v>37.355112604751724</c:v>
                </c:pt>
                <c:pt idx="114">
                  <c:v>36.880511106257174</c:v>
                </c:pt>
                <c:pt idx="115">
                  <c:v>35.589818103717548</c:v>
                </c:pt>
                <c:pt idx="116">
                  <c:v>35.156098694291188</c:v>
                </c:pt>
                <c:pt idx="117">
                  <c:v>35.062448641842174</c:v>
                </c:pt>
                <c:pt idx="118">
                  <c:v>35.228362894118305</c:v>
                </c:pt>
                <c:pt idx="119">
                  <c:v>35.152985817024941</c:v>
                </c:pt>
                <c:pt idx="120">
                  <c:v>34.766382119677637</c:v>
                </c:pt>
                <c:pt idx="121">
                  <c:v>35.563238889305481</c:v>
                </c:pt>
                <c:pt idx="122">
                  <c:v>38.640497270885412</c:v>
                </c:pt>
                <c:pt idx="123">
                  <c:v>36.518656226514835</c:v>
                </c:pt>
                <c:pt idx="124">
                  <c:v>36.028444722265974</c:v>
                </c:pt>
                <c:pt idx="125">
                  <c:v>35.123938475092672</c:v>
                </c:pt>
                <c:pt idx="126">
                  <c:v>35.00840309534459</c:v>
                </c:pt>
                <c:pt idx="127">
                  <c:v>35.150890672200497</c:v>
                </c:pt>
                <c:pt idx="128">
                  <c:v>35.589674192482676</c:v>
                </c:pt>
                <c:pt idx="129">
                  <c:v>35.142250807543107</c:v>
                </c:pt>
                <c:pt idx="130">
                  <c:v>34.831162984881971</c:v>
                </c:pt>
                <c:pt idx="131">
                  <c:v>34.274020219767365</c:v>
                </c:pt>
              </c:numCache>
            </c:numRef>
          </c:val>
          <c:smooth val="0"/>
          <c:extLst>
            <c:ext xmlns:c16="http://schemas.microsoft.com/office/drawing/2014/chart" uri="{C3380CC4-5D6E-409C-BE32-E72D297353CC}">
              <c16:uniqueId val="{00000000-E650-47DA-B2EC-4CE6B8F44CAA}"/>
            </c:ext>
          </c:extLst>
        </c:ser>
        <c:ser>
          <c:idx val="2"/>
          <c:order val="1"/>
          <c:tx>
            <c:strRef>
              <c:f>'[REER 2010-2020.xlsx]2010-2020 РЭОК'!$B$113</c:f>
              <c:strCache>
                <c:ptCount val="1"/>
                <c:pt idx="0">
                  <c:v>Russian ruble</c:v>
                </c:pt>
              </c:strCache>
            </c:strRef>
          </c:tx>
          <c:spPr>
            <a:ln w="15875" cap="rnd">
              <a:solidFill>
                <a:schemeClr val="accent3"/>
              </a:solidFill>
              <a:round/>
            </a:ln>
            <a:effectLst/>
          </c:spPr>
          <c:marker>
            <c:symbol val="none"/>
          </c:marker>
          <c:cat>
            <c:multiLvlStrRef>
              <c:f>'[REER 2010-2020.xlsx]2010-2020 РЭОК'!$D$109:$EE$110</c:f>
              <c:multiLvlStrCache>
                <c:ptCount val="132"/>
                <c:lvl>
                  <c:pt idx="1">
                    <c:v>I</c:v>
                  </c:pt>
                  <c:pt idx="4">
                    <c:v>II</c:v>
                  </c:pt>
                  <c:pt idx="7">
                    <c:v>III</c:v>
                  </c:pt>
                  <c:pt idx="10">
                    <c:v>IV</c:v>
                  </c:pt>
                  <c:pt idx="13">
                    <c:v>I</c:v>
                  </c:pt>
                  <c:pt idx="16">
                    <c:v>II</c:v>
                  </c:pt>
                  <c:pt idx="19">
                    <c:v>III</c:v>
                  </c:pt>
                  <c:pt idx="22">
                    <c:v>IV</c:v>
                  </c:pt>
                  <c:pt idx="25">
                    <c:v>I</c:v>
                  </c:pt>
                  <c:pt idx="28">
                    <c:v>II</c:v>
                  </c:pt>
                  <c:pt idx="31">
                    <c:v>III</c:v>
                  </c:pt>
                  <c:pt idx="34">
                    <c:v>IV</c:v>
                  </c:pt>
                  <c:pt idx="37">
                    <c:v>I</c:v>
                  </c:pt>
                  <c:pt idx="40">
                    <c:v>II</c:v>
                  </c:pt>
                  <c:pt idx="43">
                    <c:v>III</c:v>
                  </c:pt>
                  <c:pt idx="46">
                    <c:v>IV</c:v>
                  </c:pt>
                  <c:pt idx="49">
                    <c:v>I</c:v>
                  </c:pt>
                  <c:pt idx="52">
                    <c:v>II</c:v>
                  </c:pt>
                  <c:pt idx="55">
                    <c:v>III</c:v>
                  </c:pt>
                  <c:pt idx="58">
                    <c:v>IV</c:v>
                  </c:pt>
                  <c:pt idx="61">
                    <c:v>I</c:v>
                  </c:pt>
                  <c:pt idx="64">
                    <c:v>II</c:v>
                  </c:pt>
                  <c:pt idx="67">
                    <c:v>III</c:v>
                  </c:pt>
                  <c:pt idx="70">
                    <c:v>IV</c:v>
                  </c:pt>
                  <c:pt idx="73">
                    <c:v>I</c:v>
                  </c:pt>
                  <c:pt idx="76">
                    <c:v>II</c:v>
                  </c:pt>
                  <c:pt idx="79">
                    <c:v>III</c:v>
                  </c:pt>
                  <c:pt idx="82">
                    <c:v>IV</c:v>
                  </c:pt>
                  <c:pt idx="85">
                    <c:v>I</c:v>
                  </c:pt>
                  <c:pt idx="88">
                    <c:v>II</c:v>
                  </c:pt>
                  <c:pt idx="91">
                    <c:v>III</c:v>
                  </c:pt>
                  <c:pt idx="94">
                    <c:v>IV</c:v>
                  </c:pt>
                  <c:pt idx="97">
                    <c:v>I</c:v>
                  </c:pt>
                  <c:pt idx="100">
                    <c:v>II</c:v>
                  </c:pt>
                  <c:pt idx="103">
                    <c:v>III</c:v>
                  </c:pt>
                  <c:pt idx="106">
                    <c:v>IV</c:v>
                  </c:pt>
                  <c:pt idx="109">
                    <c:v>I</c:v>
                  </c:pt>
                  <c:pt idx="112">
                    <c:v>II</c:v>
                  </c:pt>
                  <c:pt idx="115">
                    <c:v>III</c:v>
                  </c:pt>
                  <c:pt idx="118">
                    <c:v>IV</c:v>
                  </c:pt>
                  <c:pt idx="121">
                    <c:v>I</c:v>
                  </c:pt>
                  <c:pt idx="124">
                    <c:v>II</c:v>
                  </c:pt>
                  <c:pt idx="127">
                    <c:v>III</c:v>
                  </c:pt>
                  <c:pt idx="131">
                    <c:v>IV</c:v>
                  </c:pt>
                </c:lvl>
                <c:lvl>
                  <c:pt idx="0">
                    <c:v>2010</c:v>
                  </c:pt>
                  <c:pt idx="12">
                    <c:v>2011</c:v>
                  </c:pt>
                  <c:pt idx="24">
                    <c:v>2012</c:v>
                  </c:pt>
                  <c:pt idx="36">
                    <c:v>2013</c:v>
                  </c:pt>
                  <c:pt idx="48">
                    <c:v>2014</c:v>
                  </c:pt>
                  <c:pt idx="60">
                    <c:v>2015</c:v>
                  </c:pt>
                  <c:pt idx="72">
                    <c:v>2016</c:v>
                  </c:pt>
                  <c:pt idx="84">
                    <c:v>2017</c:v>
                  </c:pt>
                  <c:pt idx="96">
                    <c:v>2018</c:v>
                  </c:pt>
                  <c:pt idx="108">
                    <c:v>2019</c:v>
                  </c:pt>
                  <c:pt idx="120">
                    <c:v>2020</c:v>
                  </c:pt>
                </c:lvl>
              </c:multiLvlStrCache>
            </c:multiLvlStrRef>
          </c:cat>
          <c:val>
            <c:numRef>
              <c:f>'[REER 2010-2020.xlsx]2010-2020 РЭОК'!$D$113:$EE$113</c:f>
              <c:numCache>
                <c:formatCode>General</c:formatCode>
                <c:ptCount val="132"/>
                <c:pt idx="0">
                  <c:v>100</c:v>
                </c:pt>
                <c:pt idx="1">
                  <c:v>100.62978692080597</c:v>
                </c:pt>
                <c:pt idx="2">
                  <c:v>97.63254367566465</c:v>
                </c:pt>
                <c:pt idx="3">
                  <c:v>96.802259472286096</c:v>
                </c:pt>
                <c:pt idx="4">
                  <c:v>101.77329148577911</c:v>
                </c:pt>
                <c:pt idx="5">
                  <c:v>99.729732136004557</c:v>
                </c:pt>
                <c:pt idx="6">
                  <c:v>95.779571442733001</c:v>
                </c:pt>
                <c:pt idx="7">
                  <c:v>96.084589275081484</c:v>
                </c:pt>
                <c:pt idx="8">
                  <c:v>96.189261114782283</c:v>
                </c:pt>
                <c:pt idx="9">
                  <c:v>94.866800461962072</c:v>
                </c:pt>
                <c:pt idx="10">
                  <c:v>97.050631834050563</c:v>
                </c:pt>
                <c:pt idx="11">
                  <c:v>94.27449144314491</c:v>
                </c:pt>
                <c:pt idx="12">
                  <c:v>90.546856444716141</c:v>
                </c:pt>
                <c:pt idx="13">
                  <c:v>87.611186329321868</c:v>
                </c:pt>
                <c:pt idx="14">
                  <c:v>83.787544332258008</c:v>
                </c:pt>
                <c:pt idx="15">
                  <c:v>82.836826449089855</c:v>
                </c:pt>
                <c:pt idx="16">
                  <c:v>82.510329456395596</c:v>
                </c:pt>
                <c:pt idx="17">
                  <c:v>81.683011800573468</c:v>
                </c:pt>
                <c:pt idx="18">
                  <c:v>79.439917045948164</c:v>
                </c:pt>
                <c:pt idx="19">
                  <c:v>82.840677146914572</c:v>
                </c:pt>
                <c:pt idx="20">
                  <c:v>92.306050789315137</c:v>
                </c:pt>
                <c:pt idx="21">
                  <c:v>89.781680407214381</c:v>
                </c:pt>
                <c:pt idx="22">
                  <c:v>89.891921199335854</c:v>
                </c:pt>
                <c:pt idx="23">
                  <c:v>88.63195045898199</c:v>
                </c:pt>
                <c:pt idx="24">
                  <c:v>85.557562278378896</c:v>
                </c:pt>
                <c:pt idx="25">
                  <c:v>82.666903460546862</c:v>
                </c:pt>
                <c:pt idx="26">
                  <c:v>81.931859572689561</c:v>
                </c:pt>
                <c:pt idx="27">
                  <c:v>82.16305672384658</c:v>
                </c:pt>
                <c:pt idx="28">
                  <c:v>87.427534237745419</c:v>
                </c:pt>
                <c:pt idx="29">
                  <c:v>90.272987960325466</c:v>
                </c:pt>
                <c:pt idx="30">
                  <c:v>84.364241958581999</c:v>
                </c:pt>
                <c:pt idx="31">
                  <c:v>82.279972508748472</c:v>
                </c:pt>
                <c:pt idx="32">
                  <c:v>80.095875968500636</c:v>
                </c:pt>
                <c:pt idx="33">
                  <c:v>80.618006537608053</c:v>
                </c:pt>
                <c:pt idx="34">
                  <c:v>79.607955015149159</c:v>
                </c:pt>
                <c:pt idx="35">
                  <c:v>78.348712752153546</c:v>
                </c:pt>
                <c:pt idx="36">
                  <c:v>75.951981020726549</c:v>
                </c:pt>
                <c:pt idx="37">
                  <c:v>76.098636615740162</c:v>
                </c:pt>
                <c:pt idx="38">
                  <c:v>77.018096997041113</c:v>
                </c:pt>
                <c:pt idx="39">
                  <c:v>77.032374198191206</c:v>
                </c:pt>
                <c:pt idx="40">
                  <c:v>76.32124829921392</c:v>
                </c:pt>
                <c:pt idx="41">
                  <c:v>78.650073538435933</c:v>
                </c:pt>
                <c:pt idx="42">
                  <c:v>76.447389931888466</c:v>
                </c:pt>
                <c:pt idx="43">
                  <c:v>76.720575979287972</c:v>
                </c:pt>
                <c:pt idx="44">
                  <c:v>73.332338477715496</c:v>
                </c:pt>
                <c:pt idx="45">
                  <c:v>72.519832881392361</c:v>
                </c:pt>
                <c:pt idx="46">
                  <c:v>74.948142901039489</c:v>
                </c:pt>
                <c:pt idx="47">
                  <c:v>74.19968865132337</c:v>
                </c:pt>
                <c:pt idx="48">
                  <c:v>78.014697606214995</c:v>
                </c:pt>
                <c:pt idx="49">
                  <c:v>80.30671339319116</c:v>
                </c:pt>
                <c:pt idx="50">
                  <c:v>80.487290911411236</c:v>
                </c:pt>
                <c:pt idx="51">
                  <c:v>78.420016977362678</c:v>
                </c:pt>
                <c:pt idx="52">
                  <c:v>73.827809554693687</c:v>
                </c:pt>
                <c:pt idx="53">
                  <c:v>72.863025725073257</c:v>
                </c:pt>
                <c:pt idx="54">
                  <c:v>73.196891470543733</c:v>
                </c:pt>
                <c:pt idx="55">
                  <c:v>73.814798326997746</c:v>
                </c:pt>
                <c:pt idx="56">
                  <c:v>78.85716431310837</c:v>
                </c:pt>
                <c:pt idx="57">
                  <c:v>84.504590445903744</c:v>
                </c:pt>
                <c:pt idx="58">
                  <c:v>91.440224928560127</c:v>
                </c:pt>
                <c:pt idx="59">
                  <c:v>101.12838343677588</c:v>
                </c:pt>
                <c:pt idx="60">
                  <c:v>118.67083051839408</c:v>
                </c:pt>
                <c:pt idx="61">
                  <c:v>112.60391978293136</c:v>
                </c:pt>
                <c:pt idx="62">
                  <c:v>103.18388525757906</c:v>
                </c:pt>
                <c:pt idx="63">
                  <c:v>89.064876708833225</c:v>
                </c:pt>
                <c:pt idx="64">
                  <c:v>87.465438391963673</c:v>
                </c:pt>
                <c:pt idx="65">
                  <c:v>94.886302156264421</c:v>
                </c:pt>
                <c:pt idx="66">
                  <c:v>98.023659018316707</c:v>
                </c:pt>
                <c:pt idx="67">
                  <c:v>113.58612751575447</c:v>
                </c:pt>
                <c:pt idx="68">
                  <c:v>108.63083973656032</c:v>
                </c:pt>
                <c:pt idx="69">
                  <c:v>100.27121711600675</c:v>
                </c:pt>
                <c:pt idx="70">
                  <c:v>102.88158809457104</c:v>
                </c:pt>
                <c:pt idx="71">
                  <c:v>108.53122705684881</c:v>
                </c:pt>
                <c:pt idx="72">
                  <c:v>123.04948399955555</c:v>
                </c:pt>
                <c:pt idx="73">
                  <c:v>117.14153819845552</c:v>
                </c:pt>
                <c:pt idx="74">
                  <c:v>103.04333247171718</c:v>
                </c:pt>
                <c:pt idx="75">
                  <c:v>99.088941631496823</c:v>
                </c:pt>
                <c:pt idx="76">
                  <c:v>97.758587823242209</c:v>
                </c:pt>
                <c:pt idx="77">
                  <c:v>95.834889678412878</c:v>
                </c:pt>
                <c:pt idx="78">
                  <c:v>92.825083692390763</c:v>
                </c:pt>
                <c:pt idx="79">
                  <c:v>92.351795465241523</c:v>
                </c:pt>
                <c:pt idx="80">
                  <c:v>91.563363776784783</c:v>
                </c:pt>
                <c:pt idx="81">
                  <c:v>88.182885825668194</c:v>
                </c:pt>
                <c:pt idx="82">
                  <c:v>89.540133528420156</c:v>
                </c:pt>
                <c:pt idx="83">
                  <c:v>83.931449946510398</c:v>
                </c:pt>
                <c:pt idx="84">
                  <c:v>82.568695968204622</c:v>
                </c:pt>
                <c:pt idx="85">
                  <c:v>76.596950684431391</c:v>
                </c:pt>
                <c:pt idx="86">
                  <c:v>73.024457792527443</c:v>
                </c:pt>
                <c:pt idx="87">
                  <c:v>69.739707189573039</c:v>
                </c:pt>
                <c:pt idx="88">
                  <c:v>68.34486885730513</c:v>
                </c:pt>
                <c:pt idx="89">
                  <c:v>69.03490591431131</c:v>
                </c:pt>
                <c:pt idx="90">
                  <c:v>67.527988467040316</c:v>
                </c:pt>
                <c:pt idx="91">
                  <c:v>66.332099118023962</c:v>
                </c:pt>
                <c:pt idx="92">
                  <c:v>34.136022759967908</c:v>
                </c:pt>
                <c:pt idx="93">
                  <c:v>34.603581501820948</c:v>
                </c:pt>
                <c:pt idx="94">
                  <c:v>35.228498795652726</c:v>
                </c:pt>
                <c:pt idx="95">
                  <c:v>36.1459834887497</c:v>
                </c:pt>
                <c:pt idx="96">
                  <c:v>35.297628368166869</c:v>
                </c:pt>
                <c:pt idx="97">
                  <c:v>35.365053265521411</c:v>
                </c:pt>
                <c:pt idx="98">
                  <c:v>36.480464660827927</c:v>
                </c:pt>
                <c:pt idx="99">
                  <c:v>39.469189740168666</c:v>
                </c:pt>
                <c:pt idx="100">
                  <c:v>40.881416823493218</c:v>
                </c:pt>
                <c:pt idx="101">
                  <c:v>41.360725015606015</c:v>
                </c:pt>
                <c:pt idx="102">
                  <c:v>41.457735583260209</c:v>
                </c:pt>
                <c:pt idx="103">
                  <c:v>44.305162264118422</c:v>
                </c:pt>
                <c:pt idx="104">
                  <c:v>42.988309914040947</c:v>
                </c:pt>
                <c:pt idx="105">
                  <c:v>41.963444068598385</c:v>
                </c:pt>
                <c:pt idx="106">
                  <c:v>42.393604669750118</c:v>
                </c:pt>
                <c:pt idx="107">
                  <c:v>44.260661200597127</c:v>
                </c:pt>
                <c:pt idx="108">
                  <c:v>42.130082024174641</c:v>
                </c:pt>
                <c:pt idx="109">
                  <c:v>41.911660134487839</c:v>
                </c:pt>
                <c:pt idx="110">
                  <c:v>41.76138111983169</c:v>
                </c:pt>
                <c:pt idx="111">
                  <c:v>41.725855765112215</c:v>
                </c:pt>
                <c:pt idx="112">
                  <c:v>41.398796385204719</c:v>
                </c:pt>
                <c:pt idx="113">
                  <c:v>40.087678963576565</c:v>
                </c:pt>
                <c:pt idx="114">
                  <c:v>39.526609854952369</c:v>
                </c:pt>
                <c:pt idx="115">
                  <c:v>38.908454976869798</c:v>
                </c:pt>
                <c:pt idx="116">
                  <c:v>37.89447639940353</c:v>
                </c:pt>
                <c:pt idx="117">
                  <c:v>37.943705842907697</c:v>
                </c:pt>
                <c:pt idx="118">
                  <c:v>38.183339380346581</c:v>
                </c:pt>
                <c:pt idx="119">
                  <c:v>37.354406977806789</c:v>
                </c:pt>
                <c:pt idx="120">
                  <c:v>37.172869734805268</c:v>
                </c:pt>
                <c:pt idx="121">
                  <c:v>38.520258002398542</c:v>
                </c:pt>
                <c:pt idx="122">
                  <c:v>47.916229866110548</c:v>
                </c:pt>
                <c:pt idx="123">
                  <c:v>42.493070666293761</c:v>
                </c:pt>
                <c:pt idx="124">
                  <c:v>40.738322884661997</c:v>
                </c:pt>
                <c:pt idx="125">
                  <c:v>39.312921890731744</c:v>
                </c:pt>
                <c:pt idx="126">
                  <c:v>40.093197675885008</c:v>
                </c:pt>
                <c:pt idx="127">
                  <c:v>41.718224715828327</c:v>
                </c:pt>
                <c:pt idx="128">
                  <c:v>43.785244531075065</c:v>
                </c:pt>
                <c:pt idx="129">
                  <c:v>42.682763082674427</c:v>
                </c:pt>
                <c:pt idx="130">
                  <c:v>42.597026683120916</c:v>
                </c:pt>
                <c:pt idx="131">
                  <c:v>41.284835053179854</c:v>
                </c:pt>
              </c:numCache>
            </c:numRef>
          </c:val>
          <c:smooth val="0"/>
          <c:extLst>
            <c:ext xmlns:c16="http://schemas.microsoft.com/office/drawing/2014/chart" uri="{C3380CC4-5D6E-409C-BE32-E72D297353CC}">
              <c16:uniqueId val="{00000001-E650-47DA-B2EC-4CE6B8F44CAA}"/>
            </c:ext>
          </c:extLst>
        </c:ser>
        <c:ser>
          <c:idx val="3"/>
          <c:order val="2"/>
          <c:tx>
            <c:strRef>
              <c:f>'[REER 2010-2020.xlsx]2010-2020 РЭОК'!$B$114</c:f>
              <c:strCache>
                <c:ptCount val="1"/>
                <c:pt idx="0">
                  <c:v>CNY</c:v>
                </c:pt>
              </c:strCache>
            </c:strRef>
          </c:tx>
          <c:spPr>
            <a:ln w="15875" cap="rnd">
              <a:solidFill>
                <a:schemeClr val="accent4"/>
              </a:solidFill>
              <a:round/>
            </a:ln>
            <a:effectLst/>
          </c:spPr>
          <c:marker>
            <c:symbol val="none"/>
          </c:marker>
          <c:cat>
            <c:multiLvlStrRef>
              <c:f>'[REER 2010-2020.xlsx]2010-2020 РЭОК'!$D$109:$EE$110</c:f>
              <c:multiLvlStrCache>
                <c:ptCount val="132"/>
                <c:lvl>
                  <c:pt idx="1">
                    <c:v>I</c:v>
                  </c:pt>
                  <c:pt idx="4">
                    <c:v>II</c:v>
                  </c:pt>
                  <c:pt idx="7">
                    <c:v>III</c:v>
                  </c:pt>
                  <c:pt idx="10">
                    <c:v>IV</c:v>
                  </c:pt>
                  <c:pt idx="13">
                    <c:v>I</c:v>
                  </c:pt>
                  <c:pt idx="16">
                    <c:v>II</c:v>
                  </c:pt>
                  <c:pt idx="19">
                    <c:v>III</c:v>
                  </c:pt>
                  <c:pt idx="22">
                    <c:v>IV</c:v>
                  </c:pt>
                  <c:pt idx="25">
                    <c:v>I</c:v>
                  </c:pt>
                  <c:pt idx="28">
                    <c:v>II</c:v>
                  </c:pt>
                  <c:pt idx="31">
                    <c:v>III</c:v>
                  </c:pt>
                  <c:pt idx="34">
                    <c:v>IV</c:v>
                  </c:pt>
                  <c:pt idx="37">
                    <c:v>I</c:v>
                  </c:pt>
                  <c:pt idx="40">
                    <c:v>II</c:v>
                  </c:pt>
                  <c:pt idx="43">
                    <c:v>III</c:v>
                  </c:pt>
                  <c:pt idx="46">
                    <c:v>IV</c:v>
                  </c:pt>
                  <c:pt idx="49">
                    <c:v>I</c:v>
                  </c:pt>
                  <c:pt idx="52">
                    <c:v>II</c:v>
                  </c:pt>
                  <c:pt idx="55">
                    <c:v>III</c:v>
                  </c:pt>
                  <c:pt idx="58">
                    <c:v>IV</c:v>
                  </c:pt>
                  <c:pt idx="61">
                    <c:v>I</c:v>
                  </c:pt>
                  <c:pt idx="64">
                    <c:v>II</c:v>
                  </c:pt>
                  <c:pt idx="67">
                    <c:v>III</c:v>
                  </c:pt>
                  <c:pt idx="70">
                    <c:v>IV</c:v>
                  </c:pt>
                  <c:pt idx="73">
                    <c:v>I</c:v>
                  </c:pt>
                  <c:pt idx="76">
                    <c:v>II</c:v>
                  </c:pt>
                  <c:pt idx="79">
                    <c:v>III</c:v>
                  </c:pt>
                  <c:pt idx="82">
                    <c:v>IV</c:v>
                  </c:pt>
                  <c:pt idx="85">
                    <c:v>I</c:v>
                  </c:pt>
                  <c:pt idx="88">
                    <c:v>II</c:v>
                  </c:pt>
                  <c:pt idx="91">
                    <c:v>III</c:v>
                  </c:pt>
                  <c:pt idx="94">
                    <c:v>IV</c:v>
                  </c:pt>
                  <c:pt idx="97">
                    <c:v>I</c:v>
                  </c:pt>
                  <c:pt idx="100">
                    <c:v>II</c:v>
                  </c:pt>
                  <c:pt idx="103">
                    <c:v>III</c:v>
                  </c:pt>
                  <c:pt idx="106">
                    <c:v>IV</c:v>
                  </c:pt>
                  <c:pt idx="109">
                    <c:v>I</c:v>
                  </c:pt>
                  <c:pt idx="112">
                    <c:v>II</c:v>
                  </c:pt>
                  <c:pt idx="115">
                    <c:v>III</c:v>
                  </c:pt>
                  <c:pt idx="118">
                    <c:v>IV</c:v>
                  </c:pt>
                  <c:pt idx="121">
                    <c:v>I</c:v>
                  </c:pt>
                  <c:pt idx="124">
                    <c:v>II</c:v>
                  </c:pt>
                  <c:pt idx="127">
                    <c:v>III</c:v>
                  </c:pt>
                  <c:pt idx="131">
                    <c:v>IV</c:v>
                  </c:pt>
                </c:lvl>
                <c:lvl>
                  <c:pt idx="0">
                    <c:v>2010</c:v>
                  </c:pt>
                  <c:pt idx="12">
                    <c:v>2011</c:v>
                  </c:pt>
                  <c:pt idx="24">
                    <c:v>2012</c:v>
                  </c:pt>
                  <c:pt idx="36">
                    <c:v>2013</c:v>
                  </c:pt>
                  <c:pt idx="48">
                    <c:v>2014</c:v>
                  </c:pt>
                  <c:pt idx="60">
                    <c:v>2015</c:v>
                  </c:pt>
                  <c:pt idx="72">
                    <c:v>2016</c:v>
                  </c:pt>
                  <c:pt idx="84">
                    <c:v>2017</c:v>
                  </c:pt>
                  <c:pt idx="96">
                    <c:v>2018</c:v>
                  </c:pt>
                  <c:pt idx="108">
                    <c:v>2019</c:v>
                  </c:pt>
                  <c:pt idx="120">
                    <c:v>2020</c:v>
                  </c:pt>
                </c:lvl>
              </c:multiLvlStrCache>
            </c:multiLvlStrRef>
          </c:cat>
          <c:val>
            <c:numRef>
              <c:f>'[REER 2010-2020.xlsx]2010-2020 РЭОК'!$D$114:$EE$114</c:f>
              <c:numCache>
                <c:formatCode>General</c:formatCode>
                <c:ptCount val="132"/>
                <c:pt idx="0">
                  <c:v>100</c:v>
                </c:pt>
                <c:pt idx="1">
                  <c:v>98.950109363635192</c:v>
                </c:pt>
                <c:pt idx="2">
                  <c:v>99.374110930808058</c:v>
                </c:pt>
                <c:pt idx="3">
                  <c:v>99.435064608893995</c:v>
                </c:pt>
                <c:pt idx="4">
                  <c:v>99.128626790777091</c:v>
                </c:pt>
                <c:pt idx="5">
                  <c:v>97.569545616998795</c:v>
                </c:pt>
                <c:pt idx="6">
                  <c:v>95.57852491229464</c:v>
                </c:pt>
                <c:pt idx="7">
                  <c:v>95.124109522152679</c:v>
                </c:pt>
                <c:pt idx="8">
                  <c:v>93.313285070228929</c:v>
                </c:pt>
                <c:pt idx="9">
                  <c:v>92.614981920427624</c:v>
                </c:pt>
                <c:pt idx="10">
                  <c:v>92.074320766699131</c:v>
                </c:pt>
                <c:pt idx="11">
                  <c:v>91.638300796077971</c:v>
                </c:pt>
                <c:pt idx="12">
                  <c:v>90.305508396773021</c:v>
                </c:pt>
                <c:pt idx="13">
                  <c:v>88.94723465734296</c:v>
                </c:pt>
                <c:pt idx="14">
                  <c:v>88.850726189027483</c:v>
                </c:pt>
                <c:pt idx="15">
                  <c:v>88.354046110228694</c:v>
                </c:pt>
                <c:pt idx="16">
                  <c:v>87.394112315377754</c:v>
                </c:pt>
                <c:pt idx="17">
                  <c:v>86.20964071969297</c:v>
                </c:pt>
                <c:pt idx="18">
                  <c:v>84.441750655424173</c:v>
                </c:pt>
                <c:pt idx="19">
                  <c:v>83.298666431135672</c:v>
                </c:pt>
                <c:pt idx="20">
                  <c:v>83.033279942846775</c:v>
                </c:pt>
                <c:pt idx="21">
                  <c:v>82.916355109927622</c:v>
                </c:pt>
                <c:pt idx="22">
                  <c:v>82.939310307234592</c:v>
                </c:pt>
                <c:pt idx="23">
                  <c:v>82.109924678844862</c:v>
                </c:pt>
                <c:pt idx="24">
                  <c:v>80.625805329294238</c:v>
                </c:pt>
                <c:pt idx="25">
                  <c:v>80.489764357103127</c:v>
                </c:pt>
                <c:pt idx="26">
                  <c:v>80.25417752005194</c:v>
                </c:pt>
                <c:pt idx="27">
                  <c:v>80.511786842801214</c:v>
                </c:pt>
                <c:pt idx="28">
                  <c:v>80.735070450470374</c:v>
                </c:pt>
                <c:pt idx="29">
                  <c:v>80.503525612258656</c:v>
                </c:pt>
                <c:pt idx="30">
                  <c:v>79.228139456820884</c:v>
                </c:pt>
                <c:pt idx="31">
                  <c:v>77.582990965759763</c:v>
                </c:pt>
                <c:pt idx="32">
                  <c:v>76.639154363918635</c:v>
                </c:pt>
                <c:pt idx="33">
                  <c:v>75.999563288195432</c:v>
                </c:pt>
                <c:pt idx="34">
                  <c:v>75.85212630023554</c:v>
                </c:pt>
                <c:pt idx="35">
                  <c:v>75.586386000978962</c:v>
                </c:pt>
                <c:pt idx="36">
                  <c:v>74.792654634396214</c:v>
                </c:pt>
                <c:pt idx="37">
                  <c:v>73.891444469084917</c:v>
                </c:pt>
                <c:pt idx="38">
                  <c:v>74.039256444411834</c:v>
                </c:pt>
                <c:pt idx="39">
                  <c:v>73.054213077181302</c:v>
                </c:pt>
                <c:pt idx="40">
                  <c:v>72.60246781571135</c:v>
                </c:pt>
                <c:pt idx="41">
                  <c:v>71.993418320096396</c:v>
                </c:pt>
                <c:pt idx="42">
                  <c:v>70.644223710711969</c:v>
                </c:pt>
                <c:pt idx="43">
                  <c:v>69.620431825161461</c:v>
                </c:pt>
                <c:pt idx="44">
                  <c:v>68.905074831581942</c:v>
                </c:pt>
                <c:pt idx="45">
                  <c:v>68.191628409201925</c:v>
                </c:pt>
                <c:pt idx="46">
                  <c:v>68.3790464531954</c:v>
                </c:pt>
                <c:pt idx="47">
                  <c:v>68.097453413492246</c:v>
                </c:pt>
                <c:pt idx="48">
                  <c:v>67.742401583453088</c:v>
                </c:pt>
                <c:pt idx="49">
                  <c:v>67.591073584523897</c:v>
                </c:pt>
                <c:pt idx="50">
                  <c:v>68.792380103557363</c:v>
                </c:pt>
                <c:pt idx="51">
                  <c:v>69.120230988002646</c:v>
                </c:pt>
                <c:pt idx="52">
                  <c:v>68.553937824710033</c:v>
                </c:pt>
                <c:pt idx="53">
                  <c:v>67.800324518408431</c:v>
                </c:pt>
                <c:pt idx="54">
                  <c:v>66.194216586640721</c:v>
                </c:pt>
                <c:pt idx="55">
                  <c:v>65.243748046167354</c:v>
                </c:pt>
                <c:pt idx="56">
                  <c:v>64.743431058828691</c:v>
                </c:pt>
                <c:pt idx="57">
                  <c:v>64.553271852856071</c:v>
                </c:pt>
                <c:pt idx="58">
                  <c:v>65.001774001893409</c:v>
                </c:pt>
                <c:pt idx="59">
                  <c:v>65.574224257953446</c:v>
                </c:pt>
                <c:pt idx="60">
                  <c:v>65.722292328514271</c:v>
                </c:pt>
                <c:pt idx="61">
                  <c:v>64.709849274657557</c:v>
                </c:pt>
                <c:pt idx="62">
                  <c:v>64.121550681225827</c:v>
                </c:pt>
                <c:pt idx="63">
                  <c:v>63.854884557043171</c:v>
                </c:pt>
                <c:pt idx="64">
                  <c:v>63.648604647972327</c:v>
                </c:pt>
                <c:pt idx="65">
                  <c:v>62.932015011219178</c:v>
                </c:pt>
                <c:pt idx="66">
                  <c:v>61.653050891203712</c:v>
                </c:pt>
                <c:pt idx="67">
                  <c:v>62.608055473573344</c:v>
                </c:pt>
                <c:pt idx="68">
                  <c:v>62.132468083203506</c:v>
                </c:pt>
                <c:pt idx="69">
                  <c:v>61.348056506010408</c:v>
                </c:pt>
                <c:pt idx="70">
                  <c:v>60.884624659529798</c:v>
                </c:pt>
                <c:pt idx="71">
                  <c:v>60.277789129293645</c:v>
                </c:pt>
                <c:pt idx="72">
                  <c:v>60.811557097133708</c:v>
                </c:pt>
                <c:pt idx="73">
                  <c:v>59.370022608686355</c:v>
                </c:pt>
                <c:pt idx="74">
                  <c:v>59.377618066483208</c:v>
                </c:pt>
                <c:pt idx="75">
                  <c:v>59.302530661457645</c:v>
                </c:pt>
                <c:pt idx="76">
                  <c:v>59.813441260110501</c:v>
                </c:pt>
                <c:pt idx="77">
                  <c:v>59.952063574891504</c:v>
                </c:pt>
                <c:pt idx="78">
                  <c:v>59.432235709919738</c:v>
                </c:pt>
                <c:pt idx="79">
                  <c:v>58.911851928846893</c:v>
                </c:pt>
                <c:pt idx="80">
                  <c:v>58.896291350380245</c:v>
                </c:pt>
                <c:pt idx="81">
                  <c:v>59.221427313522781</c:v>
                </c:pt>
                <c:pt idx="82">
                  <c:v>59.419299097850541</c:v>
                </c:pt>
                <c:pt idx="83">
                  <c:v>59.66504988353347</c:v>
                </c:pt>
                <c:pt idx="84">
                  <c:v>58.344351784142056</c:v>
                </c:pt>
                <c:pt idx="85">
                  <c:v>57.024718097966385</c:v>
                </c:pt>
                <c:pt idx="86">
                  <c:v>54.605776505931082</c:v>
                </c:pt>
                <c:pt idx="87">
                  <c:v>53.54292412193908</c:v>
                </c:pt>
                <c:pt idx="88">
                  <c:v>51.885118702016641</c:v>
                </c:pt>
                <c:pt idx="89">
                  <c:v>50.729160955747233</c:v>
                </c:pt>
                <c:pt idx="90">
                  <c:v>49.17640188051319</c:v>
                </c:pt>
                <c:pt idx="91">
                  <c:v>46.775064824647984</c:v>
                </c:pt>
                <c:pt idx="92">
                  <c:v>24.411775780104374</c:v>
                </c:pt>
                <c:pt idx="93">
                  <c:v>24.751573711816455</c:v>
                </c:pt>
                <c:pt idx="94">
                  <c:v>24.960357227114631</c:v>
                </c:pt>
                <c:pt idx="95">
                  <c:v>25.496629981227702</c:v>
                </c:pt>
                <c:pt idx="96">
                  <c:v>24.766889573403983</c:v>
                </c:pt>
                <c:pt idx="97">
                  <c:v>24.646196200770941</c:v>
                </c:pt>
                <c:pt idx="98">
                  <c:v>25.299812919988558</c:v>
                </c:pt>
                <c:pt idx="99">
                  <c:v>25.592304892983357</c:v>
                </c:pt>
                <c:pt idx="100">
                  <c:v>26.477731190717492</c:v>
                </c:pt>
                <c:pt idx="101">
                  <c:v>27.239981721311928</c:v>
                </c:pt>
                <c:pt idx="102">
                  <c:v>28.671010678358407</c:v>
                </c:pt>
                <c:pt idx="103">
                  <c:v>28.388930896821908</c:v>
                </c:pt>
                <c:pt idx="104">
                  <c:v>27.908505068355982</c:v>
                </c:pt>
                <c:pt idx="105">
                  <c:v>27.93563952271645</c:v>
                </c:pt>
                <c:pt idx="106">
                  <c:v>28.32234336524558</c:v>
                </c:pt>
                <c:pt idx="107">
                  <c:v>28.410104285543714</c:v>
                </c:pt>
                <c:pt idx="108">
                  <c:v>27.764349182229957</c:v>
                </c:pt>
                <c:pt idx="109">
                  <c:v>27.589657006436486</c:v>
                </c:pt>
                <c:pt idx="110">
                  <c:v>27.984859751108189</c:v>
                </c:pt>
                <c:pt idx="111">
                  <c:v>27.999755972408241</c:v>
                </c:pt>
                <c:pt idx="112">
                  <c:v>28.722021596399749</c:v>
                </c:pt>
                <c:pt idx="113">
                  <c:v>28.274544507882442</c:v>
                </c:pt>
                <c:pt idx="114">
                  <c:v>27.798106205216001</c:v>
                </c:pt>
                <c:pt idx="115">
                  <c:v>26.833559484753444</c:v>
                </c:pt>
                <c:pt idx="116">
                  <c:v>26.702800984235175</c:v>
                </c:pt>
                <c:pt idx="117">
                  <c:v>26.526022935631822</c:v>
                </c:pt>
                <c:pt idx="118">
                  <c:v>26.547617148446832</c:v>
                </c:pt>
                <c:pt idx="119">
                  <c:v>26.639054753887052</c:v>
                </c:pt>
                <c:pt idx="120">
                  <c:v>25.986679478154993</c:v>
                </c:pt>
                <c:pt idx="121">
                  <c:v>26.355632886101869</c:v>
                </c:pt>
                <c:pt idx="122">
                  <c:v>27.138752396962623</c:v>
                </c:pt>
                <c:pt idx="123">
                  <c:v>26.014519519048108</c:v>
                </c:pt>
                <c:pt idx="124">
                  <c:v>26.417740530220392</c:v>
                </c:pt>
                <c:pt idx="125">
                  <c:v>26.112014822670108</c:v>
                </c:pt>
                <c:pt idx="126">
                  <c:v>25.839248153754006</c:v>
                </c:pt>
                <c:pt idx="127">
                  <c:v>25.085973478292434</c:v>
                </c:pt>
                <c:pt idx="128">
                  <c:v>24.770061650648064</c:v>
                </c:pt>
                <c:pt idx="129">
                  <c:v>24.461882866212129</c:v>
                </c:pt>
                <c:pt idx="130">
                  <c:v>24.260897907187267</c:v>
                </c:pt>
                <c:pt idx="131">
                  <c:v>24.26897009605462</c:v>
                </c:pt>
              </c:numCache>
            </c:numRef>
          </c:val>
          <c:smooth val="0"/>
          <c:extLst>
            <c:ext xmlns:c16="http://schemas.microsoft.com/office/drawing/2014/chart" uri="{C3380CC4-5D6E-409C-BE32-E72D297353CC}">
              <c16:uniqueId val="{00000002-E650-47DA-B2EC-4CE6B8F44CAA}"/>
            </c:ext>
          </c:extLst>
        </c:ser>
        <c:ser>
          <c:idx val="4"/>
          <c:order val="3"/>
          <c:tx>
            <c:strRef>
              <c:f>'[REER 2010-2020.xlsx]2010-2020 РЭОК'!$B$115</c:f>
              <c:strCache>
                <c:ptCount val="1"/>
                <c:pt idx="0">
                  <c:v>Kazakh tenge</c:v>
                </c:pt>
              </c:strCache>
            </c:strRef>
          </c:tx>
          <c:spPr>
            <a:ln w="15875" cap="rnd">
              <a:solidFill>
                <a:schemeClr val="accent5"/>
              </a:solidFill>
              <a:round/>
            </a:ln>
            <a:effectLst/>
          </c:spPr>
          <c:marker>
            <c:symbol val="none"/>
          </c:marker>
          <c:cat>
            <c:multiLvlStrRef>
              <c:f>'[REER 2010-2020.xlsx]2010-2020 РЭОК'!$D$109:$EE$110</c:f>
              <c:multiLvlStrCache>
                <c:ptCount val="132"/>
                <c:lvl>
                  <c:pt idx="1">
                    <c:v>I</c:v>
                  </c:pt>
                  <c:pt idx="4">
                    <c:v>II</c:v>
                  </c:pt>
                  <c:pt idx="7">
                    <c:v>III</c:v>
                  </c:pt>
                  <c:pt idx="10">
                    <c:v>IV</c:v>
                  </c:pt>
                  <c:pt idx="13">
                    <c:v>I</c:v>
                  </c:pt>
                  <c:pt idx="16">
                    <c:v>II</c:v>
                  </c:pt>
                  <c:pt idx="19">
                    <c:v>III</c:v>
                  </c:pt>
                  <c:pt idx="22">
                    <c:v>IV</c:v>
                  </c:pt>
                  <c:pt idx="25">
                    <c:v>I</c:v>
                  </c:pt>
                  <c:pt idx="28">
                    <c:v>II</c:v>
                  </c:pt>
                  <c:pt idx="31">
                    <c:v>III</c:v>
                  </c:pt>
                  <c:pt idx="34">
                    <c:v>IV</c:v>
                  </c:pt>
                  <c:pt idx="37">
                    <c:v>I</c:v>
                  </c:pt>
                  <c:pt idx="40">
                    <c:v>II</c:v>
                  </c:pt>
                  <c:pt idx="43">
                    <c:v>III</c:v>
                  </c:pt>
                  <c:pt idx="46">
                    <c:v>IV</c:v>
                  </c:pt>
                  <c:pt idx="49">
                    <c:v>I</c:v>
                  </c:pt>
                  <c:pt idx="52">
                    <c:v>II</c:v>
                  </c:pt>
                  <c:pt idx="55">
                    <c:v>III</c:v>
                  </c:pt>
                  <c:pt idx="58">
                    <c:v>IV</c:v>
                  </c:pt>
                  <c:pt idx="61">
                    <c:v>I</c:v>
                  </c:pt>
                  <c:pt idx="64">
                    <c:v>II</c:v>
                  </c:pt>
                  <c:pt idx="67">
                    <c:v>III</c:v>
                  </c:pt>
                  <c:pt idx="70">
                    <c:v>IV</c:v>
                  </c:pt>
                  <c:pt idx="73">
                    <c:v>I</c:v>
                  </c:pt>
                  <c:pt idx="76">
                    <c:v>II</c:v>
                  </c:pt>
                  <c:pt idx="79">
                    <c:v>III</c:v>
                  </c:pt>
                  <c:pt idx="82">
                    <c:v>IV</c:v>
                  </c:pt>
                  <c:pt idx="85">
                    <c:v>I</c:v>
                  </c:pt>
                  <c:pt idx="88">
                    <c:v>II</c:v>
                  </c:pt>
                  <c:pt idx="91">
                    <c:v>III</c:v>
                  </c:pt>
                  <c:pt idx="94">
                    <c:v>IV</c:v>
                  </c:pt>
                  <c:pt idx="97">
                    <c:v>I</c:v>
                  </c:pt>
                  <c:pt idx="100">
                    <c:v>II</c:v>
                  </c:pt>
                  <c:pt idx="103">
                    <c:v>III</c:v>
                  </c:pt>
                  <c:pt idx="106">
                    <c:v>IV</c:v>
                  </c:pt>
                  <c:pt idx="109">
                    <c:v>I</c:v>
                  </c:pt>
                  <c:pt idx="112">
                    <c:v>II</c:v>
                  </c:pt>
                  <c:pt idx="115">
                    <c:v>III</c:v>
                  </c:pt>
                  <c:pt idx="118">
                    <c:v>IV</c:v>
                  </c:pt>
                  <c:pt idx="121">
                    <c:v>I</c:v>
                  </c:pt>
                  <c:pt idx="124">
                    <c:v>II</c:v>
                  </c:pt>
                  <c:pt idx="127">
                    <c:v>III</c:v>
                  </c:pt>
                  <c:pt idx="131">
                    <c:v>IV</c:v>
                  </c:pt>
                </c:lvl>
                <c:lvl>
                  <c:pt idx="0">
                    <c:v>2010</c:v>
                  </c:pt>
                  <c:pt idx="12">
                    <c:v>2011</c:v>
                  </c:pt>
                  <c:pt idx="24">
                    <c:v>2012</c:v>
                  </c:pt>
                  <c:pt idx="36">
                    <c:v>2013</c:v>
                  </c:pt>
                  <c:pt idx="48">
                    <c:v>2014</c:v>
                  </c:pt>
                  <c:pt idx="60">
                    <c:v>2015</c:v>
                  </c:pt>
                  <c:pt idx="72">
                    <c:v>2016</c:v>
                  </c:pt>
                  <c:pt idx="84">
                    <c:v>2017</c:v>
                  </c:pt>
                  <c:pt idx="96">
                    <c:v>2018</c:v>
                  </c:pt>
                  <c:pt idx="108">
                    <c:v>2019</c:v>
                  </c:pt>
                  <c:pt idx="120">
                    <c:v>2020</c:v>
                  </c:pt>
                </c:lvl>
              </c:multiLvlStrCache>
            </c:multiLvlStrRef>
          </c:cat>
          <c:val>
            <c:numRef>
              <c:f>'[REER 2010-2020.xlsx]2010-2020 РЭОК'!$D$115:$EE$115</c:f>
              <c:numCache>
                <c:formatCode>General</c:formatCode>
                <c:ptCount val="132"/>
                <c:pt idx="0">
                  <c:v>100</c:v>
                </c:pt>
                <c:pt idx="1">
                  <c:v>98.63593694112889</c:v>
                </c:pt>
                <c:pt idx="2">
                  <c:v>97.554006087975992</c:v>
                </c:pt>
                <c:pt idx="3">
                  <c:v>96.918987525740334</c:v>
                </c:pt>
                <c:pt idx="4">
                  <c:v>95.783831914776769</c:v>
                </c:pt>
                <c:pt idx="5">
                  <c:v>94.60590541051765</c:v>
                </c:pt>
                <c:pt idx="6">
                  <c:v>93.216055349136695</c:v>
                </c:pt>
                <c:pt idx="7">
                  <c:v>92.717556018038422</c:v>
                </c:pt>
                <c:pt idx="8">
                  <c:v>92.513680123221476</c:v>
                </c:pt>
                <c:pt idx="9">
                  <c:v>92.28992296926917</c:v>
                </c:pt>
                <c:pt idx="10">
                  <c:v>91.8555673274344</c:v>
                </c:pt>
                <c:pt idx="11">
                  <c:v>91.812179670293588</c:v>
                </c:pt>
                <c:pt idx="12">
                  <c:v>90.188606455589976</c:v>
                </c:pt>
                <c:pt idx="13">
                  <c:v>88.464699972333676</c:v>
                </c:pt>
                <c:pt idx="14">
                  <c:v>87.668267212867249</c:v>
                </c:pt>
                <c:pt idx="15">
                  <c:v>87.431668306093499</c:v>
                </c:pt>
                <c:pt idx="16">
                  <c:v>86.44222109980349</c:v>
                </c:pt>
                <c:pt idx="17">
                  <c:v>85.937571850241071</c:v>
                </c:pt>
                <c:pt idx="18">
                  <c:v>84.469242034481766</c:v>
                </c:pt>
                <c:pt idx="19">
                  <c:v>84.287917910119432</c:v>
                </c:pt>
                <c:pt idx="20">
                  <c:v>85.043016175619471</c:v>
                </c:pt>
                <c:pt idx="21">
                  <c:v>84.822130498368324</c:v>
                </c:pt>
                <c:pt idx="22">
                  <c:v>84.270779004669748</c:v>
                </c:pt>
                <c:pt idx="23">
                  <c:v>84.488713049683483</c:v>
                </c:pt>
                <c:pt idx="24">
                  <c:v>84.261344293388035</c:v>
                </c:pt>
                <c:pt idx="25">
                  <c:v>83.425096391685884</c:v>
                </c:pt>
                <c:pt idx="26">
                  <c:v>83.144904281909859</c:v>
                </c:pt>
                <c:pt idx="27">
                  <c:v>82.854327046666</c:v>
                </c:pt>
                <c:pt idx="28">
                  <c:v>81.902478577093447</c:v>
                </c:pt>
                <c:pt idx="29">
                  <c:v>81.451123757544295</c:v>
                </c:pt>
                <c:pt idx="30">
                  <c:v>80.239539357608791</c:v>
                </c:pt>
                <c:pt idx="31">
                  <c:v>78.851631013968813</c:v>
                </c:pt>
                <c:pt idx="32">
                  <c:v>78.609973783044524</c:v>
                </c:pt>
                <c:pt idx="33">
                  <c:v>78.658672322154672</c:v>
                </c:pt>
                <c:pt idx="34">
                  <c:v>78.259662962035364</c:v>
                </c:pt>
                <c:pt idx="35">
                  <c:v>78.19273974417375</c:v>
                </c:pt>
                <c:pt idx="36">
                  <c:v>77.718190147911997</c:v>
                </c:pt>
                <c:pt idx="37">
                  <c:v>76.793904378226543</c:v>
                </c:pt>
                <c:pt idx="38">
                  <c:v>76.612200085348107</c:v>
                </c:pt>
                <c:pt idx="39">
                  <c:v>76.317086767688053</c:v>
                </c:pt>
                <c:pt idx="40">
                  <c:v>75.67413428979394</c:v>
                </c:pt>
                <c:pt idx="41">
                  <c:v>74.990226378264197</c:v>
                </c:pt>
                <c:pt idx="42">
                  <c:v>74.333439345242837</c:v>
                </c:pt>
                <c:pt idx="43">
                  <c:v>73.479043506539696</c:v>
                </c:pt>
                <c:pt idx="44">
                  <c:v>73.585528475084743</c:v>
                </c:pt>
                <c:pt idx="45">
                  <c:v>73.474111780279202</c:v>
                </c:pt>
                <c:pt idx="46">
                  <c:v>72.896055293069594</c:v>
                </c:pt>
                <c:pt idx="47">
                  <c:v>72.708113060527381</c:v>
                </c:pt>
                <c:pt idx="48">
                  <c:v>73.806405713543924</c:v>
                </c:pt>
                <c:pt idx="49">
                  <c:v>85.756564250593698</c:v>
                </c:pt>
                <c:pt idx="50">
                  <c:v>83.511905466287814</c:v>
                </c:pt>
                <c:pt idx="51">
                  <c:v>82.800297613680058</c:v>
                </c:pt>
                <c:pt idx="52">
                  <c:v>82.614179705988391</c:v>
                </c:pt>
                <c:pt idx="53">
                  <c:v>81.607780188652228</c:v>
                </c:pt>
                <c:pt idx="54">
                  <c:v>80.166723882397378</c:v>
                </c:pt>
                <c:pt idx="55">
                  <c:v>78.658686561166817</c:v>
                </c:pt>
                <c:pt idx="56">
                  <c:v>78.279776182344378</c:v>
                </c:pt>
                <c:pt idx="57">
                  <c:v>77.656361936830692</c:v>
                </c:pt>
                <c:pt idx="58">
                  <c:v>77.341137758923324</c:v>
                </c:pt>
                <c:pt idx="59">
                  <c:v>77.582822610491604</c:v>
                </c:pt>
                <c:pt idx="60">
                  <c:v>78.150105142480172</c:v>
                </c:pt>
                <c:pt idx="61">
                  <c:v>77.867001723414219</c:v>
                </c:pt>
                <c:pt idx="62">
                  <c:v>77.412980105874695</c:v>
                </c:pt>
                <c:pt idx="63">
                  <c:v>77.124086048867156</c:v>
                </c:pt>
                <c:pt idx="64">
                  <c:v>76.586193579496481</c:v>
                </c:pt>
                <c:pt idx="65">
                  <c:v>75.766476977910997</c:v>
                </c:pt>
                <c:pt idx="66">
                  <c:v>74.962911628909296</c:v>
                </c:pt>
                <c:pt idx="67">
                  <c:v>93.944035798842279</c:v>
                </c:pt>
                <c:pt idx="68">
                  <c:v>105.84843976108884</c:v>
                </c:pt>
                <c:pt idx="69">
                  <c:v>103.7504154799034</c:v>
                </c:pt>
                <c:pt idx="70">
                  <c:v>109.74317152062739</c:v>
                </c:pt>
                <c:pt idx="71">
                  <c:v>118.03236209784589</c:v>
                </c:pt>
                <c:pt idx="72">
                  <c:v>125.47680035577508</c:v>
                </c:pt>
                <c:pt idx="73">
                  <c:v>119.5153541731528</c:v>
                </c:pt>
                <c:pt idx="74">
                  <c:v>116.35538986578209</c:v>
                </c:pt>
                <c:pt idx="75">
                  <c:v>110.46159861025365</c:v>
                </c:pt>
                <c:pt idx="76">
                  <c:v>112.37174433927908</c:v>
                </c:pt>
                <c:pt idx="77">
                  <c:v>111.84428308883039</c:v>
                </c:pt>
                <c:pt idx="78">
                  <c:v>114.39982524612667</c:v>
                </c:pt>
                <c:pt idx="79">
                  <c:v>109.21292521795536</c:v>
                </c:pt>
                <c:pt idx="80">
                  <c:v>108.48122365698842</c:v>
                </c:pt>
                <c:pt idx="81">
                  <c:v>106.42054250177719</c:v>
                </c:pt>
                <c:pt idx="82">
                  <c:v>106.18344115440948</c:v>
                </c:pt>
                <c:pt idx="83">
                  <c:v>103.31357577064357</c:v>
                </c:pt>
                <c:pt idx="84">
                  <c:v>100.46758395742017</c:v>
                </c:pt>
                <c:pt idx="85">
                  <c:v>93.27902424318107</c:v>
                </c:pt>
                <c:pt idx="86">
                  <c:v>89.490537615968606</c:v>
                </c:pt>
                <c:pt idx="87">
                  <c:v>87.182057913741986</c:v>
                </c:pt>
                <c:pt idx="88">
                  <c:v>83.835830192161652</c:v>
                </c:pt>
                <c:pt idx="89">
                  <c:v>84.429520078208142</c:v>
                </c:pt>
                <c:pt idx="90">
                  <c:v>84.051332278238561</c:v>
                </c:pt>
                <c:pt idx="91">
                  <c:v>83.751718495564717</c:v>
                </c:pt>
                <c:pt idx="92">
                  <c:v>44.964759538836887</c:v>
                </c:pt>
                <c:pt idx="93">
                  <c:v>44.061273132735195</c:v>
                </c:pt>
                <c:pt idx="94">
                  <c:v>44.159495737487362</c:v>
                </c:pt>
                <c:pt idx="95">
                  <c:v>45.400072902284315</c:v>
                </c:pt>
                <c:pt idx="96">
                  <c:v>45.575297371646414</c:v>
                </c:pt>
                <c:pt idx="97">
                  <c:v>44.677854919116697</c:v>
                </c:pt>
                <c:pt idx="98">
                  <c:v>44.822088622925207</c:v>
                </c:pt>
                <c:pt idx="99">
                  <c:v>45.765533102835768</c:v>
                </c:pt>
                <c:pt idx="100">
                  <c:v>47.019039109521756</c:v>
                </c:pt>
                <c:pt idx="101">
                  <c:v>48.339810835183826</c:v>
                </c:pt>
                <c:pt idx="102">
                  <c:v>50.181141213450552</c:v>
                </c:pt>
                <c:pt idx="103">
                  <c:v>51.998581748327688</c:v>
                </c:pt>
                <c:pt idx="104">
                  <c:v>53.284324891303015</c:v>
                </c:pt>
                <c:pt idx="105">
                  <c:v>52.179414488555494</c:v>
                </c:pt>
                <c:pt idx="106">
                  <c:v>52.692307666805547</c:v>
                </c:pt>
                <c:pt idx="107">
                  <c:v>53.047804695580282</c:v>
                </c:pt>
                <c:pt idx="108">
                  <c:v>54.287495959640275</c:v>
                </c:pt>
                <c:pt idx="109">
                  <c:v>54.592870131829905</c:v>
                </c:pt>
                <c:pt idx="110">
                  <c:v>54.82681411854854</c:v>
                </c:pt>
                <c:pt idx="111">
                  <c:v>54.836305474801797</c:v>
                </c:pt>
                <c:pt idx="112">
                  <c:v>54.906363307277928</c:v>
                </c:pt>
                <c:pt idx="113">
                  <c:v>54.467811377244914</c:v>
                </c:pt>
                <c:pt idx="114">
                  <c:v>54.046139739701871</c:v>
                </c:pt>
                <c:pt idx="115">
                  <c:v>52.848035238458166</c:v>
                </c:pt>
                <c:pt idx="116">
                  <c:v>51.214245259966738</c:v>
                </c:pt>
                <c:pt idx="117">
                  <c:v>51.548814982442323</c:v>
                </c:pt>
                <c:pt idx="118">
                  <c:v>51.57500460542488</c:v>
                </c:pt>
                <c:pt idx="119">
                  <c:v>51.332801408918272</c:v>
                </c:pt>
                <c:pt idx="120">
                  <c:v>50.413725737443528</c:v>
                </c:pt>
                <c:pt idx="121">
                  <c:v>50.404036051176284</c:v>
                </c:pt>
                <c:pt idx="122">
                  <c:v>54.005054163627534</c:v>
                </c:pt>
                <c:pt idx="123">
                  <c:v>54.599442237340959</c:v>
                </c:pt>
                <c:pt idx="124">
                  <c:v>52.440429570058647</c:v>
                </c:pt>
                <c:pt idx="125">
                  <c:v>50.497919912002075</c:v>
                </c:pt>
                <c:pt idx="126">
                  <c:v>51.577064872270931</c:v>
                </c:pt>
                <c:pt idx="127">
                  <c:v>52.093412757171912</c:v>
                </c:pt>
                <c:pt idx="128">
                  <c:v>53.050319543421011</c:v>
                </c:pt>
                <c:pt idx="129">
                  <c:v>53.032648508606485</c:v>
                </c:pt>
                <c:pt idx="130">
                  <c:v>52.755092634527976</c:v>
                </c:pt>
                <c:pt idx="131">
                  <c:v>51.460329357503795</c:v>
                </c:pt>
              </c:numCache>
            </c:numRef>
          </c:val>
          <c:smooth val="0"/>
          <c:extLst>
            <c:ext xmlns:c16="http://schemas.microsoft.com/office/drawing/2014/chart" uri="{C3380CC4-5D6E-409C-BE32-E72D297353CC}">
              <c16:uniqueId val="{00000003-E650-47DA-B2EC-4CE6B8F44CAA}"/>
            </c:ext>
          </c:extLst>
        </c:ser>
        <c:ser>
          <c:idx val="5"/>
          <c:order val="4"/>
          <c:tx>
            <c:strRef>
              <c:f>'[REER 2010-2020.xlsx]2010-2020 РЭОК'!$B$116</c:f>
              <c:strCache>
                <c:ptCount val="1"/>
                <c:pt idx="0">
                  <c:v>TRY</c:v>
                </c:pt>
              </c:strCache>
            </c:strRef>
          </c:tx>
          <c:spPr>
            <a:ln w="15875" cap="rnd">
              <a:solidFill>
                <a:schemeClr val="accent6"/>
              </a:solidFill>
              <a:round/>
            </a:ln>
            <a:effectLst/>
          </c:spPr>
          <c:marker>
            <c:symbol val="none"/>
          </c:marker>
          <c:cat>
            <c:multiLvlStrRef>
              <c:f>'[REER 2010-2020.xlsx]2010-2020 РЭОК'!$D$109:$EE$110</c:f>
              <c:multiLvlStrCache>
                <c:ptCount val="132"/>
                <c:lvl>
                  <c:pt idx="1">
                    <c:v>I</c:v>
                  </c:pt>
                  <c:pt idx="4">
                    <c:v>II</c:v>
                  </c:pt>
                  <c:pt idx="7">
                    <c:v>III</c:v>
                  </c:pt>
                  <c:pt idx="10">
                    <c:v>IV</c:v>
                  </c:pt>
                  <c:pt idx="13">
                    <c:v>I</c:v>
                  </c:pt>
                  <c:pt idx="16">
                    <c:v>II</c:v>
                  </c:pt>
                  <c:pt idx="19">
                    <c:v>III</c:v>
                  </c:pt>
                  <c:pt idx="22">
                    <c:v>IV</c:v>
                  </c:pt>
                  <c:pt idx="25">
                    <c:v>I</c:v>
                  </c:pt>
                  <c:pt idx="28">
                    <c:v>II</c:v>
                  </c:pt>
                  <c:pt idx="31">
                    <c:v>III</c:v>
                  </c:pt>
                  <c:pt idx="34">
                    <c:v>IV</c:v>
                  </c:pt>
                  <c:pt idx="37">
                    <c:v>I</c:v>
                  </c:pt>
                  <c:pt idx="40">
                    <c:v>II</c:v>
                  </c:pt>
                  <c:pt idx="43">
                    <c:v>III</c:v>
                  </c:pt>
                  <c:pt idx="46">
                    <c:v>IV</c:v>
                  </c:pt>
                  <c:pt idx="49">
                    <c:v>I</c:v>
                  </c:pt>
                  <c:pt idx="52">
                    <c:v>II</c:v>
                  </c:pt>
                  <c:pt idx="55">
                    <c:v>III</c:v>
                  </c:pt>
                  <c:pt idx="58">
                    <c:v>IV</c:v>
                  </c:pt>
                  <c:pt idx="61">
                    <c:v>I</c:v>
                  </c:pt>
                  <c:pt idx="64">
                    <c:v>II</c:v>
                  </c:pt>
                  <c:pt idx="67">
                    <c:v>III</c:v>
                  </c:pt>
                  <c:pt idx="70">
                    <c:v>IV</c:v>
                  </c:pt>
                  <c:pt idx="73">
                    <c:v>I</c:v>
                  </c:pt>
                  <c:pt idx="76">
                    <c:v>II</c:v>
                  </c:pt>
                  <c:pt idx="79">
                    <c:v>III</c:v>
                  </c:pt>
                  <c:pt idx="82">
                    <c:v>IV</c:v>
                  </c:pt>
                  <c:pt idx="85">
                    <c:v>I</c:v>
                  </c:pt>
                  <c:pt idx="88">
                    <c:v>II</c:v>
                  </c:pt>
                  <c:pt idx="91">
                    <c:v>III</c:v>
                  </c:pt>
                  <c:pt idx="94">
                    <c:v>IV</c:v>
                  </c:pt>
                  <c:pt idx="97">
                    <c:v>I</c:v>
                  </c:pt>
                  <c:pt idx="100">
                    <c:v>II</c:v>
                  </c:pt>
                  <c:pt idx="103">
                    <c:v>III</c:v>
                  </c:pt>
                  <c:pt idx="106">
                    <c:v>IV</c:v>
                  </c:pt>
                  <c:pt idx="109">
                    <c:v>I</c:v>
                  </c:pt>
                  <c:pt idx="112">
                    <c:v>II</c:v>
                  </c:pt>
                  <c:pt idx="115">
                    <c:v>III</c:v>
                  </c:pt>
                  <c:pt idx="118">
                    <c:v>IV</c:v>
                  </c:pt>
                  <c:pt idx="121">
                    <c:v>I</c:v>
                  </c:pt>
                  <c:pt idx="124">
                    <c:v>II</c:v>
                  </c:pt>
                  <c:pt idx="127">
                    <c:v>III</c:v>
                  </c:pt>
                  <c:pt idx="131">
                    <c:v>IV</c:v>
                  </c:pt>
                </c:lvl>
                <c:lvl>
                  <c:pt idx="0">
                    <c:v>2010</c:v>
                  </c:pt>
                  <c:pt idx="12">
                    <c:v>2011</c:v>
                  </c:pt>
                  <c:pt idx="24">
                    <c:v>2012</c:v>
                  </c:pt>
                  <c:pt idx="36">
                    <c:v>2013</c:v>
                  </c:pt>
                  <c:pt idx="48">
                    <c:v>2014</c:v>
                  </c:pt>
                  <c:pt idx="60">
                    <c:v>2015</c:v>
                  </c:pt>
                  <c:pt idx="72">
                    <c:v>2016</c:v>
                  </c:pt>
                  <c:pt idx="84">
                    <c:v>2017</c:v>
                  </c:pt>
                  <c:pt idx="96">
                    <c:v>2018</c:v>
                  </c:pt>
                  <c:pt idx="108">
                    <c:v>2019</c:v>
                  </c:pt>
                  <c:pt idx="120">
                    <c:v>2020</c:v>
                  </c:pt>
                </c:lvl>
              </c:multiLvlStrCache>
            </c:multiLvlStrRef>
          </c:cat>
          <c:val>
            <c:numRef>
              <c:f>'[REER 2010-2020.xlsx]2010-2020 РЭОК'!$D$116:$EE$116</c:f>
              <c:numCache>
                <c:formatCode>General</c:formatCode>
                <c:ptCount val="132"/>
                <c:pt idx="0">
                  <c:v>100</c:v>
                </c:pt>
                <c:pt idx="1">
                  <c:v>100.25801763992177</c:v>
                </c:pt>
                <c:pt idx="2">
                  <c:v>100.94446556758992</c:v>
                </c:pt>
                <c:pt idx="3">
                  <c:v>97.005610748861244</c:v>
                </c:pt>
                <c:pt idx="4">
                  <c:v>103.21473752197777</c:v>
                </c:pt>
                <c:pt idx="5">
                  <c:v>102.11029873667812</c:v>
                </c:pt>
                <c:pt idx="6">
                  <c:v>97.481119601321126</c:v>
                </c:pt>
                <c:pt idx="7">
                  <c:v>96.950485334359598</c:v>
                </c:pt>
                <c:pt idx="8">
                  <c:v>93.368836740929908</c:v>
                </c:pt>
                <c:pt idx="9">
                  <c:v>88.442671287695987</c:v>
                </c:pt>
                <c:pt idx="10">
                  <c:v>93.441092055169875</c:v>
                </c:pt>
                <c:pt idx="11">
                  <c:v>97.591099796491307</c:v>
                </c:pt>
                <c:pt idx="12">
                  <c:v>99.351104470923786</c:v>
                </c:pt>
                <c:pt idx="13">
                  <c:v>98.968045148430164</c:v>
                </c:pt>
                <c:pt idx="14">
                  <c:v>96.741263833243181</c:v>
                </c:pt>
                <c:pt idx="15">
                  <c:v>94.067828630146394</c:v>
                </c:pt>
                <c:pt idx="16">
                  <c:v>96.457857647975985</c:v>
                </c:pt>
                <c:pt idx="17">
                  <c:v>99.183912594797036</c:v>
                </c:pt>
                <c:pt idx="18">
                  <c:v>101.98362173461013</c:v>
                </c:pt>
                <c:pt idx="19">
                  <c:v>103.93799508535213</c:v>
                </c:pt>
                <c:pt idx="20">
                  <c:v>108.32168699534827</c:v>
                </c:pt>
                <c:pt idx="21">
                  <c:v>105.38073023334724</c:v>
                </c:pt>
                <c:pt idx="22">
                  <c:v>105.31873962352758</c:v>
                </c:pt>
                <c:pt idx="23">
                  <c:v>105.94012267347928</c:v>
                </c:pt>
                <c:pt idx="24">
                  <c:v>98.693460934353496</c:v>
                </c:pt>
                <c:pt idx="25">
                  <c:v>97.311703026401958</c:v>
                </c:pt>
                <c:pt idx="26">
                  <c:v>98.715032709849865</c:v>
                </c:pt>
                <c:pt idx="27">
                  <c:v>97.014234903074936</c:v>
                </c:pt>
                <c:pt idx="28">
                  <c:v>99.416701875309712</c:v>
                </c:pt>
                <c:pt idx="29">
                  <c:v>97.649331343839791</c:v>
                </c:pt>
                <c:pt idx="30">
                  <c:v>96.126664022210917</c:v>
                </c:pt>
                <c:pt idx="31">
                  <c:v>93.67014863449775</c:v>
                </c:pt>
                <c:pt idx="32">
                  <c:v>92.50631940837637</c:v>
                </c:pt>
                <c:pt idx="33">
                  <c:v>91.133556023714164</c:v>
                </c:pt>
                <c:pt idx="34">
                  <c:v>90.702199500173677</c:v>
                </c:pt>
                <c:pt idx="35">
                  <c:v>90.578221685192432</c:v>
                </c:pt>
                <c:pt idx="36">
                  <c:v>87.809431453702061</c:v>
                </c:pt>
                <c:pt idx="37">
                  <c:v>88.875961353725828</c:v>
                </c:pt>
                <c:pt idx="38">
                  <c:v>88.591645751462465</c:v>
                </c:pt>
                <c:pt idx="39">
                  <c:v>87.07409169392551</c:v>
                </c:pt>
                <c:pt idx="40">
                  <c:v>88.909634576592524</c:v>
                </c:pt>
                <c:pt idx="41">
                  <c:v>91.66815920930128</c:v>
                </c:pt>
                <c:pt idx="42">
                  <c:v>89.145655300878033</c:v>
                </c:pt>
                <c:pt idx="43">
                  <c:v>91.631875943702155</c:v>
                </c:pt>
                <c:pt idx="44">
                  <c:v>90.142983912298575</c:v>
                </c:pt>
                <c:pt idx="45">
                  <c:v>88.39744297441689</c:v>
                </c:pt>
                <c:pt idx="46">
                  <c:v>89.602338566952284</c:v>
                </c:pt>
                <c:pt idx="47">
                  <c:v>96.072559531735166</c:v>
                </c:pt>
                <c:pt idx="48">
                  <c:v>102.21181747048938</c:v>
                </c:pt>
                <c:pt idx="49">
                  <c:v>94.92594564378139</c:v>
                </c:pt>
                <c:pt idx="50">
                  <c:v>95.565091115309102</c:v>
                </c:pt>
                <c:pt idx="51">
                  <c:v>89.901652358616928</c:v>
                </c:pt>
                <c:pt idx="52">
                  <c:v>86.79875267257141</c:v>
                </c:pt>
                <c:pt idx="53">
                  <c:v>88.235952296192565</c:v>
                </c:pt>
                <c:pt idx="54">
                  <c:v>84.666637158182965</c:v>
                </c:pt>
                <c:pt idx="55">
                  <c:v>86.993116647690883</c:v>
                </c:pt>
                <c:pt idx="56">
                  <c:v>90.269321023212768</c:v>
                </c:pt>
                <c:pt idx="57">
                  <c:v>87.403426325866874</c:v>
                </c:pt>
                <c:pt idx="58">
                  <c:v>86.88469430836173</c:v>
                </c:pt>
                <c:pt idx="59">
                  <c:v>91.040959262889388</c:v>
                </c:pt>
                <c:pt idx="60">
                  <c:v>91.710545599581252</c:v>
                </c:pt>
                <c:pt idx="61">
                  <c:v>94.377684931082612</c:v>
                </c:pt>
                <c:pt idx="62">
                  <c:v>98.476276603443125</c:v>
                </c:pt>
                <c:pt idx="63">
                  <c:v>100.36736557151968</c:v>
                </c:pt>
                <c:pt idx="64">
                  <c:v>94.958394305482656</c:v>
                </c:pt>
                <c:pt idx="65">
                  <c:v>97.933974052542325</c:v>
                </c:pt>
                <c:pt idx="66">
                  <c:v>97.510232589487117</c:v>
                </c:pt>
                <c:pt idx="67">
                  <c:v>104.13300540261474</c:v>
                </c:pt>
                <c:pt idx="68">
                  <c:v>105.66029489461472</c:v>
                </c:pt>
                <c:pt idx="69">
                  <c:v>97.759253885591946</c:v>
                </c:pt>
                <c:pt idx="70">
                  <c:v>93.687246259116662</c:v>
                </c:pt>
                <c:pt idx="71">
                  <c:v>94.137028682123628</c:v>
                </c:pt>
                <c:pt idx="72">
                  <c:v>95.189477491538497</c:v>
                </c:pt>
                <c:pt idx="73">
                  <c:v>93.724819828166233</c:v>
                </c:pt>
                <c:pt idx="74">
                  <c:v>91.08904778733617</c:v>
                </c:pt>
                <c:pt idx="75">
                  <c:v>89.313595521214381</c:v>
                </c:pt>
                <c:pt idx="76">
                  <c:v>91.464886871465438</c:v>
                </c:pt>
                <c:pt idx="77">
                  <c:v>89.982104276096237</c:v>
                </c:pt>
                <c:pt idx="78">
                  <c:v>91.226662383934894</c:v>
                </c:pt>
                <c:pt idx="79">
                  <c:v>87.685592484459576</c:v>
                </c:pt>
                <c:pt idx="80">
                  <c:v>89.189483990623387</c:v>
                </c:pt>
                <c:pt idx="81">
                  <c:v>89.594585623105431</c:v>
                </c:pt>
                <c:pt idx="82">
                  <c:v>97.686079268249955</c:v>
                </c:pt>
                <c:pt idx="83">
                  <c:v>98.588081894888404</c:v>
                </c:pt>
                <c:pt idx="84">
                  <c:v>105.63011119627741</c:v>
                </c:pt>
                <c:pt idx="85">
                  <c:v>95.247750944945096</c:v>
                </c:pt>
                <c:pt idx="86">
                  <c:v>90.245545639462534</c:v>
                </c:pt>
                <c:pt idx="87">
                  <c:v>87.558240011795135</c:v>
                </c:pt>
                <c:pt idx="88">
                  <c:v>83.875371161263104</c:v>
                </c:pt>
                <c:pt idx="89">
                  <c:v>80.419743470682519</c:v>
                </c:pt>
                <c:pt idx="90">
                  <c:v>79.365320783240406</c:v>
                </c:pt>
                <c:pt idx="91">
                  <c:v>75.080800944694928</c:v>
                </c:pt>
                <c:pt idx="92">
                  <c:v>39.988395188301403</c:v>
                </c:pt>
                <c:pt idx="93">
                  <c:v>42.603397067954177</c:v>
                </c:pt>
                <c:pt idx="94">
                  <c:v>44.526395564844769</c:v>
                </c:pt>
                <c:pt idx="95">
                  <c:v>44.031063355564939</c:v>
                </c:pt>
                <c:pt idx="96">
                  <c:v>43.606949462171038</c:v>
                </c:pt>
                <c:pt idx="97">
                  <c:v>43.993334862424881</c:v>
                </c:pt>
                <c:pt idx="98">
                  <c:v>46.472499871289671</c:v>
                </c:pt>
                <c:pt idx="99">
                  <c:v>47.193345645843145</c:v>
                </c:pt>
                <c:pt idx="100">
                  <c:v>54.714275296024582</c:v>
                </c:pt>
                <c:pt idx="101">
                  <c:v>53.56669488103131</c:v>
                </c:pt>
                <c:pt idx="102">
                  <c:v>55.713499317344606</c:v>
                </c:pt>
                <c:pt idx="103">
                  <c:v>67.251919939577391</c:v>
                </c:pt>
                <c:pt idx="104">
                  <c:v>65.088531877177743</c:v>
                </c:pt>
                <c:pt idx="105">
                  <c:v>55.801265536933073</c:v>
                </c:pt>
                <c:pt idx="106">
                  <c:v>54.022953650954243</c:v>
                </c:pt>
                <c:pt idx="107">
                  <c:v>55.117544678075284</c:v>
                </c:pt>
                <c:pt idx="108">
                  <c:v>54.310122534523856</c:v>
                </c:pt>
                <c:pt idx="109">
                  <c:v>55.225116451260057</c:v>
                </c:pt>
                <c:pt idx="110">
                  <c:v>59.809860019158201</c:v>
                </c:pt>
                <c:pt idx="111">
                  <c:v>60.586064452224797</c:v>
                </c:pt>
                <c:pt idx="112">
                  <c:v>61.493415417416628</c:v>
                </c:pt>
                <c:pt idx="113">
                  <c:v>58.128822081025497</c:v>
                </c:pt>
                <c:pt idx="114">
                  <c:v>55.060179071128402</c:v>
                </c:pt>
                <c:pt idx="115">
                  <c:v>52.282805784941388</c:v>
                </c:pt>
                <c:pt idx="116">
                  <c:v>51.811521310425434</c:v>
                </c:pt>
                <c:pt idx="117">
                  <c:v>51.381884452853818</c:v>
                </c:pt>
                <c:pt idx="118">
                  <c:v>51.051303342040185</c:v>
                </c:pt>
                <c:pt idx="119">
                  <c:v>53.288554307362482</c:v>
                </c:pt>
                <c:pt idx="120">
                  <c:v>52.373336876232948</c:v>
                </c:pt>
                <c:pt idx="121">
                  <c:v>54.045213025598237</c:v>
                </c:pt>
                <c:pt idx="122">
                  <c:v>58.294978086631758</c:v>
                </c:pt>
                <c:pt idx="123">
                  <c:v>58.453439714720879</c:v>
                </c:pt>
                <c:pt idx="124">
                  <c:v>56.379481217287911</c:v>
                </c:pt>
                <c:pt idx="125">
                  <c:v>55.816449313506745</c:v>
                </c:pt>
                <c:pt idx="126">
                  <c:v>55.156549141830233</c:v>
                </c:pt>
                <c:pt idx="127">
                  <c:v>58.482199847661377</c:v>
                </c:pt>
                <c:pt idx="128">
                  <c:v>60.664735667651968</c:v>
                </c:pt>
                <c:pt idx="129">
                  <c:v>62.047721514542353</c:v>
                </c:pt>
                <c:pt idx="130">
                  <c:v>58.388294787037587</c:v>
                </c:pt>
                <c:pt idx="131">
                  <c:v>57.222481455443472</c:v>
                </c:pt>
              </c:numCache>
            </c:numRef>
          </c:val>
          <c:smooth val="0"/>
          <c:extLst>
            <c:ext xmlns:c16="http://schemas.microsoft.com/office/drawing/2014/chart" uri="{C3380CC4-5D6E-409C-BE32-E72D297353CC}">
              <c16:uniqueId val="{00000004-E650-47DA-B2EC-4CE6B8F44CAA}"/>
            </c:ext>
          </c:extLst>
        </c:ser>
        <c:ser>
          <c:idx val="6"/>
          <c:order val="5"/>
          <c:tx>
            <c:strRef>
              <c:f>'[REER 2010-2020.xlsx]2010-2020 РЭОК'!$B$117</c:f>
              <c:strCache>
                <c:ptCount val="1"/>
                <c:pt idx="0">
                  <c:v>KRW</c:v>
                </c:pt>
              </c:strCache>
            </c:strRef>
          </c:tx>
          <c:spPr>
            <a:ln w="15875" cap="rnd">
              <a:solidFill>
                <a:schemeClr val="accent1">
                  <a:lumMod val="60000"/>
                </a:schemeClr>
              </a:solidFill>
              <a:round/>
            </a:ln>
            <a:effectLst/>
          </c:spPr>
          <c:marker>
            <c:symbol val="none"/>
          </c:marker>
          <c:cat>
            <c:multiLvlStrRef>
              <c:f>'[REER 2010-2020.xlsx]2010-2020 РЭОК'!$D$109:$EE$110</c:f>
              <c:multiLvlStrCache>
                <c:ptCount val="132"/>
                <c:lvl>
                  <c:pt idx="1">
                    <c:v>I</c:v>
                  </c:pt>
                  <c:pt idx="4">
                    <c:v>II</c:v>
                  </c:pt>
                  <c:pt idx="7">
                    <c:v>III</c:v>
                  </c:pt>
                  <c:pt idx="10">
                    <c:v>IV</c:v>
                  </c:pt>
                  <c:pt idx="13">
                    <c:v>I</c:v>
                  </c:pt>
                  <c:pt idx="16">
                    <c:v>II</c:v>
                  </c:pt>
                  <c:pt idx="19">
                    <c:v>III</c:v>
                  </c:pt>
                  <c:pt idx="22">
                    <c:v>IV</c:v>
                  </c:pt>
                  <c:pt idx="25">
                    <c:v>I</c:v>
                  </c:pt>
                  <c:pt idx="28">
                    <c:v>II</c:v>
                  </c:pt>
                  <c:pt idx="31">
                    <c:v>III</c:v>
                  </c:pt>
                  <c:pt idx="34">
                    <c:v>IV</c:v>
                  </c:pt>
                  <c:pt idx="37">
                    <c:v>I</c:v>
                  </c:pt>
                  <c:pt idx="40">
                    <c:v>II</c:v>
                  </c:pt>
                  <c:pt idx="43">
                    <c:v>III</c:v>
                  </c:pt>
                  <c:pt idx="46">
                    <c:v>IV</c:v>
                  </c:pt>
                  <c:pt idx="49">
                    <c:v>I</c:v>
                  </c:pt>
                  <c:pt idx="52">
                    <c:v>II</c:v>
                  </c:pt>
                  <c:pt idx="55">
                    <c:v>III</c:v>
                  </c:pt>
                  <c:pt idx="58">
                    <c:v>IV</c:v>
                  </c:pt>
                  <c:pt idx="61">
                    <c:v>I</c:v>
                  </c:pt>
                  <c:pt idx="64">
                    <c:v>II</c:v>
                  </c:pt>
                  <c:pt idx="67">
                    <c:v>III</c:v>
                  </c:pt>
                  <c:pt idx="70">
                    <c:v>IV</c:v>
                  </c:pt>
                  <c:pt idx="73">
                    <c:v>I</c:v>
                  </c:pt>
                  <c:pt idx="76">
                    <c:v>II</c:v>
                  </c:pt>
                  <c:pt idx="79">
                    <c:v>III</c:v>
                  </c:pt>
                  <c:pt idx="82">
                    <c:v>IV</c:v>
                  </c:pt>
                  <c:pt idx="85">
                    <c:v>I</c:v>
                  </c:pt>
                  <c:pt idx="88">
                    <c:v>II</c:v>
                  </c:pt>
                  <c:pt idx="91">
                    <c:v>III</c:v>
                  </c:pt>
                  <c:pt idx="94">
                    <c:v>IV</c:v>
                  </c:pt>
                  <c:pt idx="97">
                    <c:v>I</c:v>
                  </c:pt>
                  <c:pt idx="100">
                    <c:v>II</c:v>
                  </c:pt>
                  <c:pt idx="103">
                    <c:v>III</c:v>
                  </c:pt>
                  <c:pt idx="106">
                    <c:v>IV</c:v>
                  </c:pt>
                  <c:pt idx="109">
                    <c:v>I</c:v>
                  </c:pt>
                  <c:pt idx="112">
                    <c:v>II</c:v>
                  </c:pt>
                  <c:pt idx="115">
                    <c:v>III</c:v>
                  </c:pt>
                  <c:pt idx="118">
                    <c:v>IV</c:v>
                  </c:pt>
                  <c:pt idx="121">
                    <c:v>I</c:v>
                  </c:pt>
                  <c:pt idx="124">
                    <c:v>II</c:v>
                  </c:pt>
                  <c:pt idx="127">
                    <c:v>III</c:v>
                  </c:pt>
                  <c:pt idx="131">
                    <c:v>IV</c:v>
                  </c:pt>
                </c:lvl>
                <c:lvl>
                  <c:pt idx="0">
                    <c:v>2010</c:v>
                  </c:pt>
                  <c:pt idx="12">
                    <c:v>2011</c:v>
                  </c:pt>
                  <c:pt idx="24">
                    <c:v>2012</c:v>
                  </c:pt>
                  <c:pt idx="36">
                    <c:v>2013</c:v>
                  </c:pt>
                  <c:pt idx="48">
                    <c:v>2014</c:v>
                  </c:pt>
                  <c:pt idx="60">
                    <c:v>2015</c:v>
                  </c:pt>
                  <c:pt idx="72">
                    <c:v>2016</c:v>
                  </c:pt>
                  <c:pt idx="84">
                    <c:v>2017</c:v>
                  </c:pt>
                  <c:pt idx="96">
                    <c:v>2018</c:v>
                  </c:pt>
                  <c:pt idx="108">
                    <c:v>2019</c:v>
                  </c:pt>
                  <c:pt idx="120">
                    <c:v>2020</c:v>
                  </c:pt>
                </c:lvl>
              </c:multiLvlStrCache>
            </c:multiLvlStrRef>
          </c:cat>
          <c:val>
            <c:numRef>
              <c:f>'[REER 2010-2020.xlsx]2010-2020 РЭОК'!$D$117:$EE$117</c:f>
              <c:numCache>
                <c:formatCode>General</c:formatCode>
                <c:ptCount val="132"/>
                <c:pt idx="0">
                  <c:v>100</c:v>
                </c:pt>
                <c:pt idx="1">
                  <c:v>100.04277481894688</c:v>
                </c:pt>
                <c:pt idx="2">
                  <c:v>98.425201520630935</c:v>
                </c:pt>
                <c:pt idx="3">
                  <c:v>95.460844138722607</c:v>
                </c:pt>
                <c:pt idx="4">
                  <c:v>104.25225730558539</c:v>
                </c:pt>
                <c:pt idx="5">
                  <c:v>101.62345590111408</c:v>
                </c:pt>
                <c:pt idx="6">
                  <c:v>99.580930427274083</c:v>
                </c:pt>
                <c:pt idx="7">
                  <c:v>98.957711448769544</c:v>
                </c:pt>
                <c:pt idx="8">
                  <c:v>94.594491059204671</c:v>
                </c:pt>
                <c:pt idx="9">
                  <c:v>92.368863275507024</c:v>
                </c:pt>
                <c:pt idx="10">
                  <c:v>96.320304997836132</c:v>
                </c:pt>
                <c:pt idx="11">
                  <c:v>96.201148305247969</c:v>
                </c:pt>
                <c:pt idx="12">
                  <c:v>92.822283995774498</c:v>
                </c:pt>
                <c:pt idx="13">
                  <c:v>92.033178090802622</c:v>
                </c:pt>
                <c:pt idx="14">
                  <c:v>91.073651004368443</c:v>
                </c:pt>
                <c:pt idx="15">
                  <c:v>88.654028968389298</c:v>
                </c:pt>
                <c:pt idx="16">
                  <c:v>87.858107338408075</c:v>
                </c:pt>
                <c:pt idx="17">
                  <c:v>87.312963243862228</c:v>
                </c:pt>
                <c:pt idx="18">
                  <c:v>83.403700213728257</c:v>
                </c:pt>
                <c:pt idx="19">
                  <c:v>84.651921001260149</c:v>
                </c:pt>
                <c:pt idx="20">
                  <c:v>93.108684721703668</c:v>
                </c:pt>
                <c:pt idx="21">
                  <c:v>89.777738297342367</c:v>
                </c:pt>
                <c:pt idx="22">
                  <c:v>90.771853524587982</c:v>
                </c:pt>
                <c:pt idx="23">
                  <c:v>90.240919587476611</c:v>
                </c:pt>
                <c:pt idx="24">
                  <c:v>87.675286489225599</c:v>
                </c:pt>
                <c:pt idx="25">
                  <c:v>87.622517513975481</c:v>
                </c:pt>
                <c:pt idx="26">
                  <c:v>88.208992035441526</c:v>
                </c:pt>
                <c:pt idx="27">
                  <c:v>88.380881371778898</c:v>
                </c:pt>
                <c:pt idx="28">
                  <c:v>91.362869898134306</c:v>
                </c:pt>
                <c:pt idx="29">
                  <c:v>88.315344702343225</c:v>
                </c:pt>
                <c:pt idx="30">
                  <c:v>85.430632495995511</c:v>
                </c:pt>
                <c:pt idx="31">
                  <c:v>83.915031055518526</c:v>
                </c:pt>
                <c:pt idx="32">
                  <c:v>82.128214837648926</c:v>
                </c:pt>
                <c:pt idx="33">
                  <c:v>80.663876945113316</c:v>
                </c:pt>
                <c:pt idx="34">
                  <c:v>80.292294965646349</c:v>
                </c:pt>
                <c:pt idx="35">
                  <c:v>79.559647372774094</c:v>
                </c:pt>
                <c:pt idx="36">
                  <c:v>79.790143246865512</c:v>
                </c:pt>
                <c:pt idx="37">
                  <c:v>79.666194198677104</c:v>
                </c:pt>
                <c:pt idx="38">
                  <c:v>81.249092088518339</c:v>
                </c:pt>
                <c:pt idx="39">
                  <c:v>80.664362678902748</c:v>
                </c:pt>
                <c:pt idx="40">
                  <c:v>81.384438865918412</c:v>
                </c:pt>
                <c:pt idx="41">
                  <c:v>83.15187516969003</c:v>
                </c:pt>
                <c:pt idx="42">
                  <c:v>78.100640709204114</c:v>
                </c:pt>
                <c:pt idx="43">
                  <c:v>77.499563306414785</c:v>
                </c:pt>
                <c:pt idx="44">
                  <c:v>74.623074173212018</c:v>
                </c:pt>
                <c:pt idx="45">
                  <c:v>73.531798002583614</c:v>
                </c:pt>
                <c:pt idx="46">
                  <c:v>73.601293379579431</c:v>
                </c:pt>
                <c:pt idx="47">
                  <c:v>73.342828666886291</c:v>
                </c:pt>
                <c:pt idx="48">
                  <c:v>75.335206533830473</c:v>
                </c:pt>
                <c:pt idx="49">
                  <c:v>74.389160833097037</c:v>
                </c:pt>
                <c:pt idx="50">
                  <c:v>73.923488250632232</c:v>
                </c:pt>
                <c:pt idx="51">
                  <c:v>70.749596541831735</c:v>
                </c:pt>
                <c:pt idx="52">
                  <c:v>69.260621613697253</c:v>
                </c:pt>
                <c:pt idx="53">
                  <c:v>68.283457207569697</c:v>
                </c:pt>
                <c:pt idx="54">
                  <c:v>67.453408722186808</c:v>
                </c:pt>
                <c:pt idx="55">
                  <c:v>66.5529736911528</c:v>
                </c:pt>
                <c:pt idx="56">
                  <c:v>68.485345504733061</c:v>
                </c:pt>
                <c:pt idx="57">
                  <c:v>68.920061270594516</c:v>
                </c:pt>
                <c:pt idx="58">
                  <c:v>73.107846317384698</c:v>
                </c:pt>
                <c:pt idx="59">
                  <c:v>72.005105487838904</c:v>
                </c:pt>
                <c:pt idx="60">
                  <c:v>70.360205020950346</c:v>
                </c:pt>
                <c:pt idx="61">
                  <c:v>72.072680587951965</c:v>
                </c:pt>
                <c:pt idx="62">
                  <c:v>71.243463495300304</c:v>
                </c:pt>
                <c:pt idx="63">
                  <c:v>68.872499622400454</c:v>
                </c:pt>
                <c:pt idx="64">
                  <c:v>69.69617666949074</c:v>
                </c:pt>
                <c:pt idx="65">
                  <c:v>70.522065139662345</c:v>
                </c:pt>
                <c:pt idx="66">
                  <c:v>72.013348302984483</c:v>
                </c:pt>
                <c:pt idx="67">
                  <c:v>73.064078120920271</c:v>
                </c:pt>
                <c:pt idx="68">
                  <c:v>72.796815846674306</c:v>
                </c:pt>
                <c:pt idx="69">
                  <c:v>68.072727604198164</c:v>
                </c:pt>
                <c:pt idx="70">
                  <c:v>68.903440869545989</c:v>
                </c:pt>
                <c:pt idx="71">
                  <c:v>67.732589786527669</c:v>
                </c:pt>
                <c:pt idx="72">
                  <c:v>69.157633171683003</c:v>
                </c:pt>
                <c:pt idx="73">
                  <c:v>71.296123274315036</c:v>
                </c:pt>
                <c:pt idx="74">
                  <c:v>67.371104665703001</c:v>
                </c:pt>
                <c:pt idx="75">
                  <c:v>66.081292126349197</c:v>
                </c:pt>
                <c:pt idx="76">
                  <c:v>67.974693986633639</c:v>
                </c:pt>
                <c:pt idx="77">
                  <c:v>66.876779097234433</c:v>
                </c:pt>
                <c:pt idx="78">
                  <c:v>63.651741289138087</c:v>
                </c:pt>
                <c:pt idx="79">
                  <c:v>62.367530310081257</c:v>
                </c:pt>
                <c:pt idx="80">
                  <c:v>61.522259326372755</c:v>
                </c:pt>
                <c:pt idx="81">
                  <c:v>62.306434617443983</c:v>
                </c:pt>
                <c:pt idx="82">
                  <c:v>63.364651627867516</c:v>
                </c:pt>
                <c:pt idx="83">
                  <c:v>64.785537133831951</c:v>
                </c:pt>
                <c:pt idx="84">
                  <c:v>62.681847249625577</c:v>
                </c:pt>
                <c:pt idx="85">
                  <c:v>58.740629152174471</c:v>
                </c:pt>
                <c:pt idx="86">
                  <c:v>55.353316572707435</c:v>
                </c:pt>
                <c:pt idx="87">
                  <c:v>55.228397332616076</c:v>
                </c:pt>
                <c:pt idx="88">
                  <c:v>53.083840984062057</c:v>
                </c:pt>
                <c:pt idx="89">
                  <c:v>52.736844458636334</c:v>
                </c:pt>
                <c:pt idx="90">
                  <c:v>50.686690310346393</c:v>
                </c:pt>
                <c:pt idx="91">
                  <c:v>49.243333554312521</c:v>
                </c:pt>
                <c:pt idx="92">
                  <c:v>26.180632749184685</c:v>
                </c:pt>
                <c:pt idx="93">
                  <c:v>26.285699769734901</c:v>
                </c:pt>
                <c:pt idx="94">
                  <c:v>26.039439079901332</c:v>
                </c:pt>
                <c:pt idx="95">
                  <c:v>26.458656226976451</c:v>
                </c:pt>
                <c:pt idx="96">
                  <c:v>26.420026772138812</c:v>
                </c:pt>
                <c:pt idx="97">
                  <c:v>26.68603311911847</c:v>
                </c:pt>
                <c:pt idx="98">
                  <c:v>27.334695595845833</c:v>
                </c:pt>
                <c:pt idx="99">
                  <c:v>27.325898680999067</c:v>
                </c:pt>
                <c:pt idx="100">
                  <c:v>27.959903387474881</c:v>
                </c:pt>
                <c:pt idx="101">
                  <c:v>29.192847152290359</c:v>
                </c:pt>
                <c:pt idx="102">
                  <c:v>29.600446164820227</c:v>
                </c:pt>
                <c:pt idx="103">
                  <c:v>29.281479067821859</c:v>
                </c:pt>
                <c:pt idx="104">
                  <c:v>28.519245641941588</c:v>
                </c:pt>
                <c:pt idx="105">
                  <c:v>28.926365829567462</c:v>
                </c:pt>
                <c:pt idx="106">
                  <c:v>29.222434290589934</c:v>
                </c:pt>
                <c:pt idx="107">
                  <c:v>29.527131702637032</c:v>
                </c:pt>
                <c:pt idx="108">
                  <c:v>29.434076776355017</c:v>
                </c:pt>
                <c:pt idx="109">
                  <c:v>29.673703280510132</c:v>
                </c:pt>
                <c:pt idx="110">
                  <c:v>30.380814318274581</c:v>
                </c:pt>
                <c:pt idx="111">
                  <c:v>30.879145144579113</c:v>
                </c:pt>
                <c:pt idx="112">
                  <c:v>31.545598792915769</c:v>
                </c:pt>
                <c:pt idx="113">
                  <c:v>30.517020544446165</c:v>
                </c:pt>
                <c:pt idx="114">
                  <c:v>30.822562409774477</c:v>
                </c:pt>
                <c:pt idx="115">
                  <c:v>29.701033019957414</c:v>
                </c:pt>
                <c:pt idx="116">
                  <c:v>29.215833025457076</c:v>
                </c:pt>
                <c:pt idx="117">
                  <c:v>28.78786820067889</c:v>
                </c:pt>
                <c:pt idx="118">
                  <c:v>29.390299221007783</c:v>
                </c:pt>
                <c:pt idx="119">
                  <c:v>29.102244445942656</c:v>
                </c:pt>
                <c:pt idx="120">
                  <c:v>29.099285939953006</c:v>
                </c:pt>
                <c:pt idx="121">
                  <c:v>30.329301569986733</c:v>
                </c:pt>
                <c:pt idx="122">
                  <c:v>32.298734917766566</c:v>
                </c:pt>
                <c:pt idx="123">
                  <c:v>29.879267949717786</c:v>
                </c:pt>
                <c:pt idx="124">
                  <c:v>30.220805907797622</c:v>
                </c:pt>
                <c:pt idx="125">
                  <c:v>29.138197634066422</c:v>
                </c:pt>
                <c:pt idx="126">
                  <c:v>28.916754547298527</c:v>
                </c:pt>
                <c:pt idx="127">
                  <c:v>28.463474220056057</c:v>
                </c:pt>
                <c:pt idx="128">
                  <c:v>27.940230925033227</c:v>
                </c:pt>
                <c:pt idx="129">
                  <c:v>27.143741526633431</c:v>
                </c:pt>
                <c:pt idx="130">
                  <c:v>26.958564466056472</c:v>
                </c:pt>
                <c:pt idx="131">
                  <c:v>26.62838189026137</c:v>
                </c:pt>
              </c:numCache>
            </c:numRef>
          </c:val>
          <c:smooth val="0"/>
          <c:extLst>
            <c:ext xmlns:c16="http://schemas.microsoft.com/office/drawing/2014/chart" uri="{C3380CC4-5D6E-409C-BE32-E72D297353CC}">
              <c16:uniqueId val="{00000005-E650-47DA-B2EC-4CE6B8F44CAA}"/>
            </c:ext>
          </c:extLst>
        </c:ser>
        <c:dLbls>
          <c:showLegendKey val="0"/>
          <c:showVal val="0"/>
          <c:showCatName val="0"/>
          <c:showSerName val="0"/>
          <c:showPercent val="0"/>
          <c:showBubbleSize val="0"/>
        </c:dLbls>
        <c:smooth val="0"/>
        <c:axId val="342013856"/>
        <c:axId val="295064032"/>
      </c:lineChart>
      <c:catAx>
        <c:axId val="342013856"/>
        <c:scaling>
          <c:orientation val="minMax"/>
        </c:scaling>
        <c:delete val="0"/>
        <c:axPos val="b"/>
        <c:numFmt formatCode="@" sourceLinked="0"/>
        <c:majorTickMark val="none"/>
        <c:minorTickMark val="none"/>
        <c:tickLblPos val="low"/>
        <c:spPr>
          <a:noFill/>
          <a:ln w="9525" cap="flat" cmpd="sng" algn="ctr">
            <a:solidFill>
              <a:schemeClr val="bg2">
                <a:lumMod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5064032"/>
        <c:crosses val="autoZero"/>
        <c:auto val="1"/>
        <c:lblAlgn val="ctr"/>
        <c:lblOffset val="50"/>
        <c:tickLblSkip val="1"/>
        <c:noMultiLvlLbl val="0"/>
      </c:catAx>
      <c:valAx>
        <c:axId val="295064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42013856"/>
        <c:crosses val="autoZero"/>
        <c:crossBetween val="between"/>
      </c:valAx>
      <c:spPr>
        <a:noFill/>
        <a:ln>
          <a:noFill/>
        </a:ln>
        <a:effectLst/>
      </c:spPr>
    </c:plotArea>
    <c:legend>
      <c:legendPos val="b"/>
      <c:layout>
        <c:manualLayout>
          <c:xMode val="edge"/>
          <c:yMode val="edge"/>
          <c:x val="0.2258098823223148"/>
          <c:y val="0.88848713971455995"/>
          <c:w val="0.58372465310599408"/>
          <c:h val="8.549754015247298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
      <c:rotY val="15"/>
      <c:depthPercent val="100"/>
      <c:rAngAx val="0"/>
    </c:view3D>
    <c:floor>
      <c:thickness val="0"/>
      <c:spPr>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solidFill>
            <a:schemeClr val="dk1"/>
          </a:solidFill>
          <a:prstDash val="solid"/>
          <a:miter lim="800000"/>
        </a:ln>
        <a:effectLst/>
        <a:sp3d contourW="6350">
          <a:contourClr>
            <a:schemeClr val="dk1"/>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2526272690050492E-2"/>
          <c:y val="8.0375250862786324E-2"/>
          <c:w val="0.90686133110044675"/>
          <c:h val="0.78167600014834671"/>
        </c:manualLayout>
      </c:layout>
      <c:bar3DChart>
        <c:barDir val="col"/>
        <c:grouping val="stacked"/>
        <c:varyColors val="0"/>
        <c:ser>
          <c:idx val="0"/>
          <c:order val="0"/>
          <c:tx>
            <c:strRef>
              <c:f>'[0 Диаграммалар 2016-2020 9 ой.xlsx]Услуг ЭК и ИМ 6-7д'!$A$28</c:f>
              <c:strCache>
                <c:ptCount val="1"/>
                <c:pt idx="0">
                  <c:v>Other services</c:v>
                </c:pt>
              </c:strCache>
            </c:strRef>
          </c:tx>
          <c:spPr>
            <a:solidFill>
              <a:schemeClr val="accent1"/>
            </a:solidFill>
            <a:ln>
              <a:noFill/>
            </a:ln>
            <a:effectLst/>
            <a:sp3d/>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'[0 Диаграммалар 2016-2020 9 ой.xlsx]Услуг ЭК и ИМ 6-7д'!$AF$6:$AQ$7</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2018</c:v>
                  </c:pt>
                  <c:pt idx="4">
                    <c:v>2019</c:v>
                  </c:pt>
                  <c:pt idx="8">
                    <c:v>2020</c:v>
                  </c:pt>
                </c:lvl>
              </c:multiLvlStrCache>
            </c:multiLvlStrRef>
          </c:cat>
          <c:val>
            <c:numRef>
              <c:f>'[0 Диаграммалар 2016-2020 9 ой.xlsx]Услуг ЭК и ИМ 6-7д'!$AF$28:$AQ$28</c:f>
              <c:numCache>
                <c:formatCode>_-* #\ ##0_р_._-;\-* #\ ##0_р_._-;_-* "-"??_р_._-;_-@_-</c:formatCode>
                <c:ptCount val="12"/>
                <c:pt idx="0">
                  <c:v>100.45156233579166</c:v>
                </c:pt>
                <c:pt idx="1">
                  <c:v>165.37775348505716</c:v>
                </c:pt>
                <c:pt idx="2">
                  <c:v>110.53157815400425</c:v>
                </c:pt>
                <c:pt idx="3">
                  <c:v>159.03224608250014</c:v>
                </c:pt>
                <c:pt idx="4">
                  <c:v>88.63159316530232</c:v>
                </c:pt>
                <c:pt idx="5">
                  <c:v>130.23870785184113</c:v>
                </c:pt>
                <c:pt idx="6">
                  <c:v>149.71706837296711</c:v>
                </c:pt>
                <c:pt idx="7">
                  <c:v>162.18188025416578</c:v>
                </c:pt>
                <c:pt idx="8">
                  <c:v>128.65183214442777</c:v>
                </c:pt>
                <c:pt idx="9">
                  <c:v>196.33503693826935</c:v>
                </c:pt>
                <c:pt idx="10">
                  <c:v>182.24415523139078</c:v>
                </c:pt>
                <c:pt idx="11">
                  <c:v>294.61012822597229</c:v>
                </c:pt>
              </c:numCache>
            </c:numRef>
          </c:val>
          <c:extLst>
            <c:ext xmlns:c16="http://schemas.microsoft.com/office/drawing/2014/chart" uri="{C3380CC4-5D6E-409C-BE32-E72D297353CC}">
              <c16:uniqueId val="{00000000-2CAE-4959-9122-ED62A76AAAE0}"/>
            </c:ext>
          </c:extLst>
        </c:ser>
        <c:ser>
          <c:idx val="1"/>
          <c:order val="1"/>
          <c:tx>
            <c:strRef>
              <c:f>'[0 Диаграммалар 2016-2020 9 ой.xlsx]Услуг ЭК и ИМ 6-7д'!$A$29</c:f>
              <c:strCache>
                <c:ptCount val="1"/>
                <c:pt idx="0">
                  <c:v>Travel related services</c:v>
                </c:pt>
              </c:strCache>
            </c:strRef>
          </c:tx>
          <c:spPr>
            <a:solidFill>
              <a:schemeClr val="accent2"/>
            </a:solidFill>
            <a:ln>
              <a:noFill/>
            </a:ln>
            <a:effectLst/>
            <a:sp3d/>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'[0 Диаграммалар 2016-2020 9 ой.xlsx]Услуг ЭК и ИМ 6-7д'!$AF$6:$AQ$7</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2018</c:v>
                  </c:pt>
                  <c:pt idx="4">
                    <c:v>2019</c:v>
                  </c:pt>
                  <c:pt idx="8">
                    <c:v>2020</c:v>
                  </c:pt>
                </c:lvl>
              </c:multiLvlStrCache>
            </c:multiLvlStrRef>
          </c:cat>
          <c:val>
            <c:numRef>
              <c:f>'[0 Диаграммалар 2016-2020 9 ой.xlsx]Услуг ЭК и ИМ 6-7д'!$AF$29:$AQ$29</c:f>
              <c:numCache>
                <c:formatCode>_-* #\ ##0_р_._-;\-* #\ ##0_р_._-;_-* "-"??_р_._-;_-@_-</c:formatCode>
                <c:ptCount val="12"/>
                <c:pt idx="0">
                  <c:v>495.44358886184989</c:v>
                </c:pt>
                <c:pt idx="1">
                  <c:v>585.48154454207656</c:v>
                </c:pt>
                <c:pt idx="2">
                  <c:v>653.78873748941157</c:v>
                </c:pt>
                <c:pt idx="3">
                  <c:v>508.4235456007832</c:v>
                </c:pt>
                <c:pt idx="4">
                  <c:v>516.94504991031397</c:v>
                </c:pt>
                <c:pt idx="5">
                  <c:v>585.75681725341985</c:v>
                </c:pt>
                <c:pt idx="6">
                  <c:v>672.29711066544519</c:v>
                </c:pt>
                <c:pt idx="7">
                  <c:v>538.00599712382564</c:v>
                </c:pt>
                <c:pt idx="8">
                  <c:v>451.04778674769881</c:v>
                </c:pt>
                <c:pt idx="9">
                  <c:v>125.89674336511978</c:v>
                </c:pt>
                <c:pt idx="10">
                  <c:v>151.10823738436133</c:v>
                </c:pt>
                <c:pt idx="11">
                  <c:v>160.13402366523576</c:v>
                </c:pt>
              </c:numCache>
            </c:numRef>
          </c:val>
          <c:extLst>
            <c:ext xmlns:c16="http://schemas.microsoft.com/office/drawing/2014/chart" uri="{C3380CC4-5D6E-409C-BE32-E72D297353CC}">
              <c16:uniqueId val="{00000001-2CAE-4959-9122-ED62A76AAAE0}"/>
            </c:ext>
          </c:extLst>
        </c:ser>
        <c:ser>
          <c:idx val="2"/>
          <c:order val="2"/>
          <c:tx>
            <c:strRef>
              <c:f>'[0 Диаграммалар 2016-2020 9 ой.xlsx]Услуг ЭК и ИМ 6-7д'!$A$30</c:f>
              <c:strCache>
                <c:ptCount val="1"/>
                <c:pt idx="0">
                  <c:v>Transport services</c:v>
                </c:pt>
              </c:strCache>
            </c:strRef>
          </c:tx>
          <c:spPr>
            <a:solidFill>
              <a:schemeClr val="accent3"/>
            </a:solidFill>
            <a:ln>
              <a:noFill/>
            </a:ln>
            <a:effectLst/>
            <a:sp3d/>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'[0 Диаграммалар 2016-2020 9 ой.xlsx]Услуг ЭК и ИМ 6-7д'!$AF$6:$AQ$7</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2018</c:v>
                  </c:pt>
                  <c:pt idx="4">
                    <c:v>2019</c:v>
                  </c:pt>
                  <c:pt idx="8">
                    <c:v>2020</c:v>
                  </c:pt>
                </c:lvl>
              </c:multiLvlStrCache>
            </c:multiLvlStrRef>
          </c:cat>
          <c:val>
            <c:numRef>
              <c:f>'[0 Диаграммалар 2016-2020 9 ой.xlsx]Услуг ЭК и ИМ 6-7д'!$AF$30:$AQ$30</c:f>
              <c:numCache>
                <c:formatCode>_-* #\ ##0_р_._-;\-* #\ ##0_р_._-;_-* "-"??_р_._-;_-@_-</c:formatCode>
                <c:ptCount val="12"/>
                <c:pt idx="0">
                  <c:v>546.73739192637117</c:v>
                </c:pt>
                <c:pt idx="1">
                  <c:v>498.31118495665851</c:v>
                </c:pt>
                <c:pt idx="2">
                  <c:v>653.02854833495007</c:v>
                </c:pt>
                <c:pt idx="3">
                  <c:v>714.49424031353863</c:v>
                </c:pt>
                <c:pt idx="4">
                  <c:v>584.57730875885557</c:v>
                </c:pt>
                <c:pt idx="5">
                  <c:v>595.05208161811777</c:v>
                </c:pt>
                <c:pt idx="6">
                  <c:v>634.92269401814974</c:v>
                </c:pt>
                <c:pt idx="7">
                  <c:v>702.54477649920648</c:v>
                </c:pt>
                <c:pt idx="8">
                  <c:v>484.96247986130379</c:v>
                </c:pt>
                <c:pt idx="9">
                  <c:v>364.05227375558673</c:v>
                </c:pt>
                <c:pt idx="10">
                  <c:v>457.78680588634063</c:v>
                </c:pt>
                <c:pt idx="11">
                  <c:v>512.75041213987004</c:v>
                </c:pt>
              </c:numCache>
            </c:numRef>
          </c:val>
          <c:extLst>
            <c:ext xmlns:c16="http://schemas.microsoft.com/office/drawing/2014/chart" uri="{C3380CC4-5D6E-409C-BE32-E72D297353CC}">
              <c16:uniqueId val="{00000002-2CAE-4959-9122-ED62A76AAAE0}"/>
            </c:ext>
          </c:extLst>
        </c:ser>
        <c:dLbls>
          <c:showLegendKey val="0"/>
          <c:showVal val="1"/>
          <c:showCatName val="0"/>
          <c:showSerName val="0"/>
          <c:showPercent val="0"/>
          <c:showBubbleSize val="0"/>
        </c:dLbls>
        <c:gapWidth val="79"/>
        <c:shape val="box"/>
        <c:axId val="864205215"/>
        <c:axId val="864206463"/>
        <c:axId val="0"/>
      </c:bar3DChart>
      <c:catAx>
        <c:axId val="86420521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all" spc="0" normalizeH="0" baseline="0">
                <a:solidFill>
                  <a:sysClr val="windowText" lastClr="000000"/>
                </a:solidFill>
                <a:latin typeface="+mj-lt"/>
                <a:ea typeface="+mn-ea"/>
                <a:cs typeface="+mn-cs"/>
              </a:defRPr>
            </a:pPr>
            <a:endParaRPr lang="ru-RU"/>
          </a:p>
        </c:txPr>
        <c:crossAx val="864206463"/>
        <c:crosses val="autoZero"/>
        <c:auto val="1"/>
        <c:lblAlgn val="ctr"/>
        <c:lblOffset val="100"/>
        <c:noMultiLvlLbl val="0"/>
      </c:catAx>
      <c:valAx>
        <c:axId val="864206463"/>
        <c:scaling>
          <c:orientation val="minMax"/>
        </c:scaling>
        <c:delete val="0"/>
        <c:axPos val="l"/>
        <c:majorGridlines>
          <c:spPr>
            <a:ln w="9525" cap="flat" cmpd="sng" algn="ctr">
              <a:solidFill>
                <a:schemeClr val="tx1">
                  <a:lumMod val="15000"/>
                  <a:lumOff val="85000"/>
                </a:schemeClr>
              </a:solidFill>
              <a:round/>
            </a:ln>
            <a:effectLst/>
          </c:spPr>
        </c:majorGridlines>
        <c:numFmt formatCode="_-* #\ ##0_р_._-;\-* #\ ##0_р_._-;_-* &quot;-&quot;??_р_._-;_-@_-"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864205215"/>
        <c:crosses val="autoZero"/>
        <c:crossBetween val="between"/>
      </c:valAx>
      <c:spPr>
        <a:noFill/>
        <a:ln>
          <a:noFill/>
        </a:ln>
        <a:effectLst>
          <a:outerShdw sx="2000" sy="2000" algn="ctr" rotWithShape="0">
            <a:srgbClr val="000000"/>
          </a:outerShdw>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a:scene3d>
      <a:camera prst="orthographicFront"/>
      <a:lightRig rig="threePt" dir="t"/>
    </a:scene3d>
    <a:sp3d>
      <a:bevelB w="0" h="266700"/>
    </a:sp3d>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'[0 Диаграммалар 2016-2020 9 ой.xlsx]Первичный'!$A$73</c:f>
              <c:strCache>
                <c:ptCount val="1"/>
                <c:pt idx="0">
                  <c:v>Receivable salary</c:v>
                </c:pt>
              </c:strCache>
            </c:strRef>
          </c:tx>
          <c:spPr>
            <a:solidFill>
              <a:schemeClr val="accent2"/>
            </a:solidFill>
            <a:ln>
              <a:noFill/>
            </a:ln>
            <a:effectLst/>
          </c:spPr>
          <c:invertIfNegative val="0"/>
          <c:cat>
            <c:strRef>
              <c:f>'[0 Диаграммалар 2016-2020 9 ой.xlsx]Первичный'!$D$72:$O$72</c:f>
              <c:strCache>
                <c:ptCount val="12"/>
                <c:pt idx="0">
                  <c:v>I-2018</c:v>
                </c:pt>
                <c:pt idx="1">
                  <c:v>II-2018</c:v>
                </c:pt>
                <c:pt idx="2">
                  <c:v>III-2018</c:v>
                </c:pt>
                <c:pt idx="3">
                  <c:v>IV-2018</c:v>
                </c:pt>
                <c:pt idx="4">
                  <c:v>I-2019</c:v>
                </c:pt>
                <c:pt idx="5">
                  <c:v>II-2019</c:v>
                </c:pt>
                <c:pt idx="6">
                  <c:v>III-2019</c:v>
                </c:pt>
                <c:pt idx="7">
                  <c:v>IV-2019</c:v>
                </c:pt>
                <c:pt idx="8">
                  <c:v>I-2020</c:v>
                </c:pt>
                <c:pt idx="9">
                  <c:v>II-2020</c:v>
                </c:pt>
                <c:pt idx="10">
                  <c:v>III-2020</c:v>
                </c:pt>
                <c:pt idx="11">
                  <c:v>IV-2020</c:v>
                </c:pt>
              </c:strCache>
            </c:strRef>
          </c:cat>
          <c:val>
            <c:numRef>
              <c:f>'[0 Диаграммалар 2016-2020 9 ой.xlsx]Первичный'!$D$73:$O$73</c:f>
              <c:numCache>
                <c:formatCode>_-* #\ ##0_р_._-;\-* #\ ##0_р_._-;_-* "-"??_р_._-;_-@_-</c:formatCode>
                <c:ptCount val="12"/>
                <c:pt idx="0">
                  <c:v>646.00657432299977</c:v>
                </c:pt>
                <c:pt idx="1">
                  <c:v>775.94263115549995</c:v>
                </c:pt>
                <c:pt idx="2">
                  <c:v>807.89964021150001</c:v>
                </c:pt>
                <c:pt idx="3">
                  <c:v>717.25472656199997</c:v>
                </c:pt>
                <c:pt idx="4">
                  <c:v>683.31777135849995</c:v>
                </c:pt>
                <c:pt idx="5">
                  <c:v>714.20098303449993</c:v>
                </c:pt>
                <c:pt idx="6">
                  <c:v>667.91784342699987</c:v>
                </c:pt>
                <c:pt idx="7">
                  <c:v>595.25986118549986</c:v>
                </c:pt>
                <c:pt idx="8">
                  <c:v>573.82215021049979</c:v>
                </c:pt>
                <c:pt idx="9">
                  <c:v>315.78630767400006</c:v>
                </c:pt>
                <c:pt idx="10">
                  <c:v>424.00376743760376</c:v>
                </c:pt>
                <c:pt idx="11">
                  <c:v>196.88162371798981</c:v>
                </c:pt>
              </c:numCache>
            </c:numRef>
          </c:val>
          <c:extLst>
            <c:ext xmlns:c16="http://schemas.microsoft.com/office/drawing/2014/chart" uri="{C3380CC4-5D6E-409C-BE32-E72D297353CC}">
              <c16:uniqueId val="{00000000-3779-41CD-81AD-6CFD4E1C4DE6}"/>
            </c:ext>
          </c:extLst>
        </c:ser>
        <c:ser>
          <c:idx val="1"/>
          <c:order val="1"/>
          <c:tx>
            <c:strRef>
              <c:f>'[0 Диаграммалар 2016-2020 9 ой.xlsx]Первичный'!$A$74</c:f>
              <c:strCache>
                <c:ptCount val="1"/>
                <c:pt idx="0">
                  <c:v>Accrued interest on loans</c:v>
                </c:pt>
              </c:strCache>
            </c:strRef>
          </c:tx>
          <c:spPr>
            <a:solidFill>
              <a:schemeClr val="accent1"/>
            </a:solidFill>
            <a:ln>
              <a:noFill/>
            </a:ln>
            <a:effectLst/>
          </c:spPr>
          <c:invertIfNegative val="0"/>
          <c:cat>
            <c:strRef>
              <c:f>'[0 Диаграммалар 2016-2020 9 ой.xlsx]Первичный'!$D$72:$O$72</c:f>
              <c:strCache>
                <c:ptCount val="12"/>
                <c:pt idx="0">
                  <c:v>I-2018</c:v>
                </c:pt>
                <c:pt idx="1">
                  <c:v>II-2018</c:v>
                </c:pt>
                <c:pt idx="2">
                  <c:v>III-2018</c:v>
                </c:pt>
                <c:pt idx="3">
                  <c:v>IV-2018</c:v>
                </c:pt>
                <c:pt idx="4">
                  <c:v>I-2019</c:v>
                </c:pt>
                <c:pt idx="5">
                  <c:v>II-2019</c:v>
                </c:pt>
                <c:pt idx="6">
                  <c:v>III-2019</c:v>
                </c:pt>
                <c:pt idx="7">
                  <c:v>IV-2019</c:v>
                </c:pt>
                <c:pt idx="8">
                  <c:v>I-2020</c:v>
                </c:pt>
                <c:pt idx="9">
                  <c:v>II-2020</c:v>
                </c:pt>
                <c:pt idx="10">
                  <c:v>III-2020</c:v>
                </c:pt>
                <c:pt idx="11">
                  <c:v>IV-2020</c:v>
                </c:pt>
              </c:strCache>
            </c:strRef>
          </c:cat>
          <c:val>
            <c:numRef>
              <c:f>'[0 Диаграммалар 2016-2020 9 ой.xlsx]Первичный'!$D$74:$O$74</c:f>
              <c:numCache>
                <c:formatCode>_-* #\ ##0_р_._-;\-* #\ ##0_р_._-;_-* "-"??_р_._-;_-@_-</c:formatCode>
                <c:ptCount val="12"/>
                <c:pt idx="0">
                  <c:v>-121.69354336984608</c:v>
                </c:pt>
                <c:pt idx="1">
                  <c:v>-156.66501239996751</c:v>
                </c:pt>
                <c:pt idx="2">
                  <c:v>-119.35240214469374</c:v>
                </c:pt>
                <c:pt idx="3">
                  <c:v>-136.615493827894</c:v>
                </c:pt>
                <c:pt idx="4">
                  <c:v>-147.54940663208933</c:v>
                </c:pt>
                <c:pt idx="5">
                  <c:v>-152.91150940323541</c:v>
                </c:pt>
                <c:pt idx="6">
                  <c:v>-159.83673450194982</c:v>
                </c:pt>
                <c:pt idx="7">
                  <c:v>-229.21358065900787</c:v>
                </c:pt>
                <c:pt idx="8">
                  <c:v>-182.82525173789261</c:v>
                </c:pt>
                <c:pt idx="9">
                  <c:v>-198.24312573516545</c:v>
                </c:pt>
                <c:pt idx="10">
                  <c:v>-188.07065173525177</c:v>
                </c:pt>
                <c:pt idx="11">
                  <c:v>-169.37900746206665</c:v>
                </c:pt>
              </c:numCache>
            </c:numRef>
          </c:val>
          <c:extLst>
            <c:ext xmlns:c16="http://schemas.microsoft.com/office/drawing/2014/chart" uri="{C3380CC4-5D6E-409C-BE32-E72D297353CC}">
              <c16:uniqueId val="{00000001-3779-41CD-81AD-6CFD4E1C4DE6}"/>
            </c:ext>
          </c:extLst>
        </c:ser>
        <c:ser>
          <c:idx val="2"/>
          <c:order val="2"/>
          <c:tx>
            <c:strRef>
              <c:f>'[0 Диаграммалар 2016-2020 9 ой.xlsx]Первичный'!$A$75</c:f>
              <c:strCache>
                <c:ptCount val="1"/>
                <c:pt idx="0">
                  <c:v>Income from international reserve assets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'[0 Диаграммалар 2016-2020 9 ой.xlsx]Первичный'!$D$72:$O$72</c:f>
              <c:strCache>
                <c:ptCount val="12"/>
                <c:pt idx="0">
                  <c:v>I-2018</c:v>
                </c:pt>
                <c:pt idx="1">
                  <c:v>II-2018</c:v>
                </c:pt>
                <c:pt idx="2">
                  <c:v>III-2018</c:v>
                </c:pt>
                <c:pt idx="3">
                  <c:v>IV-2018</c:v>
                </c:pt>
                <c:pt idx="4">
                  <c:v>I-2019</c:v>
                </c:pt>
                <c:pt idx="5">
                  <c:v>II-2019</c:v>
                </c:pt>
                <c:pt idx="6">
                  <c:v>III-2019</c:v>
                </c:pt>
                <c:pt idx="7">
                  <c:v>IV-2019</c:v>
                </c:pt>
                <c:pt idx="8">
                  <c:v>I-2020</c:v>
                </c:pt>
                <c:pt idx="9">
                  <c:v>II-2020</c:v>
                </c:pt>
                <c:pt idx="10">
                  <c:v>III-2020</c:v>
                </c:pt>
                <c:pt idx="11">
                  <c:v>IV-2020</c:v>
                </c:pt>
              </c:strCache>
            </c:strRef>
          </c:cat>
          <c:val>
            <c:numRef>
              <c:f>'[0 Диаграммалар 2016-2020 9 ой.xlsx]Первичный'!$D$75:$O$75</c:f>
              <c:numCache>
                <c:formatCode>_-* #\ ##0_р_._-;\-* #\ ##0_р_._-;_-* "-"??_р_._-;_-@_-</c:formatCode>
                <c:ptCount val="12"/>
                <c:pt idx="0">
                  <c:v>36.630758675432197</c:v>
                </c:pt>
                <c:pt idx="1">
                  <c:v>52.067368347815091</c:v>
                </c:pt>
                <c:pt idx="2">
                  <c:v>61.487291836711798</c:v>
                </c:pt>
                <c:pt idx="3">
                  <c:v>75.943777746336906</c:v>
                </c:pt>
                <c:pt idx="4">
                  <c:v>73.956763930890688</c:v>
                </c:pt>
                <c:pt idx="5">
                  <c:v>72.120726823257783</c:v>
                </c:pt>
                <c:pt idx="6">
                  <c:v>76.653126960165096</c:v>
                </c:pt>
                <c:pt idx="7">
                  <c:v>60.963017861666181</c:v>
                </c:pt>
                <c:pt idx="8">
                  <c:v>57.283183634956615</c:v>
                </c:pt>
                <c:pt idx="9">
                  <c:v>43.7345392</c:v>
                </c:pt>
                <c:pt idx="10">
                  <c:v>23.870235539895752</c:v>
                </c:pt>
                <c:pt idx="11">
                  <c:v>12.29402101</c:v>
                </c:pt>
              </c:numCache>
            </c:numRef>
          </c:val>
          <c:extLst>
            <c:ext xmlns:c16="http://schemas.microsoft.com/office/drawing/2014/chart" uri="{C3380CC4-5D6E-409C-BE32-E72D297353CC}">
              <c16:uniqueId val="{00000002-3779-41CD-81AD-6CFD4E1C4DE6}"/>
            </c:ext>
          </c:extLst>
        </c:ser>
        <c:ser>
          <c:idx val="3"/>
          <c:order val="3"/>
          <c:tx>
            <c:strRef>
              <c:f>'[0 Диаграммалар 2016-2020 9 ой.xlsx]Первичный'!$A$76</c:f>
              <c:strCache>
                <c:ptCount val="1"/>
                <c:pt idx="0">
                  <c:v>Accrued income on direct investment liabilities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'[0 Диаграммалар 2016-2020 9 ой.xlsx]Первичный'!$D$72:$O$72</c:f>
              <c:strCache>
                <c:ptCount val="12"/>
                <c:pt idx="0">
                  <c:v>I-2018</c:v>
                </c:pt>
                <c:pt idx="1">
                  <c:v>II-2018</c:v>
                </c:pt>
                <c:pt idx="2">
                  <c:v>III-2018</c:v>
                </c:pt>
                <c:pt idx="3">
                  <c:v>IV-2018</c:v>
                </c:pt>
                <c:pt idx="4">
                  <c:v>I-2019</c:v>
                </c:pt>
                <c:pt idx="5">
                  <c:v>II-2019</c:v>
                </c:pt>
                <c:pt idx="6">
                  <c:v>III-2019</c:v>
                </c:pt>
                <c:pt idx="7">
                  <c:v>IV-2019</c:v>
                </c:pt>
                <c:pt idx="8">
                  <c:v>I-2020</c:v>
                </c:pt>
                <c:pt idx="9">
                  <c:v>II-2020</c:v>
                </c:pt>
                <c:pt idx="10">
                  <c:v>III-2020</c:v>
                </c:pt>
                <c:pt idx="11">
                  <c:v>IV-2020</c:v>
                </c:pt>
              </c:strCache>
            </c:strRef>
          </c:cat>
          <c:val>
            <c:numRef>
              <c:f>'[0 Диаграммалар 2016-2020 9 ой.xlsx]Первичный'!$D$76:$O$76</c:f>
              <c:numCache>
                <c:formatCode>_-* #\ ##0_р_._-;\-* #\ ##0_р_._-;_-* "-"??_р_._-;_-@_-</c:formatCode>
                <c:ptCount val="12"/>
                <c:pt idx="0">
                  <c:v>-242.8242815164852</c:v>
                </c:pt>
                <c:pt idx="1">
                  <c:v>-355.31387378199452</c:v>
                </c:pt>
                <c:pt idx="2">
                  <c:v>-355.59785675137954</c:v>
                </c:pt>
                <c:pt idx="3">
                  <c:v>-181.59185646452764</c:v>
                </c:pt>
                <c:pt idx="4">
                  <c:v>-258.48768892634354</c:v>
                </c:pt>
                <c:pt idx="5">
                  <c:v>-225.01043329466953</c:v>
                </c:pt>
                <c:pt idx="6">
                  <c:v>-297.75657824959296</c:v>
                </c:pt>
                <c:pt idx="7">
                  <c:v>-648.01524740534728</c:v>
                </c:pt>
                <c:pt idx="8">
                  <c:v>-200.19956790125048</c:v>
                </c:pt>
                <c:pt idx="9">
                  <c:v>-212.41700294990019</c:v>
                </c:pt>
                <c:pt idx="10">
                  <c:v>-264.24270430524678</c:v>
                </c:pt>
                <c:pt idx="11">
                  <c:v>-296.60342986373769</c:v>
                </c:pt>
              </c:numCache>
            </c:numRef>
          </c:val>
          <c:extLst>
            <c:ext xmlns:c16="http://schemas.microsoft.com/office/drawing/2014/chart" uri="{C3380CC4-5D6E-409C-BE32-E72D297353CC}">
              <c16:uniqueId val="{00000003-3779-41CD-81AD-6CFD4E1C4DE6}"/>
            </c:ext>
          </c:extLst>
        </c:ser>
        <c:ser>
          <c:idx val="4"/>
          <c:order val="4"/>
          <c:tx>
            <c:strRef>
              <c:f>'[0 Диаграммалар 2016-2020 9 ой.xlsx]Первичный'!$A$77</c:f>
              <c:strCache>
                <c:ptCount val="1"/>
                <c:pt idx="0">
                  <c:v>Other receivable income</c:v>
                </c:pt>
              </c:strCache>
            </c:strRef>
          </c:tx>
          <c:spPr>
            <a:solidFill>
              <a:schemeClr val="tx1"/>
            </a:solidFill>
            <a:ln>
              <a:noFill/>
            </a:ln>
            <a:effectLst/>
          </c:spPr>
          <c:invertIfNegative val="0"/>
          <c:cat>
            <c:strRef>
              <c:f>'[0 Диаграммалар 2016-2020 9 ой.xlsx]Первичный'!$D$72:$O$72</c:f>
              <c:strCache>
                <c:ptCount val="12"/>
                <c:pt idx="0">
                  <c:v>I-2018</c:v>
                </c:pt>
                <c:pt idx="1">
                  <c:v>II-2018</c:v>
                </c:pt>
                <c:pt idx="2">
                  <c:v>III-2018</c:v>
                </c:pt>
                <c:pt idx="3">
                  <c:v>IV-2018</c:v>
                </c:pt>
                <c:pt idx="4">
                  <c:v>I-2019</c:v>
                </c:pt>
                <c:pt idx="5">
                  <c:v>II-2019</c:v>
                </c:pt>
                <c:pt idx="6">
                  <c:v>III-2019</c:v>
                </c:pt>
                <c:pt idx="7">
                  <c:v>IV-2019</c:v>
                </c:pt>
                <c:pt idx="8">
                  <c:v>I-2020</c:v>
                </c:pt>
                <c:pt idx="9">
                  <c:v>II-2020</c:v>
                </c:pt>
                <c:pt idx="10">
                  <c:v>III-2020</c:v>
                </c:pt>
                <c:pt idx="11">
                  <c:v>IV-2020</c:v>
                </c:pt>
              </c:strCache>
            </c:strRef>
          </c:cat>
          <c:val>
            <c:numRef>
              <c:f>'[0 Диаграммалар 2016-2020 9 ой.xlsx]Первичный'!$D$77:$O$77</c:f>
              <c:numCache>
                <c:formatCode>_-* #\ ##0_р_._-;\-* #\ ##0_р_._-;_-* "-"??_р_._-;_-@_-</c:formatCode>
                <c:ptCount val="12"/>
                <c:pt idx="0">
                  <c:v>3.2332967086839313</c:v>
                </c:pt>
                <c:pt idx="1">
                  <c:v>22.976333823158448</c:v>
                </c:pt>
                <c:pt idx="2">
                  <c:v>2.8215634535615397</c:v>
                </c:pt>
                <c:pt idx="3">
                  <c:v>2.8963165619705098</c:v>
                </c:pt>
                <c:pt idx="4">
                  <c:v>2.6957141844516204</c:v>
                </c:pt>
                <c:pt idx="5">
                  <c:v>3.46498061682707</c:v>
                </c:pt>
                <c:pt idx="6">
                  <c:v>3.5178470652678806</c:v>
                </c:pt>
                <c:pt idx="7">
                  <c:v>3.1971322162506501</c:v>
                </c:pt>
                <c:pt idx="8">
                  <c:v>3.7902833668978033</c:v>
                </c:pt>
                <c:pt idx="9">
                  <c:v>3.5488460635255921</c:v>
                </c:pt>
                <c:pt idx="10">
                  <c:v>2.0629287498898323</c:v>
                </c:pt>
                <c:pt idx="11">
                  <c:v>1.2608299570414447</c:v>
                </c:pt>
              </c:numCache>
            </c:numRef>
          </c:val>
          <c:extLst>
            <c:ext xmlns:c16="http://schemas.microsoft.com/office/drawing/2014/chart" uri="{C3380CC4-5D6E-409C-BE32-E72D297353CC}">
              <c16:uniqueId val="{00000004-3779-41CD-81AD-6CFD4E1C4DE6}"/>
            </c:ext>
          </c:extLst>
        </c:ser>
        <c:ser>
          <c:idx val="5"/>
          <c:order val="5"/>
          <c:tx>
            <c:strRef>
              <c:f>'[0 Диаграммалар 2016-2020 9 ой.xlsx]Первичный'!$A$78</c:f>
              <c:strCache>
                <c:ptCount val="1"/>
                <c:pt idx="0">
                  <c:v>Other payable income</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cat>
            <c:strRef>
              <c:f>'[0 Диаграммалар 2016-2020 9 ой.xlsx]Первичный'!$D$72:$O$72</c:f>
              <c:strCache>
                <c:ptCount val="12"/>
                <c:pt idx="0">
                  <c:v>I-2018</c:v>
                </c:pt>
                <c:pt idx="1">
                  <c:v>II-2018</c:v>
                </c:pt>
                <c:pt idx="2">
                  <c:v>III-2018</c:v>
                </c:pt>
                <c:pt idx="3">
                  <c:v>IV-2018</c:v>
                </c:pt>
                <c:pt idx="4">
                  <c:v>I-2019</c:v>
                </c:pt>
                <c:pt idx="5">
                  <c:v>II-2019</c:v>
                </c:pt>
                <c:pt idx="6">
                  <c:v>III-2019</c:v>
                </c:pt>
                <c:pt idx="7">
                  <c:v>IV-2019</c:v>
                </c:pt>
                <c:pt idx="8">
                  <c:v>I-2020</c:v>
                </c:pt>
                <c:pt idx="9">
                  <c:v>II-2020</c:v>
                </c:pt>
                <c:pt idx="10">
                  <c:v>III-2020</c:v>
                </c:pt>
                <c:pt idx="11">
                  <c:v>IV-2020</c:v>
                </c:pt>
              </c:strCache>
            </c:strRef>
          </c:cat>
          <c:val>
            <c:numRef>
              <c:f>'[0 Диаграммалар 2016-2020 9 ой.xlsx]Первичный'!$D$78:$O$78</c:f>
              <c:numCache>
                <c:formatCode>_-* #\ ##0_р_._-;\-* #\ ##0_р_._-;_-* "-"??_р_._-;_-@_-</c:formatCode>
                <c:ptCount val="12"/>
                <c:pt idx="0">
                  <c:v>-6.6658538562452012</c:v>
                </c:pt>
                <c:pt idx="1">
                  <c:v>-7.2006198947894218</c:v>
                </c:pt>
                <c:pt idx="2">
                  <c:v>-7.0238662267014575</c:v>
                </c:pt>
                <c:pt idx="3">
                  <c:v>-7.070549571144694</c:v>
                </c:pt>
                <c:pt idx="4">
                  <c:v>-12.045518690013406</c:v>
                </c:pt>
                <c:pt idx="5">
                  <c:v>-24.006552817072425</c:v>
                </c:pt>
                <c:pt idx="6">
                  <c:v>-29.999532361396604</c:v>
                </c:pt>
                <c:pt idx="7">
                  <c:v>-35.235779063239349</c:v>
                </c:pt>
                <c:pt idx="8">
                  <c:v>-41.652194118951847</c:v>
                </c:pt>
                <c:pt idx="9">
                  <c:v>-44.176070191344017</c:v>
                </c:pt>
                <c:pt idx="10">
                  <c:v>-44.740704406073164</c:v>
                </c:pt>
                <c:pt idx="11">
                  <c:v>-56.806814824879112</c:v>
                </c:pt>
              </c:numCache>
            </c:numRef>
          </c:val>
          <c:extLst>
            <c:ext xmlns:c16="http://schemas.microsoft.com/office/drawing/2014/chart" uri="{C3380CC4-5D6E-409C-BE32-E72D297353CC}">
              <c16:uniqueId val="{00000005-3779-41CD-81AD-6CFD4E1C4DE6}"/>
            </c:ext>
          </c:extLst>
        </c:ser>
        <c:dLbls>
          <c:showLegendKey val="0"/>
          <c:showVal val="0"/>
          <c:showCatName val="0"/>
          <c:showSerName val="0"/>
          <c:showPercent val="0"/>
          <c:showBubbleSize val="0"/>
        </c:dLbls>
        <c:gapWidth val="150"/>
        <c:overlap val="100"/>
        <c:axId val="1282475760"/>
        <c:axId val="1282452880"/>
      </c:barChart>
      <c:lineChart>
        <c:grouping val="standard"/>
        <c:varyColors val="0"/>
        <c:ser>
          <c:idx val="6"/>
          <c:order val="6"/>
          <c:tx>
            <c:strRef>
              <c:f>'[0 Диаграммалар 2016-2020 9 ой.xlsx]Первичный'!$A$79</c:f>
              <c:strCache>
                <c:ptCount val="1"/>
                <c:pt idx="0">
                  <c:v>Primary income balance</c:v>
                </c:pt>
              </c:strCache>
            </c:strRef>
          </c:tx>
          <c:spPr>
            <a:ln w="31750" cap="rnd">
              <a:solidFill>
                <a:schemeClr val="accent1">
                  <a:lumMod val="60000"/>
                </a:schemeClr>
              </a:solidFill>
              <a:round/>
            </a:ln>
            <a:effectLst/>
          </c:spPr>
          <c:marker>
            <c:symbol val="circle"/>
            <c:size val="6"/>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w="12700">
                <a:solidFill>
                  <a:schemeClr val="lt2"/>
                </a:solidFill>
                <a:round/>
              </a:ln>
              <a:effectLst/>
            </c:spPr>
          </c:marker>
          <c:dLbls>
            <c:dLbl>
              <c:idx val="0"/>
              <c:layout>
                <c:manualLayout>
                  <c:x val="-1.0355826779590259E-3"/>
                  <c:y val="2.76400610351513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779-41CD-81AD-6CFD4E1C4DE6}"/>
                </c:ext>
              </c:extLst>
            </c:dLbl>
            <c:dLbl>
              <c:idx val="1"/>
              <c:layout>
                <c:manualLayout>
                  <c:x val="3.3414413715169749E-3"/>
                  <c:y val="1.84266628491393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779-41CD-81AD-6CFD4E1C4DE6}"/>
                </c:ext>
              </c:extLst>
            </c:dLbl>
            <c:dLbl>
              <c:idx val="2"/>
              <c:layout>
                <c:manualLayout>
                  <c:x val="1.6707206857584874E-3"/>
                  <c:y val="1.84266628491392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779-41CD-81AD-6CFD4E1C4DE6}"/>
                </c:ext>
              </c:extLst>
            </c:dLbl>
            <c:dLbl>
              <c:idx val="3"/>
              <c:layout>
                <c:manualLayout>
                  <c:x val="9.8034313597102139E-4"/>
                  <c:y val="-7.7162146175578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779-41CD-81AD-6CFD4E1C4DE6}"/>
                </c:ext>
              </c:extLst>
            </c:dLbl>
            <c:dLbl>
              <c:idx val="4"/>
              <c:layout>
                <c:manualLayout>
                  <c:x val="1.6707206857584263E-3"/>
                  <c:y val="1.22844418994261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779-41CD-81AD-6CFD4E1C4DE6}"/>
                </c:ext>
              </c:extLst>
            </c:dLbl>
            <c:dLbl>
              <c:idx val="5"/>
              <c:layout>
                <c:manualLayout>
                  <c:x val="0"/>
                  <c:y val="-9.21333142456965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779-41CD-81AD-6CFD4E1C4DE6}"/>
                </c:ext>
              </c:extLst>
            </c:dLbl>
            <c:dLbl>
              <c:idx val="9"/>
              <c:layout>
                <c:manualLayout>
                  <c:x val="2.0159258139300475E-3"/>
                  <c:y val="1.7825311942959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324-4083-8BA9-00DA0E02BBD7}"/>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'[0 Диаграммалар 2016-2020 9 ой.xlsx]Первичный'!$D$72:$O$72</c:f>
              <c:strCache>
                <c:ptCount val="12"/>
                <c:pt idx="0">
                  <c:v>I-2018</c:v>
                </c:pt>
                <c:pt idx="1">
                  <c:v>II-2018</c:v>
                </c:pt>
                <c:pt idx="2">
                  <c:v>III-2018</c:v>
                </c:pt>
                <c:pt idx="3">
                  <c:v>IV-2018</c:v>
                </c:pt>
                <c:pt idx="4">
                  <c:v>I-2019</c:v>
                </c:pt>
                <c:pt idx="5">
                  <c:v>II-2019</c:v>
                </c:pt>
                <c:pt idx="6">
                  <c:v>III-2019</c:v>
                </c:pt>
                <c:pt idx="7">
                  <c:v>IV-2019</c:v>
                </c:pt>
                <c:pt idx="8">
                  <c:v>I-2020</c:v>
                </c:pt>
                <c:pt idx="9">
                  <c:v>II-2020</c:v>
                </c:pt>
                <c:pt idx="10">
                  <c:v>III-2020</c:v>
                </c:pt>
                <c:pt idx="11">
                  <c:v>IV-2020</c:v>
                </c:pt>
              </c:strCache>
            </c:strRef>
          </c:cat>
          <c:val>
            <c:numRef>
              <c:f>'[0 Диаграммалар 2016-2020 9 ой.xlsx]Первичный'!$D$79:$O$79</c:f>
              <c:numCache>
                <c:formatCode>_-* #\ ##0_р_._-;\-* #\ ##0_р_._-;_-* "-"??_р_._-;_-@_-</c:formatCode>
                <c:ptCount val="12"/>
                <c:pt idx="0">
                  <c:v>314.68695096453945</c:v>
                </c:pt>
                <c:pt idx="1">
                  <c:v>331.80682724972206</c:v>
                </c:pt>
                <c:pt idx="2">
                  <c:v>390.23437037899862</c:v>
                </c:pt>
                <c:pt idx="3">
                  <c:v>470.81692100674098</c:v>
                </c:pt>
                <c:pt idx="4">
                  <c:v>341.88763522539597</c:v>
                </c:pt>
                <c:pt idx="5">
                  <c:v>387.85819495960749</c:v>
                </c:pt>
                <c:pt idx="6">
                  <c:v>260.49597233949339</c:v>
                </c:pt>
                <c:pt idx="7">
                  <c:v>-253.04459586417789</c:v>
                </c:pt>
                <c:pt idx="8">
                  <c:v>210.21860345425932</c:v>
                </c:pt>
                <c:pt idx="9">
                  <c:v>-91.766505938884023</c:v>
                </c:pt>
                <c:pt idx="10">
                  <c:v>-47.117128719182368</c:v>
                </c:pt>
                <c:pt idx="11">
                  <c:v>-312.3527774656522</c:v>
                </c:pt>
              </c:numCache>
            </c:numRef>
          </c:val>
          <c:smooth val="0"/>
          <c:extLst>
            <c:ext xmlns:c16="http://schemas.microsoft.com/office/drawing/2014/chart" uri="{C3380CC4-5D6E-409C-BE32-E72D297353CC}">
              <c16:uniqueId val="{0000000C-3779-41CD-81AD-6CFD4E1C4DE6}"/>
            </c:ext>
          </c:extLst>
        </c:ser>
        <c:dLbls>
          <c:showLegendKey val="0"/>
          <c:showVal val="0"/>
          <c:showCatName val="0"/>
          <c:showSerName val="0"/>
          <c:showPercent val="0"/>
          <c:showBubbleSize val="0"/>
        </c:dLbls>
        <c:marker val="1"/>
        <c:smooth val="0"/>
        <c:axId val="1182680800"/>
        <c:axId val="1282480336"/>
      </c:lineChart>
      <c:catAx>
        <c:axId val="1282475760"/>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282452880"/>
        <c:crosses val="autoZero"/>
        <c:auto val="1"/>
        <c:lblAlgn val="ctr"/>
        <c:lblOffset val="100"/>
        <c:noMultiLvlLbl val="0"/>
      </c:catAx>
      <c:valAx>
        <c:axId val="1282452880"/>
        <c:scaling>
          <c:orientation val="minMax"/>
        </c:scaling>
        <c:delete val="0"/>
        <c:axPos val="l"/>
        <c:majorGridlines>
          <c:spPr>
            <a:ln w="9525" cap="flat" cmpd="sng" algn="ctr">
              <a:solidFill>
                <a:schemeClr val="tx2">
                  <a:lumMod val="15000"/>
                  <a:lumOff val="85000"/>
                </a:schemeClr>
              </a:solidFill>
              <a:round/>
            </a:ln>
            <a:effectLst/>
          </c:spPr>
        </c:majorGridlines>
        <c:numFmt formatCode="_-* #\ ##0_р_._-;\-* #\ ##0_р_._-;_-* &quot;-&quot;??_р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282475760"/>
        <c:crosses val="autoZero"/>
        <c:crossBetween val="between"/>
      </c:valAx>
      <c:valAx>
        <c:axId val="1282480336"/>
        <c:scaling>
          <c:orientation val="minMax"/>
        </c:scaling>
        <c:delete val="1"/>
        <c:axPos val="r"/>
        <c:numFmt formatCode="_-* #\ ##0_р_._-;\-* #\ ##0_р_._-;_-* &quot;-&quot;??_р_._-;_-@_-" sourceLinked="1"/>
        <c:majorTickMark val="none"/>
        <c:minorTickMark val="none"/>
        <c:tickLblPos val="nextTo"/>
        <c:crossAx val="1182680800"/>
        <c:crosses val="max"/>
        <c:crossBetween val="between"/>
      </c:valAx>
      <c:catAx>
        <c:axId val="1182680800"/>
        <c:scaling>
          <c:orientation val="minMax"/>
        </c:scaling>
        <c:delete val="1"/>
        <c:axPos val="b"/>
        <c:numFmt formatCode="General" sourceLinked="1"/>
        <c:majorTickMark val="none"/>
        <c:minorTickMark val="none"/>
        <c:tickLblPos val="nextTo"/>
        <c:crossAx val="1282480336"/>
        <c:crosses val="autoZero"/>
        <c:auto val="1"/>
        <c:lblAlgn val="ctr"/>
        <c:lblOffset val="100"/>
        <c:noMultiLvlLbl val="0"/>
      </c:catAx>
      <c:spPr>
        <a:noFill/>
        <a:ln>
          <a:noFill/>
        </a:ln>
        <a:effectLst/>
      </c:spPr>
    </c:plotArea>
    <c:legend>
      <c:legendPos val="b"/>
      <c:layout>
        <c:manualLayout>
          <c:xMode val="edge"/>
          <c:yMode val="edge"/>
          <c:x val="0.10478116310143057"/>
          <c:y val="0.84414547423190878"/>
          <c:w val="0.84095090816669871"/>
          <c:h val="0.1376974109669926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160178084037143E-2"/>
          <c:y val="6.4654053793937918E-2"/>
          <c:w val="0.89638784244231617"/>
          <c:h val="0.67830040611278386"/>
        </c:manualLayout>
      </c:layout>
      <c:barChart>
        <c:barDir val="col"/>
        <c:grouping val="stacked"/>
        <c:varyColors val="0"/>
        <c:ser>
          <c:idx val="0"/>
          <c:order val="0"/>
          <c:tx>
            <c:strRef>
              <c:f>'[0 Диаграммалар 2016-2020 9 ой.xlsx]Вторичный'!$A$49</c:f>
              <c:strCache>
                <c:ptCount val="1"/>
                <c:pt idx="0">
                  <c:v>General government (received)</c:v>
                </c:pt>
              </c:strCache>
            </c:strRef>
          </c:tx>
          <c:spPr>
            <a:solidFill>
              <a:schemeClr val="tx1"/>
            </a:solidFill>
            <a:ln>
              <a:noFill/>
            </a:ln>
            <a:effectLst/>
          </c:spPr>
          <c:invertIfNegative val="0"/>
          <c:cat>
            <c:strRef>
              <c:f>'[0 Диаграммалар 2016-2020 9 ой.xlsx]Вторичный'!$D$46:$O$46</c:f>
              <c:strCache>
                <c:ptCount val="12"/>
                <c:pt idx="0">
                  <c:v>I-2018</c:v>
                </c:pt>
                <c:pt idx="1">
                  <c:v>II-2018</c:v>
                </c:pt>
                <c:pt idx="2">
                  <c:v>III-2018</c:v>
                </c:pt>
                <c:pt idx="3">
                  <c:v>IV-2018</c:v>
                </c:pt>
                <c:pt idx="4">
                  <c:v>I-2019</c:v>
                </c:pt>
                <c:pt idx="5">
                  <c:v>II-2019</c:v>
                </c:pt>
                <c:pt idx="6">
                  <c:v>III-2019</c:v>
                </c:pt>
                <c:pt idx="7">
                  <c:v>IV-2019</c:v>
                </c:pt>
                <c:pt idx="8">
                  <c:v>I-2020</c:v>
                </c:pt>
                <c:pt idx="9">
                  <c:v>II-2020</c:v>
                </c:pt>
                <c:pt idx="10">
                  <c:v>III-2020</c:v>
                </c:pt>
                <c:pt idx="11">
                  <c:v>IV-2020</c:v>
                </c:pt>
              </c:strCache>
            </c:strRef>
          </c:cat>
          <c:val>
            <c:numRef>
              <c:f>'[0 Диаграммалар 2016-2020 9 ой.xlsx]Вторичный'!$D$49:$O$49</c:f>
              <c:numCache>
                <c:formatCode>_-* #\ ##0_р_._-;\-* #\ ##0_р_._-;_-* "-"??_р_._-;_-@_-</c:formatCode>
                <c:ptCount val="12"/>
                <c:pt idx="0">
                  <c:v>5.8685127191872049</c:v>
                </c:pt>
                <c:pt idx="1">
                  <c:v>3.1010240283657491</c:v>
                </c:pt>
                <c:pt idx="2">
                  <c:v>6.3903311204613873</c:v>
                </c:pt>
                <c:pt idx="3">
                  <c:v>7.6831302115719637</c:v>
                </c:pt>
                <c:pt idx="4">
                  <c:v>14.583836939999999</c:v>
                </c:pt>
                <c:pt idx="5">
                  <c:v>9.6976031861012615</c:v>
                </c:pt>
                <c:pt idx="6">
                  <c:v>8.2773127947517828</c:v>
                </c:pt>
                <c:pt idx="7">
                  <c:v>7.6946069375039441</c:v>
                </c:pt>
                <c:pt idx="8">
                  <c:v>13.270115774030479</c:v>
                </c:pt>
                <c:pt idx="9">
                  <c:v>7.6121731537044086</c:v>
                </c:pt>
                <c:pt idx="10">
                  <c:v>5.3332417581257285</c:v>
                </c:pt>
                <c:pt idx="11">
                  <c:v>8.7615705683264657</c:v>
                </c:pt>
              </c:numCache>
            </c:numRef>
          </c:val>
          <c:extLst>
            <c:ext xmlns:c16="http://schemas.microsoft.com/office/drawing/2014/chart" uri="{C3380CC4-5D6E-409C-BE32-E72D297353CC}">
              <c16:uniqueId val="{00000000-510E-484D-8799-64B0C60D7FAB}"/>
            </c:ext>
          </c:extLst>
        </c:ser>
        <c:ser>
          <c:idx val="1"/>
          <c:order val="1"/>
          <c:tx>
            <c:strRef>
              <c:f>'[0 Диаграммалар 2016-2020 9 ой.xlsx]Вторичный'!$A$50</c:f>
              <c:strCache>
                <c:ptCount val="1"/>
                <c:pt idx="0">
                  <c:v>General government (paid)</c:v>
                </c:pt>
              </c:strCache>
            </c:strRef>
          </c:tx>
          <c:spPr>
            <a:solidFill>
              <a:schemeClr val="accent4"/>
            </a:solidFill>
            <a:ln>
              <a:noFill/>
            </a:ln>
            <a:effectLst/>
          </c:spPr>
          <c:invertIfNegative val="0"/>
          <c:cat>
            <c:strRef>
              <c:f>'[0 Диаграммалар 2016-2020 9 ой.xlsx]Вторичный'!$D$46:$O$46</c:f>
              <c:strCache>
                <c:ptCount val="12"/>
                <c:pt idx="0">
                  <c:v>I-2018</c:v>
                </c:pt>
                <c:pt idx="1">
                  <c:v>II-2018</c:v>
                </c:pt>
                <c:pt idx="2">
                  <c:v>III-2018</c:v>
                </c:pt>
                <c:pt idx="3">
                  <c:v>IV-2018</c:v>
                </c:pt>
                <c:pt idx="4">
                  <c:v>I-2019</c:v>
                </c:pt>
                <c:pt idx="5">
                  <c:v>II-2019</c:v>
                </c:pt>
                <c:pt idx="6">
                  <c:v>III-2019</c:v>
                </c:pt>
                <c:pt idx="7">
                  <c:v>IV-2019</c:v>
                </c:pt>
                <c:pt idx="8">
                  <c:v>I-2020</c:v>
                </c:pt>
                <c:pt idx="9">
                  <c:v>II-2020</c:v>
                </c:pt>
                <c:pt idx="10">
                  <c:v>III-2020</c:v>
                </c:pt>
                <c:pt idx="11">
                  <c:v>IV-2020</c:v>
                </c:pt>
              </c:strCache>
            </c:strRef>
          </c:cat>
          <c:val>
            <c:numRef>
              <c:f>'[0 Диаграммалар 2016-2020 9 ой.xlsx]Вторичный'!$D$50:$O$50</c:f>
              <c:numCache>
                <c:formatCode>_-* #\ ##0_р_._-;\-* #\ ##0_р_._-;_-* "-"??_р_._-;_-@_-</c:formatCode>
                <c:ptCount val="12"/>
                <c:pt idx="0">
                  <c:v>-0.31222000000000005</c:v>
                </c:pt>
                <c:pt idx="1">
                  <c:v>-0.34161000000000002</c:v>
                </c:pt>
                <c:pt idx="2">
                  <c:v>-0.67198000000000013</c:v>
                </c:pt>
                <c:pt idx="3">
                  <c:v>-11.416963752528236</c:v>
                </c:pt>
                <c:pt idx="4">
                  <c:v>-0.41173926555273116</c:v>
                </c:pt>
                <c:pt idx="5">
                  <c:v>-0.35054671481242117</c:v>
                </c:pt>
                <c:pt idx="6">
                  <c:v>-0.72507790569423236</c:v>
                </c:pt>
                <c:pt idx="7">
                  <c:v>-15.505950795499748</c:v>
                </c:pt>
                <c:pt idx="8">
                  <c:v>0</c:v>
                </c:pt>
                <c:pt idx="9">
                  <c:v>-0.31486600754512239</c:v>
                </c:pt>
                <c:pt idx="10">
                  <c:v>-5.431992637378678</c:v>
                </c:pt>
                <c:pt idx="11">
                  <c:v>-2.2409595380618494</c:v>
                </c:pt>
              </c:numCache>
            </c:numRef>
          </c:val>
          <c:extLst>
            <c:ext xmlns:c16="http://schemas.microsoft.com/office/drawing/2014/chart" uri="{C3380CC4-5D6E-409C-BE32-E72D297353CC}">
              <c16:uniqueId val="{00000001-510E-484D-8799-64B0C60D7FAB}"/>
            </c:ext>
          </c:extLst>
        </c:ser>
        <c:ser>
          <c:idx val="2"/>
          <c:order val="2"/>
          <c:tx>
            <c:strRef>
              <c:f>'[0 Диаграммалар 2016-2020 9 ой.xlsx]Вторичный'!$A$51</c:f>
              <c:strCache>
                <c:ptCount val="1"/>
                <c:pt idx="0">
                  <c:v>Housholds (received)</c:v>
                </c:pt>
              </c:strCache>
            </c:strRef>
          </c:tx>
          <c:spPr>
            <a:solidFill>
              <a:schemeClr val="accent2"/>
            </a:solidFill>
            <a:ln>
              <a:noFill/>
            </a:ln>
            <a:effectLst/>
          </c:spPr>
          <c:invertIfNegative val="0"/>
          <c:cat>
            <c:strRef>
              <c:f>'[0 Диаграммалар 2016-2020 9 ой.xlsx]Вторичный'!$D$46:$O$46</c:f>
              <c:strCache>
                <c:ptCount val="12"/>
                <c:pt idx="0">
                  <c:v>I-2018</c:v>
                </c:pt>
                <c:pt idx="1">
                  <c:v>II-2018</c:v>
                </c:pt>
                <c:pt idx="2">
                  <c:v>III-2018</c:v>
                </c:pt>
                <c:pt idx="3">
                  <c:v>IV-2018</c:v>
                </c:pt>
                <c:pt idx="4">
                  <c:v>I-2019</c:v>
                </c:pt>
                <c:pt idx="5">
                  <c:v>II-2019</c:v>
                </c:pt>
                <c:pt idx="6">
                  <c:v>III-2019</c:v>
                </c:pt>
                <c:pt idx="7">
                  <c:v>IV-2019</c:v>
                </c:pt>
                <c:pt idx="8">
                  <c:v>I-2020</c:v>
                </c:pt>
                <c:pt idx="9">
                  <c:v>II-2020</c:v>
                </c:pt>
                <c:pt idx="10">
                  <c:v>III-2020</c:v>
                </c:pt>
                <c:pt idx="11">
                  <c:v>IV-2020</c:v>
                </c:pt>
              </c:strCache>
            </c:strRef>
          </c:cat>
          <c:val>
            <c:numRef>
              <c:f>'[0 Диаграммалар 2016-2020 9 ой.xlsx]Вторичный'!$D$51:$O$51</c:f>
              <c:numCache>
                <c:formatCode>_-* #\ ##0_р_._-;\-* #\ ##0_р_._-;_-* "-"??_р_._-;_-@_-</c:formatCode>
                <c:ptCount val="12"/>
                <c:pt idx="0">
                  <c:v>898.59360906580798</c:v>
                </c:pt>
                <c:pt idx="1">
                  <c:v>1125.3254460325845</c:v>
                </c:pt>
                <c:pt idx="2">
                  <c:v>1383.2345383098977</c:v>
                </c:pt>
                <c:pt idx="3">
                  <c:v>1255.3565262113477</c:v>
                </c:pt>
                <c:pt idx="4">
                  <c:v>956.14776577384896</c:v>
                </c:pt>
                <c:pt idx="5">
                  <c:v>1409.1210668019683</c:v>
                </c:pt>
                <c:pt idx="6">
                  <c:v>1826.5717712283674</c:v>
                </c:pt>
                <c:pt idx="7">
                  <c:v>1693.2760438058629</c:v>
                </c:pt>
                <c:pt idx="8">
                  <c:v>1110.839883185992</c:v>
                </c:pt>
                <c:pt idx="9">
                  <c:v>1190.1969751291649</c:v>
                </c:pt>
                <c:pt idx="10">
                  <c:v>1565.729918583314</c:v>
                </c:pt>
                <c:pt idx="11">
                  <c:v>1612.0492119142459</c:v>
                </c:pt>
              </c:numCache>
            </c:numRef>
          </c:val>
          <c:extLst>
            <c:ext xmlns:c16="http://schemas.microsoft.com/office/drawing/2014/chart" uri="{C3380CC4-5D6E-409C-BE32-E72D297353CC}">
              <c16:uniqueId val="{00000002-510E-484D-8799-64B0C60D7FAB}"/>
            </c:ext>
          </c:extLst>
        </c:ser>
        <c:ser>
          <c:idx val="3"/>
          <c:order val="3"/>
          <c:tx>
            <c:strRef>
              <c:f>'[0 Диаграммалар 2016-2020 9 ой.xlsx]Вторичный'!$A$52</c:f>
              <c:strCache>
                <c:ptCount val="1"/>
                <c:pt idx="0">
                  <c:v>Housholds (paid)</c:v>
                </c:pt>
              </c:strCache>
            </c:strRef>
          </c:tx>
          <c:spPr>
            <a:solidFill>
              <a:schemeClr val="accent5"/>
            </a:solidFill>
            <a:ln>
              <a:noFill/>
            </a:ln>
            <a:effectLst/>
          </c:spPr>
          <c:invertIfNegative val="0"/>
          <c:cat>
            <c:strRef>
              <c:f>'[0 Диаграммалар 2016-2020 9 ой.xlsx]Вторичный'!$D$46:$O$46</c:f>
              <c:strCache>
                <c:ptCount val="12"/>
                <c:pt idx="0">
                  <c:v>I-2018</c:v>
                </c:pt>
                <c:pt idx="1">
                  <c:v>II-2018</c:v>
                </c:pt>
                <c:pt idx="2">
                  <c:v>III-2018</c:v>
                </c:pt>
                <c:pt idx="3">
                  <c:v>IV-2018</c:v>
                </c:pt>
                <c:pt idx="4">
                  <c:v>I-2019</c:v>
                </c:pt>
                <c:pt idx="5">
                  <c:v>II-2019</c:v>
                </c:pt>
                <c:pt idx="6">
                  <c:v>III-2019</c:v>
                </c:pt>
                <c:pt idx="7">
                  <c:v>IV-2019</c:v>
                </c:pt>
                <c:pt idx="8">
                  <c:v>I-2020</c:v>
                </c:pt>
                <c:pt idx="9">
                  <c:v>II-2020</c:v>
                </c:pt>
                <c:pt idx="10">
                  <c:v>III-2020</c:v>
                </c:pt>
                <c:pt idx="11">
                  <c:v>IV-2020</c:v>
                </c:pt>
              </c:strCache>
            </c:strRef>
          </c:cat>
          <c:val>
            <c:numRef>
              <c:f>'[0 Диаграммалар 2016-2020 9 ой.xlsx]Вторичный'!$D$52:$O$52</c:f>
              <c:numCache>
                <c:formatCode>_-* #\ ##0_р_._-;\-* #\ ##0_р_._-;_-* "-"??_р_._-;_-@_-</c:formatCode>
                <c:ptCount val="12"/>
                <c:pt idx="0">
                  <c:v>-52.133791608000003</c:v>
                </c:pt>
                <c:pt idx="1">
                  <c:v>-55.841386851000003</c:v>
                </c:pt>
                <c:pt idx="2">
                  <c:v>-55.841386851000003</c:v>
                </c:pt>
                <c:pt idx="3">
                  <c:v>-55.841386851000003</c:v>
                </c:pt>
                <c:pt idx="4">
                  <c:v>-55.841386851000003</c:v>
                </c:pt>
                <c:pt idx="5">
                  <c:v>-55.841386851000003</c:v>
                </c:pt>
                <c:pt idx="6">
                  <c:v>-55.841386851000003</c:v>
                </c:pt>
                <c:pt idx="7">
                  <c:v>-55.841386851000003</c:v>
                </c:pt>
                <c:pt idx="8">
                  <c:v>-55.841386851000003</c:v>
                </c:pt>
                <c:pt idx="9">
                  <c:v>-43.425479090000017</c:v>
                </c:pt>
                <c:pt idx="10">
                  <c:v>-60.263664150000004</c:v>
                </c:pt>
                <c:pt idx="11">
                  <c:v>-76.342268039999993</c:v>
                </c:pt>
              </c:numCache>
            </c:numRef>
          </c:val>
          <c:extLst>
            <c:ext xmlns:c16="http://schemas.microsoft.com/office/drawing/2014/chart" uri="{C3380CC4-5D6E-409C-BE32-E72D297353CC}">
              <c16:uniqueId val="{00000003-510E-484D-8799-64B0C60D7FAB}"/>
            </c:ext>
          </c:extLst>
        </c:ser>
        <c:ser>
          <c:idx val="4"/>
          <c:order val="4"/>
          <c:tx>
            <c:strRef>
              <c:f>'[0 Диаграммалар 2016-2020 9 ой.xlsx]Вторичный'!$A$53</c:f>
              <c:strCache>
                <c:ptCount val="1"/>
                <c:pt idx="0">
                  <c:v>Other (received)</c:v>
                </c:pt>
              </c:strCache>
            </c:strRef>
          </c:tx>
          <c:spPr>
            <a:solidFill>
              <a:schemeClr val="accent3"/>
            </a:solidFill>
            <a:ln>
              <a:noFill/>
            </a:ln>
            <a:effectLst/>
          </c:spPr>
          <c:invertIfNegative val="0"/>
          <c:cat>
            <c:strRef>
              <c:f>'[0 Диаграммалар 2016-2020 9 ой.xlsx]Вторичный'!$D$46:$O$46</c:f>
              <c:strCache>
                <c:ptCount val="12"/>
                <c:pt idx="0">
                  <c:v>I-2018</c:v>
                </c:pt>
                <c:pt idx="1">
                  <c:v>II-2018</c:v>
                </c:pt>
                <c:pt idx="2">
                  <c:v>III-2018</c:v>
                </c:pt>
                <c:pt idx="3">
                  <c:v>IV-2018</c:v>
                </c:pt>
                <c:pt idx="4">
                  <c:v>I-2019</c:v>
                </c:pt>
                <c:pt idx="5">
                  <c:v>II-2019</c:v>
                </c:pt>
                <c:pt idx="6">
                  <c:v>III-2019</c:v>
                </c:pt>
                <c:pt idx="7">
                  <c:v>IV-2019</c:v>
                </c:pt>
                <c:pt idx="8">
                  <c:v>I-2020</c:v>
                </c:pt>
                <c:pt idx="9">
                  <c:v>II-2020</c:v>
                </c:pt>
                <c:pt idx="10">
                  <c:v>III-2020</c:v>
                </c:pt>
                <c:pt idx="11">
                  <c:v>IV-2020</c:v>
                </c:pt>
              </c:strCache>
            </c:strRef>
          </c:cat>
          <c:val>
            <c:numRef>
              <c:f>'[0 Диаграммалар 2016-2020 9 ой.xlsx]Вторичный'!$D$53:$O$53</c:f>
              <c:numCache>
                <c:formatCode>_-* #\ ##0_р_._-;\-* #\ ##0_р_._-;_-* "-"??_р_._-;_-@_-</c:formatCode>
                <c:ptCount val="12"/>
                <c:pt idx="0">
                  <c:v>32.665598608716074</c:v>
                </c:pt>
                <c:pt idx="1">
                  <c:v>39.157765955009289</c:v>
                </c:pt>
                <c:pt idx="2">
                  <c:v>14.887231072460523</c:v>
                </c:pt>
                <c:pt idx="3">
                  <c:v>50.646317280594658</c:v>
                </c:pt>
                <c:pt idx="4">
                  <c:v>36.695</c:v>
                </c:pt>
                <c:pt idx="5">
                  <c:v>29.32307668291012</c:v>
                </c:pt>
                <c:pt idx="6">
                  <c:v>22.799507473367637</c:v>
                </c:pt>
                <c:pt idx="7">
                  <c:v>26.098998855185325</c:v>
                </c:pt>
                <c:pt idx="8">
                  <c:v>24.443475894362873</c:v>
                </c:pt>
                <c:pt idx="9">
                  <c:v>13.083931548933361</c:v>
                </c:pt>
                <c:pt idx="10">
                  <c:v>16.85583124347211</c:v>
                </c:pt>
                <c:pt idx="11">
                  <c:v>16.635300951507364</c:v>
                </c:pt>
              </c:numCache>
            </c:numRef>
          </c:val>
          <c:extLst>
            <c:ext xmlns:c16="http://schemas.microsoft.com/office/drawing/2014/chart" uri="{C3380CC4-5D6E-409C-BE32-E72D297353CC}">
              <c16:uniqueId val="{00000004-510E-484D-8799-64B0C60D7FAB}"/>
            </c:ext>
          </c:extLst>
        </c:ser>
        <c:ser>
          <c:idx val="5"/>
          <c:order val="5"/>
          <c:tx>
            <c:strRef>
              <c:f>'[0 Диаграммалар 2016-2020 9 ой.xlsx]Вторичный'!$A$54</c:f>
              <c:strCache>
                <c:ptCount val="1"/>
                <c:pt idx="0">
                  <c:v>Other (paid)</c:v>
                </c:pt>
              </c:strCache>
            </c:strRef>
          </c:tx>
          <c:spPr>
            <a:solidFill>
              <a:schemeClr val="accent6"/>
            </a:solidFill>
            <a:ln>
              <a:noFill/>
            </a:ln>
            <a:effectLst/>
          </c:spPr>
          <c:invertIfNegative val="0"/>
          <c:cat>
            <c:strRef>
              <c:f>'[0 Диаграммалар 2016-2020 9 ой.xlsx]Вторичный'!$D$46:$O$46</c:f>
              <c:strCache>
                <c:ptCount val="12"/>
                <c:pt idx="0">
                  <c:v>I-2018</c:v>
                </c:pt>
                <c:pt idx="1">
                  <c:v>II-2018</c:v>
                </c:pt>
                <c:pt idx="2">
                  <c:v>III-2018</c:v>
                </c:pt>
                <c:pt idx="3">
                  <c:v>IV-2018</c:v>
                </c:pt>
                <c:pt idx="4">
                  <c:v>I-2019</c:v>
                </c:pt>
                <c:pt idx="5">
                  <c:v>II-2019</c:v>
                </c:pt>
                <c:pt idx="6">
                  <c:v>III-2019</c:v>
                </c:pt>
                <c:pt idx="7">
                  <c:v>IV-2019</c:v>
                </c:pt>
                <c:pt idx="8">
                  <c:v>I-2020</c:v>
                </c:pt>
                <c:pt idx="9">
                  <c:v>II-2020</c:v>
                </c:pt>
                <c:pt idx="10">
                  <c:v>III-2020</c:v>
                </c:pt>
                <c:pt idx="11">
                  <c:v>IV-2020</c:v>
                </c:pt>
              </c:strCache>
            </c:strRef>
          </c:cat>
          <c:val>
            <c:numRef>
              <c:f>'[0 Диаграммалар 2016-2020 9 ой.xlsx]Вторичный'!$D$54:$O$54</c:f>
              <c:numCache>
                <c:formatCode>_-* #\ ##0_р_._-;\-* #\ ##0_р_._-;_-* "-"??_р_._-;_-@_-</c:formatCode>
                <c:ptCount val="12"/>
                <c:pt idx="0">
                  <c:v>-83.885312441989996</c:v>
                </c:pt>
                <c:pt idx="1">
                  <c:v>-100.86096341771501</c:v>
                </c:pt>
                <c:pt idx="2">
                  <c:v>-105.26283417249503</c:v>
                </c:pt>
                <c:pt idx="3">
                  <c:v>-92.809235128060024</c:v>
                </c:pt>
                <c:pt idx="4">
                  <c:v>-88.483253484105006</c:v>
                </c:pt>
                <c:pt idx="5">
                  <c:v>-92.748580966984989</c:v>
                </c:pt>
                <c:pt idx="6">
                  <c:v>-86.711636120509993</c:v>
                </c:pt>
                <c:pt idx="7">
                  <c:v>-77.434455569114988</c:v>
                </c:pt>
                <c:pt idx="8">
                  <c:v>-74.674279653365005</c:v>
                </c:pt>
                <c:pt idx="9">
                  <c:v>-44.178412326119997</c:v>
                </c:pt>
                <c:pt idx="10">
                  <c:v>-55.28213886546618</c:v>
                </c:pt>
                <c:pt idx="11">
                  <c:v>-27.326958196999698</c:v>
                </c:pt>
              </c:numCache>
            </c:numRef>
          </c:val>
          <c:extLst>
            <c:ext xmlns:c16="http://schemas.microsoft.com/office/drawing/2014/chart" uri="{C3380CC4-5D6E-409C-BE32-E72D297353CC}">
              <c16:uniqueId val="{00000005-510E-484D-8799-64B0C60D7FAB}"/>
            </c:ext>
          </c:extLst>
        </c:ser>
        <c:dLbls>
          <c:showLegendKey val="0"/>
          <c:showVal val="0"/>
          <c:showCatName val="0"/>
          <c:showSerName val="0"/>
          <c:showPercent val="0"/>
          <c:showBubbleSize val="0"/>
        </c:dLbls>
        <c:gapWidth val="135"/>
        <c:overlap val="100"/>
        <c:axId val="449684512"/>
        <c:axId val="349672320"/>
      </c:barChart>
      <c:lineChart>
        <c:grouping val="standard"/>
        <c:varyColors val="0"/>
        <c:ser>
          <c:idx val="6"/>
          <c:order val="6"/>
          <c:tx>
            <c:strRef>
              <c:f>'[0 Диаграммалар 2016-2020 9 ой.xlsx]Вторичный'!$A$55</c:f>
              <c:strCache>
                <c:ptCount val="1"/>
                <c:pt idx="0">
                  <c:v>Secondary income balance</c:v>
                </c:pt>
              </c:strCache>
            </c:strRef>
          </c:tx>
          <c:spPr>
            <a:ln w="31750" cap="rnd">
              <a:solidFill>
                <a:schemeClr val="accent1">
                  <a:lumMod val="60000"/>
                </a:schemeClr>
              </a:solidFill>
              <a:round/>
            </a:ln>
            <a:effectLst/>
          </c:spPr>
          <c:marker>
            <c:symbol val="circle"/>
            <c:size val="7"/>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w="12700">
                <a:solidFill>
                  <a:schemeClr val="lt2"/>
                </a:solidFill>
                <a:round/>
              </a:ln>
              <a:effectLst/>
            </c:spPr>
          </c:marker>
          <c:dLbls>
            <c:dLbl>
              <c:idx val="0"/>
              <c:layout>
                <c:manualLayout>
                  <c:x val="-2.7403585925599487E-2"/>
                  <c:y val="-5.79575393607360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10E-484D-8799-64B0C60D7FAB}"/>
                </c:ext>
              </c:extLst>
            </c:dLbl>
            <c:dLbl>
              <c:idx val="1"/>
              <c:layout>
                <c:manualLayout>
                  <c:x val="-3.068957146594329E-2"/>
                  <c:y val="-7.06805337040511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10E-484D-8799-64B0C60D7FAB}"/>
                </c:ext>
              </c:extLst>
            </c:dLbl>
            <c:dLbl>
              <c:idx val="2"/>
              <c:layout>
                <c:manualLayout>
                  <c:x val="-4.3049018752931616E-3"/>
                  <c:y val="-5.52932544561498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10E-484D-8799-64B0C60D7FAB}"/>
                </c:ext>
              </c:extLst>
            </c:dLbl>
            <c:dLbl>
              <c:idx val="3"/>
              <c:layout>
                <c:manualLayout>
                  <c:x val="3.9033058610863573E-3"/>
                  <c:y val="-4.88560192434423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10E-484D-8799-64B0C60D7FAB}"/>
                </c:ext>
              </c:extLst>
            </c:dLbl>
            <c:dLbl>
              <c:idx val="4"/>
              <c:layout>
                <c:manualLayout>
                  <c:x val="-1.3604300659663875E-2"/>
                  <c:y val="-1.1107332513668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10E-484D-8799-64B0C60D7FAB}"/>
                </c:ext>
              </c:extLst>
            </c:dLbl>
            <c:dLbl>
              <c:idx val="5"/>
              <c:layout>
                <c:manualLayout>
                  <c:x val="-3.5638032525192133E-2"/>
                  <c:y val="-7.443056328922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10E-484D-8799-64B0C60D7FAB}"/>
                </c:ext>
              </c:extLst>
            </c:dLbl>
            <c:dLbl>
              <c:idx val="6"/>
              <c:layout>
                <c:manualLayout>
                  <c:x val="1.6876145495282112E-3"/>
                  <c:y val="-3.81189062330663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10E-484D-8799-64B0C60D7FAB}"/>
                </c:ext>
              </c:extLst>
            </c:dLbl>
            <c:dLbl>
              <c:idx val="7"/>
              <c:layout>
                <c:manualLayout>
                  <c:x val="0"/>
                  <c:y val="5.32353913912084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10E-484D-8799-64B0C60D7FAB}"/>
                </c:ext>
              </c:extLst>
            </c:dLbl>
            <c:dLbl>
              <c:idx val="8"/>
              <c:layout>
                <c:manualLayout>
                  <c:x val="-4.7889853337324158E-2"/>
                  <c:y val="-7.8951177614426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10E-484D-8799-64B0C60D7FAB}"/>
                </c:ext>
              </c:extLst>
            </c:dLbl>
            <c:dLbl>
              <c:idx val="9"/>
              <c:layout>
                <c:manualLayout>
                  <c:x val="-4.3899032225880472E-2"/>
                  <c:y val="-6.07698124113223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10E-484D-8799-64B0C60D7FAB}"/>
                </c:ext>
              </c:extLst>
            </c:dLbl>
            <c:dLbl>
              <c:idx val="10"/>
              <c:layout>
                <c:manualLayout>
                  <c:x val="-2.8690075817745318E-2"/>
                  <c:y val="-7.3876978002334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10E-484D-8799-64B0C60D7FAB}"/>
                </c:ext>
              </c:extLst>
            </c:dLbl>
            <c:dLbl>
              <c:idx val="11"/>
              <c:layout>
                <c:manualLayout>
                  <c:x val="-5.9862316671655197E-3"/>
                  <c:y val="-5.3788957443442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10E-484D-8799-64B0C60D7FA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'[0 Диаграммалар 2016-2020 9 ой.xlsx]Вторичный'!$D$46:$O$46</c:f>
              <c:strCache>
                <c:ptCount val="12"/>
                <c:pt idx="0">
                  <c:v>I-2018</c:v>
                </c:pt>
                <c:pt idx="1">
                  <c:v>II-2018</c:v>
                </c:pt>
                <c:pt idx="2">
                  <c:v>III-2018</c:v>
                </c:pt>
                <c:pt idx="3">
                  <c:v>IV-2018</c:v>
                </c:pt>
                <c:pt idx="4">
                  <c:v>I-2019</c:v>
                </c:pt>
                <c:pt idx="5">
                  <c:v>II-2019</c:v>
                </c:pt>
                <c:pt idx="6">
                  <c:v>III-2019</c:v>
                </c:pt>
                <c:pt idx="7">
                  <c:v>IV-2019</c:v>
                </c:pt>
                <c:pt idx="8">
                  <c:v>I-2020</c:v>
                </c:pt>
                <c:pt idx="9">
                  <c:v>II-2020</c:v>
                </c:pt>
                <c:pt idx="10">
                  <c:v>III-2020</c:v>
                </c:pt>
                <c:pt idx="11">
                  <c:v>IV-2020</c:v>
                </c:pt>
              </c:strCache>
            </c:strRef>
          </c:cat>
          <c:val>
            <c:numRef>
              <c:f>'[0 Диаграммалар 2016-2020 9 ой.xlsx]Вторичный'!$D$55:$O$55</c:f>
              <c:numCache>
                <c:formatCode>_-* #\ ##0_р_._-;\-* #\ ##0_р_._-;_-* "-"??_р_._-;_-@_-</c:formatCode>
                <c:ptCount val="12"/>
                <c:pt idx="0">
                  <c:v>800.79639634372131</c:v>
                </c:pt>
                <c:pt idx="1">
                  <c:v>1010.5402757472447</c:v>
                </c:pt>
                <c:pt idx="2">
                  <c:v>1242.7358994793246</c:v>
                </c:pt>
                <c:pt idx="3">
                  <c:v>1153.6183879719263</c:v>
                </c:pt>
                <c:pt idx="4">
                  <c:v>862.69022311319122</c:v>
                </c:pt>
                <c:pt idx="5">
                  <c:v>1299.2012321381824</c:v>
                </c:pt>
                <c:pt idx="6">
                  <c:v>1714.3704906192825</c:v>
                </c:pt>
                <c:pt idx="7">
                  <c:v>1578.2878563829374</c:v>
                </c:pt>
                <c:pt idx="8">
                  <c:v>1018.0378083500203</c:v>
                </c:pt>
                <c:pt idx="9">
                  <c:v>1122.9743224081376</c:v>
                </c:pt>
                <c:pt idx="10">
                  <c:v>1466.9411959320669</c:v>
                </c:pt>
                <c:pt idx="11">
                  <c:v>1531.5358976590185</c:v>
                </c:pt>
              </c:numCache>
            </c:numRef>
          </c:val>
          <c:smooth val="0"/>
          <c:extLst>
            <c:ext xmlns:c16="http://schemas.microsoft.com/office/drawing/2014/chart" uri="{C3380CC4-5D6E-409C-BE32-E72D297353CC}">
              <c16:uniqueId val="{00000011-510E-484D-8799-64B0C60D7FAB}"/>
            </c:ext>
          </c:extLst>
        </c:ser>
        <c:dLbls>
          <c:showLegendKey val="0"/>
          <c:showVal val="0"/>
          <c:showCatName val="0"/>
          <c:showSerName val="0"/>
          <c:showPercent val="0"/>
          <c:showBubbleSize val="0"/>
        </c:dLbls>
        <c:marker val="1"/>
        <c:smooth val="0"/>
        <c:axId val="449684512"/>
        <c:axId val="349672320"/>
      </c:lineChart>
      <c:catAx>
        <c:axId val="449684512"/>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crossAx val="349672320"/>
        <c:crosses val="autoZero"/>
        <c:auto val="1"/>
        <c:lblAlgn val="ctr"/>
        <c:lblOffset val="100"/>
        <c:noMultiLvlLbl val="0"/>
      </c:catAx>
      <c:valAx>
        <c:axId val="349672320"/>
        <c:scaling>
          <c:orientation val="minMax"/>
          <c:max val="2000"/>
          <c:min val="-200"/>
        </c:scaling>
        <c:delete val="0"/>
        <c:axPos val="l"/>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crossAx val="449684512"/>
        <c:crosses val="autoZero"/>
        <c:crossBetween val="between"/>
        <c:majorUnit val="200"/>
      </c:valAx>
      <c:spPr>
        <a:noFill/>
        <a:ln>
          <a:noFill/>
        </a:ln>
        <a:effectLst/>
      </c:spPr>
    </c:plotArea>
    <c:legend>
      <c:legendPos val="b"/>
      <c:layout>
        <c:manualLayout>
          <c:xMode val="edge"/>
          <c:yMode val="edge"/>
          <c:x val="0.17706546289052996"/>
          <c:y val="0.81404155369053977"/>
          <c:w val="0.66507921461775221"/>
          <c:h val="0.1701878378806288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245117269254693E-2"/>
          <c:y val="3.814827954228002E-2"/>
          <c:w val="0.88053415354840936"/>
          <c:h val="0.68245193984743657"/>
        </c:manualLayout>
      </c:layout>
      <c:areaChart>
        <c:grouping val="stacked"/>
        <c:varyColors val="0"/>
        <c:ser>
          <c:idx val="0"/>
          <c:order val="0"/>
          <c:tx>
            <c:strRef>
              <c:f>'[0 Диаграммалар 2016-2020 9 ой.xlsx]ДП 10д '!$A$6</c:f>
              <c:strCache>
                <c:ptCount val="1"/>
                <c:pt idx="0">
                  <c:v>money transfers to residents of Uzbekistan</c:v>
                </c:pt>
              </c:strCache>
            </c:strRef>
          </c:tx>
          <c:spPr>
            <a:gradFill>
              <a:gsLst>
                <a:gs pos="100000">
                  <a:schemeClr val="accent1"/>
                </a:gs>
                <a:gs pos="0">
                  <a:schemeClr val="accent1">
                    <a:lumMod val="75000"/>
                  </a:schemeClr>
                </a:gs>
              </a:gsLst>
              <a:lin ang="0" scaled="1"/>
            </a:gradFill>
            <a:ln w="25400">
              <a:noFill/>
            </a:ln>
            <a:effectLst>
              <a:innerShdw dist="12700" dir="16200000">
                <a:schemeClr val="lt1">
                  <a:alpha val="75000"/>
                </a:schemeClr>
              </a:innerShdw>
            </a:effectLst>
          </c:spPr>
          <c:cat>
            <c:multiLvlStrRef>
              <c:f>'[0 Диаграммалар 2016-2020 9 ой.xlsx]ДП 10д '!$T$4:$AE$5</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2018</c:v>
                  </c:pt>
                  <c:pt idx="4">
                    <c:v>2019</c:v>
                  </c:pt>
                  <c:pt idx="8">
                    <c:v>2020</c:v>
                  </c:pt>
                </c:lvl>
              </c:multiLvlStrCache>
            </c:multiLvlStrRef>
          </c:cat>
          <c:val>
            <c:numRef>
              <c:f>'[0 Диаграммалар 2016-2020 9 ой.xlsx]ДП 10д '!$T$6:$AE$6</c:f>
              <c:numCache>
                <c:formatCode>#\ ##0_ ;\-#\ ##0\ </c:formatCode>
                <c:ptCount val="12"/>
                <c:pt idx="0">
                  <c:v>924.77674158999992</c:v>
                </c:pt>
                <c:pt idx="1">
                  <c:v>1254.6990115999999</c:v>
                </c:pt>
                <c:pt idx="2">
                  <c:v>1521.0086074000001</c:v>
                </c:pt>
                <c:pt idx="3">
                  <c:v>1243.4161889600007</c:v>
                </c:pt>
                <c:pt idx="4">
                  <c:v>961.99120064999988</c:v>
                </c:pt>
                <c:pt idx="5">
                  <c:v>1457.8325513799998</c:v>
                </c:pt>
                <c:pt idx="6">
                  <c:v>1829.5085330099989</c:v>
                </c:pt>
                <c:pt idx="7">
                  <c:v>1523.8606943899997</c:v>
                </c:pt>
                <c:pt idx="8">
                  <c:v>1058.9348318100001</c:v>
                </c:pt>
                <c:pt idx="9">
                  <c:v>1336.9024860700001</c:v>
                </c:pt>
                <c:pt idx="10">
                  <c:v>1811.6085510000003</c:v>
                </c:pt>
                <c:pt idx="11">
                  <c:v>1725.5101991700003</c:v>
                </c:pt>
              </c:numCache>
            </c:numRef>
          </c:val>
          <c:extLst>
            <c:ext xmlns:c16="http://schemas.microsoft.com/office/drawing/2014/chart" uri="{C3380CC4-5D6E-409C-BE32-E72D297353CC}">
              <c16:uniqueId val="{00000000-E1BD-48F0-BC28-3640A271BF14}"/>
            </c:ext>
          </c:extLst>
        </c:ser>
        <c:ser>
          <c:idx val="1"/>
          <c:order val="1"/>
          <c:tx>
            <c:strRef>
              <c:f>'[0 Диаграммалар 2016-2020 9 ой.xlsx]ДП 10д '!$A$7</c:f>
              <c:strCache>
                <c:ptCount val="1"/>
                <c:pt idx="0">
                  <c:v>imports of FX cash by residents of Uzbekistan</c:v>
                </c:pt>
              </c:strCache>
            </c:strRef>
          </c:tx>
          <c:spPr>
            <a:gradFill>
              <a:gsLst>
                <a:gs pos="100000">
                  <a:schemeClr val="accent2"/>
                </a:gs>
                <a:gs pos="0">
                  <a:schemeClr val="accent2">
                    <a:lumMod val="75000"/>
                  </a:schemeClr>
                </a:gs>
              </a:gsLst>
              <a:lin ang="0" scaled="1"/>
            </a:gradFill>
            <a:ln w="25400">
              <a:noFill/>
            </a:ln>
            <a:effectLst>
              <a:innerShdw dist="12700" dir="16200000">
                <a:schemeClr val="lt1">
                  <a:alpha val="75000"/>
                </a:schemeClr>
              </a:innerShdw>
            </a:effectLst>
          </c:spPr>
          <c:cat>
            <c:multiLvlStrRef>
              <c:f>'[0 Диаграммалар 2016-2020 9 ой.xlsx]ДП 10д '!$T$4:$AE$5</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2018</c:v>
                  </c:pt>
                  <c:pt idx="4">
                    <c:v>2019</c:v>
                  </c:pt>
                  <c:pt idx="8">
                    <c:v>2020</c:v>
                  </c:pt>
                </c:lvl>
              </c:multiLvlStrCache>
            </c:multiLvlStrRef>
          </c:cat>
          <c:val>
            <c:numRef>
              <c:f>'[0 Диаграммалар 2016-2020 9 ой.xlsx]ДП 10д '!$T$7:$AE$7</c:f>
              <c:numCache>
                <c:formatCode>#\ ##0_ ;\-#\ ##0\ </c:formatCode>
                <c:ptCount val="12"/>
                <c:pt idx="0">
                  <c:v>303.04646062565962</c:v>
                </c:pt>
                <c:pt idx="1">
                  <c:v>282.65886470153981</c:v>
                </c:pt>
                <c:pt idx="2">
                  <c:v>303.37912608256181</c:v>
                </c:pt>
                <c:pt idx="3">
                  <c:v>394.42677484367482</c:v>
                </c:pt>
                <c:pt idx="4">
                  <c:v>339.59628216422203</c:v>
                </c:pt>
                <c:pt idx="5">
                  <c:v>323.67993483904303</c:v>
                </c:pt>
                <c:pt idx="6">
                  <c:v>365.81723528311721</c:v>
                </c:pt>
                <c:pt idx="7">
                  <c:v>476.71543788981364</c:v>
                </c:pt>
                <c:pt idx="8">
                  <c:v>345.13068375095355</c:v>
                </c:pt>
                <c:pt idx="9">
                  <c:v>0</c:v>
                </c:pt>
                <c:pt idx="10">
                  <c:v>0</c:v>
                </c:pt>
                <c:pt idx="11">
                  <c:v>0</c:v>
                </c:pt>
              </c:numCache>
            </c:numRef>
          </c:val>
          <c:extLst>
            <c:ext xmlns:c16="http://schemas.microsoft.com/office/drawing/2014/chart" uri="{C3380CC4-5D6E-409C-BE32-E72D297353CC}">
              <c16:uniqueId val="{00000001-E1BD-48F0-BC28-3640A271BF14}"/>
            </c:ext>
          </c:extLst>
        </c:ser>
        <c:ser>
          <c:idx val="2"/>
          <c:order val="2"/>
          <c:tx>
            <c:strRef>
              <c:f>'[0 Диаграммалар 2016-2020 9 ой.xlsx]ДП 10д '!$A$8</c:f>
              <c:strCache>
                <c:ptCount val="1"/>
                <c:pt idx="0">
                  <c:v>money transfers to residents of other countries</c:v>
                </c:pt>
              </c:strCache>
            </c:strRef>
          </c:tx>
          <c:spPr>
            <a:gradFill>
              <a:gsLst>
                <a:gs pos="100000">
                  <a:schemeClr val="accent3"/>
                </a:gs>
                <a:gs pos="0">
                  <a:schemeClr val="accent3">
                    <a:lumMod val="75000"/>
                  </a:schemeClr>
                </a:gs>
              </a:gsLst>
              <a:lin ang="0" scaled="1"/>
            </a:gradFill>
            <a:ln w="25400">
              <a:noFill/>
            </a:ln>
            <a:effectLst>
              <a:innerShdw dist="12700" dir="16200000">
                <a:schemeClr val="lt1">
                  <a:alpha val="75000"/>
                </a:schemeClr>
              </a:innerShdw>
            </a:effectLst>
          </c:spPr>
          <c:cat>
            <c:multiLvlStrRef>
              <c:f>'[0 Диаграммалар 2016-2020 9 ой.xlsx]ДП 10д '!$T$4:$AE$5</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2018</c:v>
                  </c:pt>
                  <c:pt idx="4">
                    <c:v>2019</c:v>
                  </c:pt>
                  <c:pt idx="8">
                    <c:v>2020</c:v>
                  </c:pt>
                </c:lvl>
              </c:multiLvlStrCache>
            </c:multiLvlStrRef>
          </c:cat>
          <c:val>
            <c:numRef>
              <c:f>'[0 Диаграммалар 2016-2020 9 ой.xlsx]ДП 10д '!$T$8:$AE$8</c:f>
              <c:numCache>
                <c:formatCode>#\ ##0_ ;\-#\ ##0\ </c:formatCode>
                <c:ptCount val="12"/>
                <c:pt idx="0">
                  <c:v>24.736328530000002</c:v>
                </c:pt>
                <c:pt idx="1">
                  <c:v>80.35476663</c:v>
                </c:pt>
                <c:pt idx="2">
                  <c:v>23.538582329999997</c:v>
                </c:pt>
                <c:pt idx="3">
                  <c:v>42.261233480000001</c:v>
                </c:pt>
                <c:pt idx="4">
                  <c:v>103.22876814999998</c:v>
                </c:pt>
                <c:pt idx="5">
                  <c:v>70.971862380000005</c:v>
                </c:pt>
                <c:pt idx="6">
                  <c:v>32.920138360000003</c:v>
                </c:pt>
                <c:pt idx="7">
                  <c:v>30.045669260000004</c:v>
                </c:pt>
                <c:pt idx="8">
                  <c:v>22.437623240000001</c:v>
                </c:pt>
                <c:pt idx="9">
                  <c:v>18.830138040000072</c:v>
                </c:pt>
                <c:pt idx="10">
                  <c:v>31.770658910000002</c:v>
                </c:pt>
                <c:pt idx="11">
                  <c:v>21.137073789999999</c:v>
                </c:pt>
              </c:numCache>
            </c:numRef>
          </c:val>
          <c:extLst>
            <c:ext xmlns:c16="http://schemas.microsoft.com/office/drawing/2014/chart" uri="{C3380CC4-5D6E-409C-BE32-E72D297353CC}">
              <c16:uniqueId val="{00000002-E1BD-48F0-BC28-3640A271BF14}"/>
            </c:ext>
          </c:extLst>
        </c:ser>
        <c:ser>
          <c:idx val="3"/>
          <c:order val="3"/>
          <c:tx>
            <c:strRef>
              <c:f>'[0 Диаграммалар 2016-2020 9 ой.xlsx]ДП 10д '!$A$9</c:f>
              <c:strCache>
                <c:ptCount val="1"/>
                <c:pt idx="0">
                  <c:v>imports of FX cash by residents of other countries</c:v>
                </c:pt>
              </c:strCache>
            </c:strRef>
          </c:tx>
          <c:spPr>
            <a:gradFill>
              <a:gsLst>
                <a:gs pos="100000">
                  <a:schemeClr val="accent4"/>
                </a:gs>
                <a:gs pos="0">
                  <a:schemeClr val="accent4">
                    <a:lumMod val="75000"/>
                  </a:schemeClr>
                </a:gs>
              </a:gsLst>
              <a:lin ang="0" scaled="1"/>
            </a:gradFill>
            <a:ln w="25400">
              <a:noFill/>
            </a:ln>
            <a:effectLst>
              <a:innerShdw dist="12700" dir="16200000">
                <a:schemeClr val="lt1">
                  <a:alpha val="75000"/>
                </a:schemeClr>
              </a:innerShdw>
            </a:effectLst>
          </c:spPr>
          <c:cat>
            <c:multiLvlStrRef>
              <c:f>'[0 Диаграммалар 2016-2020 9 ой.xlsx]ДП 10д '!$T$4:$AE$5</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2018</c:v>
                  </c:pt>
                  <c:pt idx="4">
                    <c:v>2019</c:v>
                  </c:pt>
                  <c:pt idx="8">
                    <c:v>2020</c:v>
                  </c:pt>
                </c:lvl>
              </c:multiLvlStrCache>
            </c:multiLvlStrRef>
          </c:cat>
          <c:val>
            <c:numRef>
              <c:f>'[0 Диаграммалар 2016-2020 9 ой.xlsx]ДП 10д '!$T$9:$AE$9</c:f>
              <c:numCache>
                <c:formatCode>#\ ##0_ ;\-#\ ##0\ </c:formatCode>
                <c:ptCount val="12"/>
                <c:pt idx="0">
                  <c:v>472.33990164061368</c:v>
                </c:pt>
                <c:pt idx="1">
                  <c:v>286.60968749138101</c:v>
                </c:pt>
                <c:pt idx="2">
                  <c:v>231.93153924399181</c:v>
                </c:pt>
                <c:pt idx="3">
                  <c:v>587.35251242672723</c:v>
                </c:pt>
                <c:pt idx="4">
                  <c:v>529.30786316989202</c:v>
                </c:pt>
                <c:pt idx="5">
                  <c:v>328.20412361524393</c:v>
                </c:pt>
                <c:pt idx="6">
                  <c:v>279.66510272728925</c:v>
                </c:pt>
                <c:pt idx="7">
                  <c:v>710</c:v>
                </c:pt>
                <c:pt idx="8">
                  <c:v>537.93399493767265</c:v>
                </c:pt>
                <c:pt idx="9">
                  <c:v>0</c:v>
                </c:pt>
                <c:pt idx="10">
                  <c:v>0</c:v>
                </c:pt>
                <c:pt idx="11">
                  <c:v>0</c:v>
                </c:pt>
              </c:numCache>
            </c:numRef>
          </c:val>
          <c:extLst>
            <c:ext xmlns:c16="http://schemas.microsoft.com/office/drawing/2014/chart" uri="{C3380CC4-5D6E-409C-BE32-E72D297353CC}">
              <c16:uniqueId val="{00000003-E1BD-48F0-BC28-3640A271BF14}"/>
            </c:ext>
          </c:extLst>
        </c:ser>
        <c:dLbls>
          <c:showLegendKey val="0"/>
          <c:showVal val="0"/>
          <c:showCatName val="0"/>
          <c:showSerName val="0"/>
          <c:showPercent val="0"/>
          <c:showBubbleSize val="0"/>
        </c:dLbls>
        <c:axId val="397438608"/>
        <c:axId val="397439440"/>
      </c:areaChart>
      <c:catAx>
        <c:axId val="397438608"/>
        <c:scaling>
          <c:orientation val="minMax"/>
        </c:scaling>
        <c:delete val="0"/>
        <c:axPos val="b"/>
        <c:majorGridlines>
          <c:spPr>
            <a:ln w="9525" cap="flat" cmpd="sng" algn="ctr">
              <a:solidFill>
                <a:schemeClr val="bg1">
                  <a:lumMod val="75000"/>
                </a:schemeClr>
              </a:solidFill>
              <a:prstDash val="sysDot"/>
              <a:round/>
            </a:ln>
            <a:effectLst/>
          </c:spPr>
        </c:majorGridlines>
        <c:numFmt formatCode="General" sourceLinked="1"/>
        <c:majorTickMark val="none"/>
        <c:minorTickMark val="none"/>
        <c:tickLblPos val="nextTo"/>
        <c:spPr>
          <a:noFill/>
          <a:ln w="6350" cap="flat" cmpd="sng" algn="ctr">
            <a:solidFill>
              <a:schemeClr val="accent3"/>
            </a:solidFill>
            <a:prstDash val="solid"/>
            <a:miter lim="800000"/>
            <a:headEnd type="none" w="sm" len="sm"/>
            <a:tailEnd type="none" w="sm" len="sm"/>
          </a:ln>
          <a:effectLst/>
        </c:spPr>
        <c:txPr>
          <a:bodyPr rot="-60000000" spcFirstLastPara="1" vertOverflow="ellipsis" vert="horz" wrap="square" anchor="ctr" anchorCtr="1"/>
          <a:lstStyle/>
          <a:p>
            <a:pPr>
              <a:defRPr sz="1000" b="0" i="0" u="none" strike="noStrike" kern="1200" cap="all" baseline="0">
                <a:solidFill>
                  <a:schemeClr val="tx1"/>
                </a:solidFill>
                <a:latin typeface="+mn-lt"/>
                <a:ea typeface="+mn-ea"/>
                <a:cs typeface="+mn-cs"/>
              </a:defRPr>
            </a:pPr>
            <a:endParaRPr lang="ru-RU"/>
          </a:p>
        </c:txPr>
        <c:crossAx val="397439440"/>
        <c:crossesAt val="0"/>
        <c:auto val="1"/>
        <c:lblAlgn val="ctr"/>
        <c:lblOffset val="100"/>
        <c:noMultiLvlLbl val="0"/>
      </c:catAx>
      <c:valAx>
        <c:axId val="397439440"/>
        <c:scaling>
          <c:orientation val="minMax"/>
          <c:max val="3000"/>
          <c:min val="0"/>
        </c:scaling>
        <c:delete val="0"/>
        <c:axPos val="l"/>
        <c:majorGridlines>
          <c:spPr>
            <a:ln w="9525" cap="flat" cmpd="sng" algn="ctr">
              <a:solidFill>
                <a:schemeClr val="bg1">
                  <a:lumMod val="75000"/>
                </a:schemeClr>
              </a:solidFill>
              <a:prstDash val="sysDot"/>
              <a:round/>
            </a:ln>
            <a:effectLst>
              <a:glow>
                <a:schemeClr val="accent1">
                  <a:alpha val="40000"/>
                </a:schemeClr>
              </a:glow>
              <a:softEdge rad="0"/>
            </a:effectLst>
          </c:spPr>
        </c:majorGridlines>
        <c:numFmt formatCode="0" sourceLinked="0"/>
        <c:majorTickMark val="out"/>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97438608"/>
        <c:crosses val="autoZero"/>
        <c:crossBetween val="midCat"/>
        <c:majorUnit val="500"/>
      </c:valAx>
      <c:spPr>
        <a:noFill/>
        <a:ln>
          <a:noFill/>
        </a:ln>
        <a:effectLst>
          <a:softEdge rad="0"/>
        </a:effectLst>
      </c:spPr>
    </c:plotArea>
    <c:legend>
      <c:legendPos val="b"/>
      <c:layout>
        <c:manualLayout>
          <c:xMode val="edge"/>
          <c:yMode val="edge"/>
          <c:x val="2.679629625785883E-3"/>
          <c:y val="0.85651519605120752"/>
          <c:w val="0.9948462083237144"/>
          <c:h val="0.13193155173511451"/>
        </c:manualLayout>
      </c:layout>
      <c:overlay val="0"/>
      <c:spPr>
        <a:noFill/>
        <a:ln>
          <a:noFill/>
        </a:ln>
        <a:effectLst/>
      </c:spPr>
      <c:txPr>
        <a:bodyPr rot="0" spcFirstLastPara="1" vertOverflow="ellipsis" vert="horz" wrap="square" anchor="b" anchorCtr="0"/>
        <a:lstStyle/>
        <a:p>
          <a:pPr>
            <a:defRPr sz="850" b="0" i="0" u="none" strike="noStrike" kern="1200" baseline="0">
              <a:ln>
                <a:noFill/>
              </a:ln>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lumMod val="95000"/>
        </a:schemeClr>
      </a:solidFill>
      <a:round/>
    </a:ln>
    <a:effectLst>
      <a:outerShdw sx="1000" sy="1000" algn="ctr" rotWithShape="0">
        <a:schemeClr val="bg2">
          <a:lumMod val="90000"/>
        </a:schemeClr>
      </a:outerShdw>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solidFill>
                <a:schemeClr val="accent1"/>
              </a:solidFill>
            </a:ln>
            <a:effectLst/>
          </c:spPr>
          <c:invertIfNegative val="0"/>
          <c:dPt>
            <c:idx val="0"/>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1-45DA-40BA-9CAF-E2766CF67B90}"/>
              </c:ext>
            </c:extLst>
          </c:dPt>
          <c:dPt>
            <c:idx val="1"/>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3-45DA-40BA-9CAF-E2766CF67B90}"/>
              </c:ext>
            </c:extLst>
          </c:dPt>
          <c:dPt>
            <c:idx val="2"/>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5-45DA-40BA-9CAF-E2766CF67B90}"/>
              </c:ext>
            </c:extLst>
          </c:dPt>
          <c:dPt>
            <c:idx val="3"/>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7-45DA-40BA-9CAF-E2766CF67B90}"/>
              </c:ext>
            </c:extLst>
          </c:dPt>
          <c:dPt>
            <c:idx val="4"/>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9-45DA-40BA-9CAF-E2766CF67B90}"/>
              </c:ext>
            </c:extLst>
          </c:dPt>
          <c:dPt>
            <c:idx val="5"/>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B-45DA-40BA-9CAF-E2766CF67B90}"/>
              </c:ext>
            </c:extLst>
          </c:dPt>
          <c:dPt>
            <c:idx val="6"/>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D-45DA-40BA-9CAF-E2766CF67B90}"/>
              </c:ext>
            </c:extLst>
          </c:dPt>
          <c:dPt>
            <c:idx val="7"/>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F-45DA-40BA-9CAF-E2766CF67B90}"/>
              </c:ext>
            </c:extLst>
          </c:dPt>
          <c:dPt>
            <c:idx val="8"/>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11-45DA-40BA-9CAF-E2766CF67B90}"/>
              </c:ext>
            </c:extLst>
          </c:dPt>
          <c:dPt>
            <c:idx val="9"/>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13-45DA-40BA-9CAF-E2766CF67B90}"/>
              </c:ext>
            </c:extLst>
          </c:dPt>
          <c:dPt>
            <c:idx val="10"/>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15-45DA-40BA-9CAF-E2766CF67B90}"/>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'[0 Диаграммалар 2016-2020 9 ой.xlsx]Капитал'!$B$1:$M$2</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2018</c:v>
                  </c:pt>
                  <c:pt idx="4">
                    <c:v>2019</c:v>
                  </c:pt>
                  <c:pt idx="8">
                    <c:v>2020</c:v>
                  </c:pt>
                </c:lvl>
              </c:multiLvlStrCache>
            </c:multiLvlStrRef>
          </c:cat>
          <c:val>
            <c:numRef>
              <c:f>'[0 Диаграммалар 2016-2020 9 ой.xlsx]Капитал'!$B$3:$M$3</c:f>
              <c:numCache>
                <c:formatCode>_-* #\ ##0.0_р_._-;\-* #\ ##0.0_р_._-;_-* "-"??_р_._-;_-@_-</c:formatCode>
                <c:ptCount val="12"/>
                <c:pt idx="0">
                  <c:v>28.119090004761254</c:v>
                </c:pt>
                <c:pt idx="1">
                  <c:v>5.2177058563910954</c:v>
                </c:pt>
                <c:pt idx="2">
                  <c:v>69.693085538793582</c:v>
                </c:pt>
                <c:pt idx="3">
                  <c:v>40</c:v>
                </c:pt>
                <c:pt idx="4">
                  <c:v>135.118774</c:v>
                </c:pt>
                <c:pt idx="5">
                  <c:v>34.61</c:v>
                </c:pt>
                <c:pt idx="6">
                  <c:v>77.135728349999994</c:v>
                </c:pt>
                <c:pt idx="7">
                  <c:v>7.1321000000000003</c:v>
                </c:pt>
                <c:pt idx="8">
                  <c:v>0.15</c:v>
                </c:pt>
                <c:pt idx="9">
                  <c:v>15</c:v>
                </c:pt>
                <c:pt idx="10">
                  <c:v>10</c:v>
                </c:pt>
                <c:pt idx="11">
                  <c:v>0</c:v>
                </c:pt>
              </c:numCache>
            </c:numRef>
          </c:val>
          <c:extLst>
            <c:ext xmlns:c16="http://schemas.microsoft.com/office/drawing/2014/chart" uri="{C3380CC4-5D6E-409C-BE32-E72D297353CC}">
              <c16:uniqueId val="{00000016-45DA-40BA-9CAF-E2766CF67B90}"/>
            </c:ext>
          </c:extLst>
        </c:ser>
        <c:dLbls>
          <c:showLegendKey val="0"/>
          <c:showVal val="0"/>
          <c:showCatName val="0"/>
          <c:showSerName val="0"/>
          <c:showPercent val="0"/>
          <c:showBubbleSize val="0"/>
        </c:dLbls>
        <c:gapWidth val="152"/>
        <c:axId val="1135000944"/>
        <c:axId val="1135004688"/>
      </c:barChart>
      <c:catAx>
        <c:axId val="113500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1135004688"/>
        <c:crosses val="autoZero"/>
        <c:auto val="1"/>
        <c:lblAlgn val="ctr"/>
        <c:lblOffset val="100"/>
        <c:noMultiLvlLbl val="0"/>
      </c:catAx>
      <c:valAx>
        <c:axId val="1135004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1135000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mn-lt"/>
        </a:defRPr>
      </a:pPr>
      <a:endParaRPr lang="ru-RU"/>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685230049932167E-2"/>
          <c:y val="2.8741650354712468E-2"/>
          <c:w val="0.88828041756579224"/>
          <c:h val="0.73513040776582139"/>
        </c:manualLayout>
      </c:layout>
      <c:barChart>
        <c:barDir val="col"/>
        <c:grouping val="stacked"/>
        <c:varyColors val="0"/>
        <c:ser>
          <c:idx val="1"/>
          <c:order val="1"/>
          <c:tx>
            <c:strRef>
              <c:f>'[фин счёт для публикации (rus+uzb+eng).xlsx]прямые инвестиции (EN)'!$A$4</c:f>
              <c:strCache>
                <c:ptCount val="1"/>
                <c:pt idx="0">
                  <c:v>Net capital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multiLvlStrRef>
              <c:f>'[фин счёт для публикации (rus+uzb+eng).xlsx]прямые инвестиции (EN)'!$K$1:$V$2</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2018</c:v>
                  </c:pt>
                  <c:pt idx="4">
                    <c:v>2019</c:v>
                  </c:pt>
                  <c:pt idx="8">
                    <c:v>2020</c:v>
                  </c:pt>
                </c:lvl>
              </c:multiLvlStrCache>
            </c:multiLvlStrRef>
          </c:cat>
          <c:val>
            <c:numRef>
              <c:f>'[фин счёт для публикации (rus+uzb+eng).xlsx]прямые инвестиции (EN)'!$K$4:$V$4</c:f>
              <c:numCache>
                <c:formatCode>_-* #\ ##0_р_._-;\-* #\ ##0_р_._-;_-* "-"??_р_._-;_-@_-</c:formatCode>
                <c:ptCount val="12"/>
                <c:pt idx="0">
                  <c:v>99.04821333022312</c:v>
                </c:pt>
                <c:pt idx="1">
                  <c:v>25.163194195238475</c:v>
                </c:pt>
                <c:pt idx="2">
                  <c:v>84.725442102551909</c:v>
                </c:pt>
                <c:pt idx="3">
                  <c:v>91.495929734715077</c:v>
                </c:pt>
                <c:pt idx="4">
                  <c:v>158.09505052245134</c:v>
                </c:pt>
                <c:pt idx="5">
                  <c:v>963.20222964671962</c:v>
                </c:pt>
                <c:pt idx="6">
                  <c:v>486.61945472797544</c:v>
                </c:pt>
                <c:pt idx="7">
                  <c:v>469.30421758114647</c:v>
                </c:pt>
                <c:pt idx="8">
                  <c:v>165.26775928537702</c:v>
                </c:pt>
                <c:pt idx="9">
                  <c:v>331.96191832858938</c:v>
                </c:pt>
                <c:pt idx="10">
                  <c:v>305.04376807567354</c:v>
                </c:pt>
                <c:pt idx="11">
                  <c:v>515.59443475016485</c:v>
                </c:pt>
              </c:numCache>
            </c:numRef>
          </c:val>
          <c:extLst>
            <c:ext xmlns:c16="http://schemas.microsoft.com/office/drawing/2014/chart" uri="{C3380CC4-5D6E-409C-BE32-E72D297353CC}">
              <c16:uniqueId val="{00000000-4F4F-4A6A-A5D3-11BD8E655940}"/>
            </c:ext>
          </c:extLst>
        </c:ser>
        <c:ser>
          <c:idx val="2"/>
          <c:order val="2"/>
          <c:tx>
            <c:strRef>
              <c:f>'[фин счёт для публикации (rus+uzb+eng).xlsx]прямые инвестиции (EN)'!$A$5</c:f>
              <c:strCache>
                <c:ptCount val="1"/>
                <c:pt idx="0">
                  <c:v>Reinvested earnings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multiLvlStrRef>
              <c:f>'[фин счёт для публикации (rus+uzb+eng).xlsx]прямые инвестиции (EN)'!$K$1:$V$2</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2018</c:v>
                  </c:pt>
                  <c:pt idx="4">
                    <c:v>2019</c:v>
                  </c:pt>
                  <c:pt idx="8">
                    <c:v>2020</c:v>
                  </c:pt>
                </c:lvl>
              </c:multiLvlStrCache>
            </c:multiLvlStrRef>
          </c:cat>
          <c:val>
            <c:numRef>
              <c:f>'[фин счёт для публикации (rus+uzb+eng).xlsx]прямые инвестиции (EN)'!$K$5:$V$5</c:f>
              <c:numCache>
                <c:formatCode>_-* #\ ##0_р_._-;\-* #\ ##0_р_._-;_-* "-"??_р_._-;_-@_-</c:formatCode>
                <c:ptCount val="12"/>
                <c:pt idx="0">
                  <c:v>157.02416047931939</c:v>
                </c:pt>
                <c:pt idx="1">
                  <c:v>205.38820506411489</c:v>
                </c:pt>
                <c:pt idx="2">
                  <c:v>215.90312144037671</c:v>
                </c:pt>
                <c:pt idx="3">
                  <c:v>114.38909048335009</c:v>
                </c:pt>
                <c:pt idx="4">
                  <c:v>166.14682527516345</c:v>
                </c:pt>
                <c:pt idx="5">
                  <c:v>123.6776572293432</c:v>
                </c:pt>
                <c:pt idx="6">
                  <c:v>139.45120048187087</c:v>
                </c:pt>
                <c:pt idx="7">
                  <c:v>282.85064460985109</c:v>
                </c:pt>
                <c:pt idx="8">
                  <c:v>148.61723658435307</c:v>
                </c:pt>
                <c:pt idx="9">
                  <c:v>107.11801203197477</c:v>
                </c:pt>
                <c:pt idx="10">
                  <c:v>143.88577077111324</c:v>
                </c:pt>
                <c:pt idx="11">
                  <c:v>131.1050828442921</c:v>
                </c:pt>
              </c:numCache>
            </c:numRef>
          </c:val>
          <c:extLst>
            <c:ext xmlns:c16="http://schemas.microsoft.com/office/drawing/2014/chart" uri="{C3380CC4-5D6E-409C-BE32-E72D297353CC}">
              <c16:uniqueId val="{00000001-4F4F-4A6A-A5D3-11BD8E655940}"/>
            </c:ext>
          </c:extLst>
        </c:ser>
        <c:ser>
          <c:idx val="3"/>
          <c:order val="3"/>
          <c:tx>
            <c:strRef>
              <c:f>'[фин счёт для публикации (rus+uzb+eng).xlsx]прямые инвестиции (EN)'!$A$6</c:f>
              <c:strCache>
                <c:ptCount val="1"/>
                <c:pt idx="0">
                  <c:v>Debt instruments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multiLvlStrRef>
              <c:f>'[фин счёт для публикации (rus+uzb+eng).xlsx]прямые инвестиции (EN)'!$K$1:$V$2</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2018</c:v>
                  </c:pt>
                  <c:pt idx="4">
                    <c:v>2019</c:v>
                  </c:pt>
                  <c:pt idx="8">
                    <c:v>2020</c:v>
                  </c:pt>
                </c:lvl>
              </c:multiLvlStrCache>
            </c:multiLvlStrRef>
          </c:cat>
          <c:val>
            <c:numRef>
              <c:f>'[фин счёт для публикации (rus+uzb+eng).xlsx]прямые инвестиции (EN)'!$K$6:$V$6</c:f>
              <c:numCache>
                <c:formatCode>_-* #\ ##0_р_._-;\-* #\ ##0_р_._-;_-* "-"??_р_._-;_-@_-</c:formatCode>
                <c:ptCount val="12"/>
                <c:pt idx="0">
                  <c:v>24.136672659312353</c:v>
                </c:pt>
                <c:pt idx="1">
                  <c:v>-69.921675778608858</c:v>
                </c:pt>
                <c:pt idx="2">
                  <c:v>29.438826290469262</c:v>
                </c:pt>
                <c:pt idx="3">
                  <c:v>1.8454053633330005</c:v>
                </c:pt>
                <c:pt idx="4">
                  <c:v>17.49982682389151</c:v>
                </c:pt>
                <c:pt idx="5">
                  <c:v>48.823857625624697</c:v>
                </c:pt>
                <c:pt idx="6">
                  <c:v>55.030650858103691</c:v>
                </c:pt>
                <c:pt idx="7">
                  <c:v>47.352623634068863</c:v>
                </c:pt>
                <c:pt idx="8">
                  <c:v>65.051680136317984</c:v>
                </c:pt>
                <c:pt idx="9">
                  <c:v>36.787620883523694</c:v>
                </c:pt>
                <c:pt idx="10">
                  <c:v>27.908746781216646</c:v>
                </c:pt>
                <c:pt idx="11">
                  <c:v>23.491208497891037</c:v>
                </c:pt>
              </c:numCache>
            </c:numRef>
          </c:val>
          <c:extLst>
            <c:ext xmlns:c16="http://schemas.microsoft.com/office/drawing/2014/chart" uri="{C3380CC4-5D6E-409C-BE32-E72D297353CC}">
              <c16:uniqueId val="{00000002-4F4F-4A6A-A5D3-11BD8E655940}"/>
            </c:ext>
          </c:extLst>
        </c:ser>
        <c:ser>
          <c:idx val="4"/>
          <c:order val="4"/>
          <c:tx>
            <c:strRef>
              <c:f>'[фин счёт для публикации (rus+uzb+eng).xlsx]прямые инвестиции (EN)'!$A$7</c:f>
              <c:strCache>
                <c:ptCount val="1"/>
                <c:pt idx="0">
                  <c:v>Net receipts under PSA</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cat>
            <c:multiLvlStrRef>
              <c:f>'[фин счёт для публикации (rus+uzb+eng).xlsx]прямые инвестиции (EN)'!$K$1:$V$2</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2018</c:v>
                  </c:pt>
                  <c:pt idx="4">
                    <c:v>2019</c:v>
                  </c:pt>
                  <c:pt idx="8">
                    <c:v>2020</c:v>
                  </c:pt>
                </c:lvl>
              </c:multiLvlStrCache>
            </c:multiLvlStrRef>
          </c:cat>
          <c:val>
            <c:numRef>
              <c:f>'[фин счёт для публикации (rus+uzb+eng).xlsx]прямые инвестиции (EN)'!$K$7:$V$7</c:f>
              <c:numCache>
                <c:formatCode>_-* #\ ##0_р_._-;\-* #\ ##0_р_._-;_-* "-"??_р_._-;_-@_-</c:formatCode>
                <c:ptCount val="12"/>
                <c:pt idx="0">
                  <c:v>147.69063499999996</c:v>
                </c:pt>
                <c:pt idx="1">
                  <c:v>-162.37228200000001</c:v>
                </c:pt>
                <c:pt idx="2">
                  <c:v>-202.30064599999997</c:v>
                </c:pt>
                <c:pt idx="3">
                  <c:v>-136.96775686000001</c:v>
                </c:pt>
                <c:pt idx="4">
                  <c:v>-120.48472498000001</c:v>
                </c:pt>
                <c:pt idx="5">
                  <c:v>-303.55537082999996</c:v>
                </c:pt>
                <c:pt idx="6">
                  <c:v>-232.22087512000002</c:v>
                </c:pt>
                <c:pt idx="7">
                  <c:v>14.689694200000019</c:v>
                </c:pt>
                <c:pt idx="8">
                  <c:v>-111.87673188999997</c:v>
                </c:pt>
                <c:pt idx="9">
                  <c:v>2.196944672699999</c:v>
                </c:pt>
                <c:pt idx="10">
                  <c:v>-107.12</c:v>
                </c:pt>
                <c:pt idx="11">
                  <c:v>-59.345060941378563</c:v>
                </c:pt>
              </c:numCache>
            </c:numRef>
          </c:val>
          <c:extLst>
            <c:ext xmlns:c16="http://schemas.microsoft.com/office/drawing/2014/chart" uri="{C3380CC4-5D6E-409C-BE32-E72D297353CC}">
              <c16:uniqueId val="{00000003-4F4F-4A6A-A5D3-11BD8E655940}"/>
            </c:ext>
          </c:extLst>
        </c:ser>
        <c:dLbls>
          <c:showLegendKey val="0"/>
          <c:showVal val="0"/>
          <c:showCatName val="0"/>
          <c:showSerName val="0"/>
          <c:showPercent val="0"/>
          <c:showBubbleSize val="0"/>
        </c:dLbls>
        <c:gapWidth val="150"/>
        <c:overlap val="100"/>
        <c:axId val="55424512"/>
        <c:axId val="55426048"/>
      </c:barChart>
      <c:lineChart>
        <c:grouping val="standard"/>
        <c:varyColors val="0"/>
        <c:ser>
          <c:idx val="0"/>
          <c:order val="0"/>
          <c:tx>
            <c:strRef>
              <c:f>'[фин счёт для публикации (rus+uzb+eng).xlsx]прямые инвестиции (EN)'!$A$3</c:f>
              <c:strCache>
                <c:ptCount val="1"/>
                <c:pt idx="0">
                  <c:v>Direct investment</c:v>
                </c:pt>
              </c:strCache>
            </c:strRef>
          </c:tx>
          <c:spPr>
            <a:ln w="22225" cap="rnd">
              <a:solidFill>
                <a:schemeClr val="accent1"/>
              </a:solidFill>
              <a:round/>
            </a:ln>
            <a:effectLst/>
          </c:spPr>
          <c:marker>
            <c:symbol val="circle"/>
            <c:size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dLbls>
            <c:dLbl>
              <c:idx val="0"/>
              <c:layout>
                <c:manualLayout>
                  <c:x val="-2.9514431860602409E-2"/>
                  <c:y val="-3.12846951827839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F4F-4A6A-A5D3-11BD8E655940}"/>
                </c:ext>
              </c:extLst>
            </c:dLbl>
            <c:dLbl>
              <c:idx val="1"/>
              <c:layout>
                <c:manualLayout>
                  <c:x val="9.4045534709133408E-3"/>
                  <c:y val="1.83636227165683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F4F-4A6A-A5D3-11BD8E655940}"/>
                </c:ext>
              </c:extLst>
            </c:dLbl>
            <c:dLbl>
              <c:idx val="2"/>
              <c:layout>
                <c:manualLayout>
                  <c:x val="1.8387373510267474E-3"/>
                  <c:y val="-3.37671110777516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F4F-4A6A-A5D3-11BD8E655940}"/>
                </c:ext>
              </c:extLst>
            </c:dLbl>
            <c:dLbl>
              <c:idx val="3"/>
              <c:layout>
                <c:manualLayout>
                  <c:x val="1.0854597002835156E-3"/>
                  <c:y val="3.469127346762617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F4F-4A6A-A5D3-11BD8E655940}"/>
                </c:ext>
              </c:extLst>
            </c:dLbl>
            <c:dLbl>
              <c:idx val="4"/>
              <c:layout>
                <c:manualLayout>
                  <c:x val="-3.0816502843415863E-3"/>
                  <c:y val="-2.38374474978811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F4F-4A6A-A5D3-11BD8E655940}"/>
                </c:ext>
              </c:extLst>
            </c:dLbl>
            <c:dLbl>
              <c:idx val="5"/>
              <c:layout>
                <c:manualLayout>
                  <c:x val="1.5851976838962496E-4"/>
                  <c:y val="-2.63198633928487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F4F-4A6A-A5D3-11BD8E655940}"/>
                </c:ext>
              </c:extLst>
            </c:dLbl>
            <c:dLbl>
              <c:idx val="6"/>
              <c:layout>
                <c:manualLayout>
                  <c:x val="-3.1117950271828919E-3"/>
                  <c:y val="-3.978120338140228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F4F-4A6A-A5D3-11BD8E655940}"/>
                </c:ext>
              </c:extLst>
            </c:dLbl>
            <c:dLbl>
              <c:idx val="7"/>
              <c:layout>
                <c:manualLayout>
                  <c:x val="-2.9484287117761208E-2"/>
                  <c:y val="-3.37671110777516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F4F-4A6A-A5D3-11BD8E655940}"/>
                </c:ext>
              </c:extLst>
            </c:dLbl>
            <c:dLbl>
              <c:idx val="8"/>
              <c:layout>
                <c:manualLayout>
                  <c:x val="-6.0237511988057481E-4"/>
                  <c:y val="-5.219328285624036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F4F-4A6A-A5D3-11BD8E655940}"/>
                </c:ext>
              </c:extLst>
            </c:dLbl>
            <c:dLbl>
              <c:idx val="10"/>
              <c:layout>
                <c:manualLayout>
                  <c:x val="-6.023751198806958E-4"/>
                  <c:y val="2.227919399278718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F4F-4A6A-A5D3-11BD8E655940}"/>
                </c:ext>
              </c:extLst>
            </c:dLbl>
            <c:dLbl>
              <c:idx val="11"/>
              <c:layout>
                <c:manualLayout>
                  <c:x val="-3.195550635956635E-2"/>
                  <c:y val="-5.23852302900087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F4F-4A6A-A5D3-11BD8E65594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'[фин счёт для публикации (rus+uzb+eng).xlsx]прямые инвестиции (EN)'!$K$1:$V$2</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2018</c:v>
                  </c:pt>
                  <c:pt idx="4">
                    <c:v>2019</c:v>
                  </c:pt>
                  <c:pt idx="8">
                    <c:v>2020</c:v>
                  </c:pt>
                </c:lvl>
              </c:multiLvlStrCache>
            </c:multiLvlStrRef>
          </c:cat>
          <c:val>
            <c:numRef>
              <c:f>'[фин счёт для публикации (rus+uzb+eng).xlsx]прямые инвестиции (EN)'!$K$3:$V$3</c:f>
              <c:numCache>
                <c:formatCode>_-* #\ ##0_р_._-;\-* #\ ##0_р_._-;_-* "-"??_р_._-;_-@_-</c:formatCode>
                <c:ptCount val="12"/>
                <c:pt idx="0">
                  <c:v>427.89968146885485</c:v>
                </c:pt>
                <c:pt idx="1">
                  <c:v>-1.7425585192555104</c:v>
                </c:pt>
                <c:pt idx="2">
                  <c:v>127.76674383339792</c:v>
                </c:pt>
                <c:pt idx="3">
                  <c:v>70.762668721398143</c:v>
                </c:pt>
                <c:pt idx="4">
                  <c:v>221.2569776415063</c:v>
                </c:pt>
                <c:pt idx="5">
                  <c:v>832.14837367168752</c:v>
                </c:pt>
                <c:pt idx="6">
                  <c:v>448.88043094795006</c:v>
                </c:pt>
                <c:pt idx="7">
                  <c:v>814.19718002506647</c:v>
                </c:pt>
                <c:pt idx="8">
                  <c:v>267.05994411604814</c:v>
                </c:pt>
                <c:pt idx="9">
                  <c:v>478.06449591678785</c:v>
                </c:pt>
                <c:pt idx="10">
                  <c:v>369.7182856280034</c:v>
                </c:pt>
                <c:pt idx="11">
                  <c:v>610.84566515096935</c:v>
                </c:pt>
              </c:numCache>
            </c:numRef>
          </c:val>
          <c:smooth val="0"/>
          <c:extLst>
            <c:ext xmlns:c16="http://schemas.microsoft.com/office/drawing/2014/chart" uri="{C3380CC4-5D6E-409C-BE32-E72D297353CC}">
              <c16:uniqueId val="{0000000F-4F4F-4A6A-A5D3-11BD8E655940}"/>
            </c:ext>
          </c:extLst>
        </c:ser>
        <c:dLbls>
          <c:showLegendKey val="0"/>
          <c:showVal val="0"/>
          <c:showCatName val="0"/>
          <c:showSerName val="0"/>
          <c:showPercent val="0"/>
          <c:showBubbleSize val="0"/>
        </c:dLbls>
        <c:marker val="1"/>
        <c:smooth val="0"/>
        <c:axId val="55424512"/>
        <c:axId val="55426048"/>
      </c:lineChart>
      <c:catAx>
        <c:axId val="55424512"/>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ru-RU"/>
          </a:p>
        </c:txPr>
        <c:crossAx val="55426048"/>
        <c:crosses val="autoZero"/>
        <c:auto val="1"/>
        <c:lblAlgn val="ctr"/>
        <c:lblOffset val="100"/>
        <c:noMultiLvlLbl val="0"/>
      </c:catAx>
      <c:valAx>
        <c:axId val="55426048"/>
        <c:scaling>
          <c:orientation val="minMax"/>
          <c:max val="1200"/>
        </c:scaling>
        <c:delete val="0"/>
        <c:axPos val="l"/>
        <c:majorGridlines>
          <c:spPr>
            <a:ln w="9525" cap="flat" cmpd="sng" algn="ctr">
              <a:solidFill>
                <a:schemeClr val="tx2">
                  <a:lumMod val="15000"/>
                  <a:lumOff val="85000"/>
                </a:schemeClr>
              </a:solidFill>
              <a:round/>
            </a:ln>
            <a:effectLst/>
          </c:spPr>
        </c:majorGridlines>
        <c:numFmt formatCode="_-* #\ ##0_р_._-;\-* #\ ##0_р_._-;_-* &quot;-&quot;??_р_.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ru-RU"/>
          </a:p>
        </c:txPr>
        <c:crossAx val="55424512"/>
        <c:crosses val="autoZero"/>
        <c:crossBetween val="between"/>
        <c:majorUnit val="200"/>
      </c:valAx>
      <c:spPr>
        <a:noFill/>
        <a:ln>
          <a:noFill/>
        </a:ln>
        <a:effectLst/>
      </c:spPr>
    </c:plotArea>
    <c:legend>
      <c:legendPos val="b"/>
      <c:layout>
        <c:manualLayout>
          <c:xMode val="edge"/>
          <c:yMode val="edge"/>
          <c:x val="2.4548304487455472E-2"/>
          <c:y val="0.8990505052400477"/>
          <c:w val="0.95090339102508892"/>
          <c:h val="8.605499939014664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983946241215441E-2"/>
          <c:y val="3.6620876153806631E-2"/>
          <c:w val="0.91176846235993658"/>
          <c:h val="0.70779319507052074"/>
        </c:manualLayout>
      </c:layout>
      <c:barChart>
        <c:barDir val="col"/>
        <c:grouping val="stacked"/>
        <c:varyColors val="0"/>
        <c:ser>
          <c:idx val="0"/>
          <c:order val="0"/>
          <c:tx>
            <c:strRef>
              <c:f>'[фин счёт для публикации (rus+uzb+eng).xlsx]валюта и депозиты (EN)'!$A$4</c:f>
              <c:strCache>
                <c:ptCount val="1"/>
                <c:pt idx="0">
                  <c:v>Currency and deposits of banking sector</c:v>
                </c:pt>
              </c:strCache>
            </c:strRef>
          </c:tx>
          <c:spPr>
            <a:solidFill>
              <a:schemeClr val="accent6"/>
            </a:solidFill>
            <a:ln>
              <a:noFill/>
            </a:ln>
            <a:effectLst/>
          </c:spPr>
          <c:invertIfNegative val="0"/>
          <c:cat>
            <c:multiLvlStrRef>
              <c:f>'[фин счёт для публикации (rus+uzb+eng).xlsx]валюта и депозиты (EN)'!$J$2:$U$3</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2018</c:v>
                  </c:pt>
                  <c:pt idx="4">
                    <c:v>2019</c:v>
                  </c:pt>
                  <c:pt idx="8">
                    <c:v>2020</c:v>
                  </c:pt>
                </c:lvl>
              </c:multiLvlStrCache>
            </c:multiLvlStrRef>
          </c:cat>
          <c:val>
            <c:numRef>
              <c:f>'[фин счёт для публикации (rus+uzb+eng).xlsx]валюта и депозиты (EN)'!$J$4:$U$4</c:f>
              <c:numCache>
                <c:formatCode>0_ ;\-0\ </c:formatCode>
                <c:ptCount val="12"/>
                <c:pt idx="0">
                  <c:v>-214.6638184911796</c:v>
                </c:pt>
                <c:pt idx="1">
                  <c:v>-230.19798493251318</c:v>
                </c:pt>
                <c:pt idx="2">
                  <c:v>-16.392560564817085</c:v>
                </c:pt>
                <c:pt idx="3">
                  <c:v>-292.05364349602189</c:v>
                </c:pt>
                <c:pt idx="4">
                  <c:v>-44.318900077532646</c:v>
                </c:pt>
                <c:pt idx="5">
                  <c:v>-611.72429865522565</c:v>
                </c:pt>
                <c:pt idx="6">
                  <c:v>-426.68405050939839</c:v>
                </c:pt>
                <c:pt idx="7">
                  <c:v>23.333226036504257</c:v>
                </c:pt>
                <c:pt idx="8">
                  <c:v>79.332029138606657</c:v>
                </c:pt>
                <c:pt idx="9">
                  <c:v>-197.46241073052977</c:v>
                </c:pt>
                <c:pt idx="10">
                  <c:v>-246.34768190990522</c:v>
                </c:pt>
                <c:pt idx="11" formatCode="0">
                  <c:v>981.71829919717732</c:v>
                </c:pt>
              </c:numCache>
            </c:numRef>
          </c:val>
          <c:extLst>
            <c:ext xmlns:c16="http://schemas.microsoft.com/office/drawing/2014/chart" uri="{C3380CC4-5D6E-409C-BE32-E72D297353CC}">
              <c16:uniqueId val="{00000000-CC6D-4FBA-93BC-322EB975BAD9}"/>
            </c:ext>
          </c:extLst>
        </c:ser>
        <c:ser>
          <c:idx val="1"/>
          <c:order val="1"/>
          <c:tx>
            <c:strRef>
              <c:f>'[фин счёт для публикации (rus+uzb+eng).xlsx]валюта и депозиты (EN)'!$A$5</c:f>
              <c:strCache>
                <c:ptCount val="1"/>
                <c:pt idx="0">
                  <c:v>Currency and deposits of population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multiLvlStrRef>
              <c:f>'[фин счёт для публикации (rus+uzb+eng).xlsx]валюта и депозиты (EN)'!$J$2:$U$3</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2018</c:v>
                  </c:pt>
                  <c:pt idx="4">
                    <c:v>2019</c:v>
                  </c:pt>
                  <c:pt idx="8">
                    <c:v>2020</c:v>
                  </c:pt>
                </c:lvl>
              </c:multiLvlStrCache>
            </c:multiLvlStrRef>
          </c:cat>
          <c:val>
            <c:numRef>
              <c:f>'[фин счёт для публикации (rus+uzb+eng).xlsx]валюта и депозиты (EN)'!$J$5:$U$5</c:f>
              <c:numCache>
                <c:formatCode>0_ ;\-0\ </c:formatCode>
                <c:ptCount val="12"/>
                <c:pt idx="0">
                  <c:v>312.43693434485476</c:v>
                </c:pt>
                <c:pt idx="1">
                  <c:v>237.23275586085961</c:v>
                </c:pt>
                <c:pt idx="2">
                  <c:v>562.11713849083844</c:v>
                </c:pt>
                <c:pt idx="3">
                  <c:v>321.71786844597329</c:v>
                </c:pt>
                <c:pt idx="4">
                  <c:v>256.5366341070478</c:v>
                </c:pt>
                <c:pt idx="5">
                  <c:v>409.71368746999281</c:v>
                </c:pt>
                <c:pt idx="6">
                  <c:v>238.13112774320248</c:v>
                </c:pt>
                <c:pt idx="7">
                  <c:v>576.77331601923606</c:v>
                </c:pt>
                <c:pt idx="8">
                  <c:v>160.19844256285251</c:v>
                </c:pt>
                <c:pt idx="9">
                  <c:v>577.5346250368458</c:v>
                </c:pt>
                <c:pt idx="10">
                  <c:v>1116.681479887161</c:v>
                </c:pt>
                <c:pt idx="11" formatCode="0">
                  <c:v>799.37154336636195</c:v>
                </c:pt>
              </c:numCache>
            </c:numRef>
          </c:val>
          <c:extLst>
            <c:ext xmlns:c16="http://schemas.microsoft.com/office/drawing/2014/chart" uri="{C3380CC4-5D6E-409C-BE32-E72D297353CC}">
              <c16:uniqueId val="{00000001-CC6D-4FBA-93BC-322EB975BAD9}"/>
            </c:ext>
          </c:extLst>
        </c:ser>
        <c:ser>
          <c:idx val="2"/>
          <c:order val="2"/>
          <c:tx>
            <c:strRef>
              <c:f>'[фин счёт для публикации (rus+uzb+eng).xlsx]валюта и депозиты (EN)'!$A$6</c:f>
              <c:strCache>
                <c:ptCount val="1"/>
                <c:pt idx="0">
                  <c:v>Currency and deposits of companies</c:v>
                </c:pt>
              </c:strCache>
            </c:strRef>
          </c:tx>
          <c:spPr>
            <a:solidFill>
              <a:srgbClr val="FFC301"/>
            </a:solidFill>
            <a:ln>
              <a:noFill/>
            </a:ln>
            <a:effectLst/>
          </c:spPr>
          <c:invertIfNegative val="0"/>
          <c:cat>
            <c:multiLvlStrRef>
              <c:f>'[фин счёт для публикации (rus+uzb+eng).xlsx]валюта и депозиты (EN)'!$J$2:$U$3</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2018</c:v>
                  </c:pt>
                  <c:pt idx="4">
                    <c:v>2019</c:v>
                  </c:pt>
                  <c:pt idx="8">
                    <c:v>2020</c:v>
                  </c:pt>
                </c:lvl>
              </c:multiLvlStrCache>
            </c:multiLvlStrRef>
          </c:cat>
          <c:val>
            <c:numRef>
              <c:f>'[фин счёт для публикации (rus+uzb+eng).xlsx]валюта и депозиты (EN)'!$J$6:$U$6</c:f>
              <c:numCache>
                <c:formatCode>0_ ;\-0\ </c:formatCode>
                <c:ptCount val="12"/>
                <c:pt idx="0">
                  <c:v>37.134757794385067</c:v>
                </c:pt>
                <c:pt idx="1">
                  <c:v>1.8527154813014639</c:v>
                </c:pt>
                <c:pt idx="2">
                  <c:v>106.67562523751292</c:v>
                </c:pt>
                <c:pt idx="3">
                  <c:v>23.716517245871565</c:v>
                </c:pt>
                <c:pt idx="4">
                  <c:v>75.028293747123797</c:v>
                </c:pt>
                <c:pt idx="5">
                  <c:v>-99.954353005693804</c:v>
                </c:pt>
                <c:pt idx="6">
                  <c:v>228.47188362419621</c:v>
                </c:pt>
                <c:pt idx="7">
                  <c:v>-17.10176877084632</c:v>
                </c:pt>
                <c:pt idx="8">
                  <c:v>157.008168054425</c:v>
                </c:pt>
                <c:pt idx="9">
                  <c:v>-153.53053142681966</c:v>
                </c:pt>
                <c:pt idx="10">
                  <c:v>28.031835443959231</c:v>
                </c:pt>
                <c:pt idx="11" formatCode="0">
                  <c:v>-130.81902316942731</c:v>
                </c:pt>
              </c:numCache>
            </c:numRef>
          </c:val>
          <c:extLst>
            <c:ext xmlns:c16="http://schemas.microsoft.com/office/drawing/2014/chart" uri="{C3380CC4-5D6E-409C-BE32-E72D297353CC}">
              <c16:uniqueId val="{00000002-CC6D-4FBA-93BC-322EB975BAD9}"/>
            </c:ext>
          </c:extLst>
        </c:ser>
        <c:dLbls>
          <c:showLegendKey val="0"/>
          <c:showVal val="0"/>
          <c:showCatName val="0"/>
          <c:showSerName val="0"/>
          <c:showPercent val="0"/>
          <c:showBubbleSize val="0"/>
        </c:dLbls>
        <c:gapWidth val="150"/>
        <c:overlap val="100"/>
        <c:axId val="841667632"/>
        <c:axId val="841678032"/>
      </c:barChart>
      <c:lineChart>
        <c:grouping val="standard"/>
        <c:varyColors val="0"/>
        <c:ser>
          <c:idx val="3"/>
          <c:order val="3"/>
          <c:tx>
            <c:strRef>
              <c:f>'[фин счёт для публикации (rus+uzb+eng).xlsx]валюта и депозиты (EN)'!$A$7</c:f>
              <c:strCache>
                <c:ptCount val="1"/>
                <c:pt idx="0">
                  <c:v>Net changes in currency and deposits, total</c:v>
                </c:pt>
              </c:strCache>
            </c:strRef>
          </c:tx>
          <c:spPr>
            <a:ln w="22225" cap="rnd">
              <a:solidFill>
                <a:schemeClr val="accent1"/>
              </a:solidFill>
              <a:round/>
            </a:ln>
            <a:effectLst/>
          </c:spPr>
          <c:marker>
            <c:symbol val="circle"/>
            <c:size val="7"/>
            <c:spPr>
              <a:solidFill>
                <a:schemeClr val="accent1"/>
              </a:solidFill>
              <a:ln w="12700">
                <a:solidFill>
                  <a:schemeClr val="bg1"/>
                </a:solidFill>
                <a:round/>
              </a:ln>
              <a:effectLst/>
            </c:spPr>
          </c:marker>
          <c:dLbls>
            <c:dLbl>
              <c:idx val="0"/>
              <c:layout>
                <c:manualLayout>
                  <c:x val="9.1199270405836752E-3"/>
                  <c:y val="-6.28189794438492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C6D-4FBA-93BC-322EB975BAD9}"/>
                </c:ext>
              </c:extLst>
            </c:dLbl>
            <c:dLbl>
              <c:idx val="1"/>
              <c:layout>
                <c:manualLayout>
                  <c:x val="7.2959416324669402E-3"/>
                  <c:y val="-5.75833992818528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C6D-4FBA-93BC-322EB975BAD9}"/>
                </c:ext>
              </c:extLst>
            </c:dLbl>
            <c:dLbl>
              <c:idx val="2"/>
              <c:layout>
                <c:manualLayout>
                  <c:x val="-2.5535795713634291E-2"/>
                  <c:y val="-3.45504386941170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C6D-4FBA-93BC-322EB975BAD9}"/>
                </c:ext>
              </c:extLst>
            </c:dLbl>
            <c:dLbl>
              <c:idx val="3"/>
              <c:layout>
                <c:manualLayout>
                  <c:x val="9.1199270405836752E-3"/>
                  <c:y val="-5.75833992818528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C6D-4FBA-93BC-322EB975BAD9}"/>
                </c:ext>
              </c:extLst>
            </c:dLbl>
            <c:dLbl>
              <c:idx val="4"/>
              <c:layout>
                <c:manualLayout>
                  <c:x val="-2.7359781121751026E-2"/>
                  <c:y val="-3.76913876663095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C6D-4FBA-93BC-322EB975BAD9}"/>
                </c:ext>
              </c:extLst>
            </c:dLbl>
            <c:dLbl>
              <c:idx val="5"/>
              <c:layout>
                <c:manualLayout>
                  <c:x val="7.295941632466940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C6D-4FBA-93BC-322EB975BAD9}"/>
                </c:ext>
              </c:extLst>
            </c:dLbl>
            <c:dLbl>
              <c:idx val="6"/>
              <c:layout>
                <c:manualLayout>
                  <c:x val="7.2959416324669402E-3"/>
                  <c:y val="-5.75833992818528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C6D-4FBA-93BC-322EB975BAD9}"/>
                </c:ext>
              </c:extLst>
            </c:dLbl>
            <c:dLbl>
              <c:idx val="7"/>
              <c:layout>
                <c:manualLayout>
                  <c:x val="-3.2831737346101231E-2"/>
                  <c:y val="-3.1409489721924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C6D-4FBA-93BC-322EB975BAD9}"/>
                </c:ext>
              </c:extLst>
            </c:dLbl>
            <c:dLbl>
              <c:idx val="8"/>
              <c:layout>
                <c:manualLayout>
                  <c:x val="-2.7359781121751026E-2"/>
                  <c:y val="-3.7691387666309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C6D-4FBA-93BC-322EB975BAD9}"/>
                </c:ext>
              </c:extLst>
            </c:dLbl>
            <c:dLbl>
              <c:idx val="10"/>
              <c:layout>
                <c:manualLayout>
                  <c:x val="4.031851627860095E-3"/>
                  <c:y val="-1.5447173580914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C6D-4FBA-93BC-322EB975BAD9}"/>
                </c:ext>
              </c:extLst>
            </c:dLbl>
            <c:dLbl>
              <c:idx val="11"/>
              <c:layout>
                <c:manualLayout>
                  <c:x val="-8.06370325572019E-3"/>
                  <c:y val="-5.3282588011417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C6D-4FBA-93BC-322EB975BAD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'[фин счёт для публикации (rus+uzb+eng).xlsx]валюта и депозиты (EN)'!$J$2:$U$3</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2018</c:v>
                  </c:pt>
                  <c:pt idx="4">
                    <c:v>2019</c:v>
                  </c:pt>
                  <c:pt idx="8">
                    <c:v>2020</c:v>
                  </c:pt>
                </c:lvl>
              </c:multiLvlStrCache>
            </c:multiLvlStrRef>
          </c:cat>
          <c:val>
            <c:numRef>
              <c:f>'[фин счёт для публикации (rus+uzb+eng).xlsx]валюта и депозиты (EN)'!$J$7:$U$7</c:f>
              <c:numCache>
                <c:formatCode>0_ ;\-0\ </c:formatCode>
                <c:ptCount val="12"/>
                <c:pt idx="0">
                  <c:v>134.90787364806022</c:v>
                </c:pt>
                <c:pt idx="1">
                  <c:v>8.8874864096478969</c:v>
                </c:pt>
                <c:pt idx="2">
                  <c:v>652.40020316353423</c:v>
                </c:pt>
                <c:pt idx="3">
                  <c:v>53.380742195822968</c:v>
                </c:pt>
                <c:pt idx="4">
                  <c:v>287.24602777663893</c:v>
                </c:pt>
                <c:pt idx="5">
                  <c:v>-301.96496419092665</c:v>
                </c:pt>
                <c:pt idx="6">
                  <c:v>39.918960858000304</c:v>
                </c:pt>
                <c:pt idx="7">
                  <c:v>583.00477328489399</c:v>
                </c:pt>
                <c:pt idx="8">
                  <c:v>396.53863975588416</c:v>
                </c:pt>
                <c:pt idx="9">
                  <c:v>226.54168287949636</c:v>
                </c:pt>
                <c:pt idx="10">
                  <c:v>898.36563342121508</c:v>
                </c:pt>
                <c:pt idx="11" formatCode="_-* #\ ##0_р_._-;\-* #\ ##0_р_._-;_-* &quot;-&quot;??_р_._-;_-@_-">
                  <c:v>1650.2708193941119</c:v>
                </c:pt>
              </c:numCache>
            </c:numRef>
          </c:val>
          <c:smooth val="0"/>
          <c:extLst>
            <c:ext xmlns:c16="http://schemas.microsoft.com/office/drawing/2014/chart" uri="{C3380CC4-5D6E-409C-BE32-E72D297353CC}">
              <c16:uniqueId val="{0000000C-CC6D-4FBA-93BC-322EB975BAD9}"/>
            </c:ext>
          </c:extLst>
        </c:ser>
        <c:dLbls>
          <c:showLegendKey val="0"/>
          <c:showVal val="0"/>
          <c:showCatName val="0"/>
          <c:showSerName val="0"/>
          <c:showPercent val="0"/>
          <c:showBubbleSize val="0"/>
        </c:dLbls>
        <c:marker val="1"/>
        <c:smooth val="0"/>
        <c:axId val="1110372783"/>
        <c:axId val="1110370287"/>
      </c:lineChart>
      <c:catAx>
        <c:axId val="841667632"/>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841678032"/>
        <c:crosses val="autoZero"/>
        <c:auto val="1"/>
        <c:lblAlgn val="ctr"/>
        <c:lblOffset val="100"/>
        <c:noMultiLvlLbl val="0"/>
      </c:catAx>
      <c:valAx>
        <c:axId val="841678032"/>
        <c:scaling>
          <c:orientation val="minMax"/>
          <c:max val="1900"/>
          <c:min val="-900"/>
        </c:scaling>
        <c:delete val="0"/>
        <c:axPos val="l"/>
        <c:majorGridlines>
          <c:spPr>
            <a:ln w="9525" cap="flat" cmpd="sng" algn="ctr">
              <a:solidFill>
                <a:schemeClr val="tx2">
                  <a:lumMod val="15000"/>
                  <a:lumOff val="85000"/>
                </a:schemeClr>
              </a:solidFill>
              <a:round/>
            </a:ln>
            <a:effectLst/>
          </c:spPr>
        </c:majorGridlines>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841667632"/>
        <c:crosses val="autoZero"/>
        <c:crossBetween val="between"/>
        <c:majorUnit val="200"/>
      </c:valAx>
      <c:valAx>
        <c:axId val="1110370287"/>
        <c:scaling>
          <c:orientation val="minMax"/>
        </c:scaling>
        <c:delete val="1"/>
        <c:axPos val="r"/>
        <c:numFmt formatCode="0_ ;\-0\ " sourceLinked="1"/>
        <c:majorTickMark val="out"/>
        <c:minorTickMark val="none"/>
        <c:tickLblPos val="nextTo"/>
        <c:crossAx val="1110372783"/>
        <c:crosses val="max"/>
        <c:crossBetween val="between"/>
      </c:valAx>
      <c:catAx>
        <c:axId val="1110372783"/>
        <c:scaling>
          <c:orientation val="minMax"/>
        </c:scaling>
        <c:delete val="1"/>
        <c:axPos val="b"/>
        <c:numFmt formatCode="General" sourceLinked="1"/>
        <c:majorTickMark val="out"/>
        <c:minorTickMark val="none"/>
        <c:tickLblPos val="nextTo"/>
        <c:crossAx val="1110370287"/>
        <c:crosses val="autoZero"/>
        <c:auto val="1"/>
        <c:lblAlgn val="ctr"/>
        <c:lblOffset val="100"/>
        <c:noMultiLvlLbl val="0"/>
      </c:catAx>
      <c:spPr>
        <a:noFill/>
        <a:ln>
          <a:noFill/>
        </a:ln>
        <a:effectLst/>
      </c:spPr>
    </c:plotArea>
    <c:legend>
      <c:legendPos val="b"/>
      <c:layout>
        <c:manualLayout>
          <c:xMode val="edge"/>
          <c:yMode val="edge"/>
          <c:x val="7.6842925414076987E-2"/>
          <c:y val="0.87985795985718818"/>
          <c:w val="0.83901806391848088"/>
          <c:h val="0.10129634630965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1"/>
          <c:tx>
            <c:strRef>
              <c:f>'[фин счёт для публикации (rus+uzb+eng).xlsx]кредиты (up) (RU)'!$Y$4</c:f>
              <c:strCache>
                <c:ptCount val="1"/>
                <c:pt idx="0">
                  <c:v>General government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'[фин счёт для публикации (rus+uzb+eng).xlsx]кредиты (up) (RU)'!$AB$1:$AD$2</c:f>
              <c:strCache>
                <c:ptCount val="3"/>
                <c:pt idx="0">
                  <c:v>2018</c:v>
                </c:pt>
                <c:pt idx="1">
                  <c:v>2019</c:v>
                </c:pt>
                <c:pt idx="2">
                  <c:v>2020</c:v>
                </c:pt>
              </c:strCache>
            </c:strRef>
          </c:cat>
          <c:val>
            <c:numRef>
              <c:f>'[фин счёт для публикации (rus+uzb+eng).xlsx]кредиты (up) (RU)'!$AB$4:$AD$4</c:f>
              <c:numCache>
                <c:formatCode>_-* #\ ##0_р_._-;\-* #\ ##0_р_._-;_-* "-"??_р_._-;_-@_-</c:formatCode>
                <c:ptCount val="3"/>
                <c:pt idx="0">
                  <c:v>1839.3501120874694</c:v>
                </c:pt>
                <c:pt idx="1">
                  <c:v>2842.4098211765613</c:v>
                </c:pt>
                <c:pt idx="2">
                  <c:v>3293.7934486199038</c:v>
                </c:pt>
              </c:numCache>
            </c:numRef>
          </c:val>
          <c:extLst>
            <c:ext xmlns:c16="http://schemas.microsoft.com/office/drawing/2014/chart" uri="{C3380CC4-5D6E-409C-BE32-E72D297353CC}">
              <c16:uniqueId val="{00000000-2085-4E5A-8A62-B57035E6CE53}"/>
            </c:ext>
          </c:extLst>
        </c:ser>
        <c:ser>
          <c:idx val="2"/>
          <c:order val="2"/>
          <c:tx>
            <c:strRef>
              <c:f>'[фин счёт для публикации (rus+uzb+eng).xlsx]кредиты (up) (RU)'!$Y$5</c:f>
              <c:strCache>
                <c:ptCount val="1"/>
                <c:pt idx="0">
                  <c:v>Banking sector</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'[фин счёт для публикации (rus+uzb+eng).xlsx]кредиты (up) (RU)'!$AB$1:$AD$2</c:f>
              <c:strCache>
                <c:ptCount val="3"/>
                <c:pt idx="0">
                  <c:v>2018</c:v>
                </c:pt>
                <c:pt idx="1">
                  <c:v>2019</c:v>
                </c:pt>
                <c:pt idx="2">
                  <c:v>2020</c:v>
                </c:pt>
              </c:strCache>
            </c:strRef>
          </c:cat>
          <c:val>
            <c:numRef>
              <c:f>'[фин счёт для публикации (rus+uzb+eng).xlsx]кредиты (up) (RU)'!$AB$5:$AD$5</c:f>
              <c:numCache>
                <c:formatCode>_-* #\ ##0_р_._-;\-* #\ ##0_р_._-;_-* "-"??_р_._-;_-@_-</c:formatCode>
                <c:ptCount val="3"/>
                <c:pt idx="0">
                  <c:v>400.19159407129246</c:v>
                </c:pt>
                <c:pt idx="1">
                  <c:v>1728.0558181924298</c:v>
                </c:pt>
                <c:pt idx="2">
                  <c:v>2541.7250872570085</c:v>
                </c:pt>
              </c:numCache>
            </c:numRef>
          </c:val>
          <c:extLst>
            <c:ext xmlns:c16="http://schemas.microsoft.com/office/drawing/2014/chart" uri="{C3380CC4-5D6E-409C-BE32-E72D297353CC}">
              <c16:uniqueId val="{00000001-2085-4E5A-8A62-B57035E6CE53}"/>
            </c:ext>
          </c:extLst>
        </c:ser>
        <c:ser>
          <c:idx val="3"/>
          <c:order val="3"/>
          <c:tx>
            <c:strRef>
              <c:f>'[фин счёт для публикации (rus+uzb+eng).xlsx]кредиты (up) (RU)'!$Y$6</c:f>
              <c:strCache>
                <c:ptCount val="1"/>
                <c:pt idx="0">
                  <c:v>Other sectors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'[фин счёт для публикации (rus+uzb+eng).xlsx]кредиты (up) (RU)'!$AB$1:$AD$2</c:f>
              <c:strCache>
                <c:ptCount val="3"/>
                <c:pt idx="0">
                  <c:v>2018</c:v>
                </c:pt>
                <c:pt idx="1">
                  <c:v>2019</c:v>
                </c:pt>
                <c:pt idx="2">
                  <c:v>2020</c:v>
                </c:pt>
              </c:strCache>
            </c:strRef>
          </c:cat>
          <c:val>
            <c:numRef>
              <c:f>'[фин счёт для публикации (rus+uzb+eng).xlsx]кредиты (up) (RU)'!$AB$6:$AD$6</c:f>
              <c:numCache>
                <c:formatCode>_-* #\ ##0_р_._-;\-* #\ ##0_р_._-;_-* "-"??_р_._-;_-@_-</c:formatCode>
                <c:ptCount val="3"/>
                <c:pt idx="0">
                  <c:v>-188.80957426599207</c:v>
                </c:pt>
                <c:pt idx="1">
                  <c:v>1296.3896742629277</c:v>
                </c:pt>
                <c:pt idx="2">
                  <c:v>1245.7097989635631</c:v>
                </c:pt>
              </c:numCache>
            </c:numRef>
          </c:val>
          <c:extLst>
            <c:ext xmlns:c16="http://schemas.microsoft.com/office/drawing/2014/chart" uri="{C3380CC4-5D6E-409C-BE32-E72D297353CC}">
              <c16:uniqueId val="{00000002-2085-4E5A-8A62-B57035E6CE53}"/>
            </c:ext>
          </c:extLst>
        </c:ser>
        <c:dLbls>
          <c:showLegendKey val="0"/>
          <c:showVal val="0"/>
          <c:showCatName val="0"/>
          <c:showSerName val="0"/>
          <c:showPercent val="0"/>
          <c:showBubbleSize val="0"/>
        </c:dLbls>
        <c:gapWidth val="150"/>
        <c:overlap val="100"/>
        <c:axId val="189949824"/>
        <c:axId val="189951360"/>
      </c:barChart>
      <c:lineChart>
        <c:grouping val="stacked"/>
        <c:varyColors val="0"/>
        <c:ser>
          <c:idx val="0"/>
          <c:order val="0"/>
          <c:tx>
            <c:strRef>
              <c:f>'[фин счёт для публикации (rus+uzb+eng).xlsx]кредиты (up) (RU)'!$Y$3</c:f>
              <c:strCache>
                <c:ptCount val="1"/>
                <c:pt idx="0">
                  <c:v>Total external debt</c:v>
                </c:pt>
              </c:strCache>
            </c:strRef>
          </c:tx>
          <c:spPr>
            <a:ln w="31750" cap="rnd">
              <a:solidFill>
                <a:schemeClr val="accent1"/>
              </a:solidFill>
              <a:round/>
            </a:ln>
            <a:effectLst/>
          </c:spPr>
          <c:marker>
            <c:symbol val="circle"/>
            <c:size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dLbls>
            <c:dLbl>
              <c:idx val="0"/>
              <c:layout>
                <c:manualLayout>
                  <c:x val="-4.435036790646104E-2"/>
                  <c:y val="-6.55444659615671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085-4E5A-8A62-B57035E6CE53}"/>
                </c:ext>
              </c:extLst>
            </c:dLbl>
            <c:dLbl>
              <c:idx val="1"/>
              <c:layout>
                <c:manualLayout>
                  <c:x val="-4.4350367906461116E-2"/>
                  <c:y val="-3.87308207954714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085-4E5A-8A62-B57035E6CE53}"/>
                </c:ext>
              </c:extLst>
            </c:dLbl>
            <c:dLbl>
              <c:idx val="2"/>
              <c:layout>
                <c:manualLayout>
                  <c:x val="-4.2334442092531142E-2"/>
                  <c:y val="-2.68136451660956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085-4E5A-8A62-B57035E6CE5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'[фин счёт для публикации (rus+uzb+eng).xlsx]кредиты (up) (RU)'!$AB$1:$AD$2</c:f>
              <c:strCache>
                <c:ptCount val="3"/>
                <c:pt idx="0">
                  <c:v>2018</c:v>
                </c:pt>
                <c:pt idx="1">
                  <c:v>2019</c:v>
                </c:pt>
                <c:pt idx="2">
                  <c:v>2020</c:v>
                </c:pt>
              </c:strCache>
            </c:strRef>
          </c:cat>
          <c:val>
            <c:numRef>
              <c:f>'[фин счёт для публикации (rus+uzb+eng).xlsx]кредиты (up) (RU)'!$AB$3:$AD$3</c:f>
              <c:numCache>
                <c:formatCode>_-* #\ ##0_р_._-;\-* #\ ##0_р_._-;_-* "-"??_р_._-;_-@_-</c:formatCode>
                <c:ptCount val="3"/>
                <c:pt idx="0">
                  <c:v>2050.7321318927702</c:v>
                </c:pt>
                <c:pt idx="1">
                  <c:v>5866.8553136319188</c:v>
                </c:pt>
                <c:pt idx="2">
                  <c:v>7081.2283348404744</c:v>
                </c:pt>
              </c:numCache>
            </c:numRef>
          </c:val>
          <c:smooth val="0"/>
          <c:extLst>
            <c:ext xmlns:c16="http://schemas.microsoft.com/office/drawing/2014/chart" uri="{C3380CC4-5D6E-409C-BE32-E72D297353CC}">
              <c16:uniqueId val="{00000003-2085-4E5A-8A62-B57035E6CE53}"/>
            </c:ext>
          </c:extLst>
        </c:ser>
        <c:dLbls>
          <c:showLegendKey val="0"/>
          <c:showVal val="0"/>
          <c:showCatName val="0"/>
          <c:showSerName val="0"/>
          <c:showPercent val="0"/>
          <c:showBubbleSize val="0"/>
        </c:dLbls>
        <c:marker val="1"/>
        <c:smooth val="0"/>
        <c:axId val="334698000"/>
        <c:axId val="334696336"/>
      </c:lineChart>
      <c:catAx>
        <c:axId val="189949824"/>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ru-RU"/>
          </a:p>
        </c:txPr>
        <c:crossAx val="189951360"/>
        <c:crosses val="autoZero"/>
        <c:auto val="1"/>
        <c:lblAlgn val="ctr"/>
        <c:lblOffset val="100"/>
        <c:noMultiLvlLbl val="0"/>
      </c:catAx>
      <c:valAx>
        <c:axId val="189951360"/>
        <c:scaling>
          <c:orientation val="minMax"/>
          <c:max val="7500"/>
          <c:min val="-500"/>
        </c:scaling>
        <c:delete val="0"/>
        <c:axPos val="l"/>
        <c:majorGridlines>
          <c:spPr>
            <a:ln w="9525" cap="flat" cmpd="sng" algn="ctr">
              <a:solidFill>
                <a:schemeClr val="tx2">
                  <a:lumMod val="15000"/>
                  <a:lumOff val="85000"/>
                </a:schemeClr>
              </a:solidFill>
              <a:round/>
            </a:ln>
            <a:effectLst/>
          </c:spPr>
        </c:majorGridlines>
        <c:numFmt formatCode="_-* #\ ##0_р_._-;\-* #\ ##0_р_._-;_-* &quot;-&quot;??_р_.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ru-RU"/>
          </a:p>
        </c:txPr>
        <c:crossAx val="189949824"/>
        <c:crosses val="autoZero"/>
        <c:crossBetween val="between"/>
        <c:majorUnit val="500"/>
      </c:valAx>
      <c:valAx>
        <c:axId val="334696336"/>
        <c:scaling>
          <c:orientation val="minMax"/>
        </c:scaling>
        <c:delete val="1"/>
        <c:axPos val="r"/>
        <c:numFmt formatCode="_-* #\ ##0_р_._-;\-* #\ ##0_р_._-;_-* &quot;-&quot;??_р_._-;_-@_-" sourceLinked="1"/>
        <c:majorTickMark val="out"/>
        <c:minorTickMark val="none"/>
        <c:tickLblPos val="nextTo"/>
        <c:crossAx val="334698000"/>
        <c:crosses val="max"/>
        <c:crossBetween val="between"/>
      </c:valAx>
      <c:catAx>
        <c:axId val="334698000"/>
        <c:scaling>
          <c:orientation val="minMax"/>
        </c:scaling>
        <c:delete val="1"/>
        <c:axPos val="b"/>
        <c:numFmt formatCode="General" sourceLinked="1"/>
        <c:majorTickMark val="out"/>
        <c:minorTickMark val="none"/>
        <c:tickLblPos val="nextTo"/>
        <c:crossAx val="3346963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50" b="0" i="0" u="none" strike="noStrike" kern="1200" baseline="0">
              <a:solidFill>
                <a:schemeClr val="tx1">
                  <a:lumMod val="95000"/>
                  <a:lumOff val="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'[разбивка обязательств (rus, eng, uzb).xlsx]Разбивка обязательств (eng)'!$A$8</c:f>
              <c:strCache>
                <c:ptCount val="1"/>
                <c:pt idx="0">
                  <c:v>Direct investment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'[разбивка обязательств (rus, eng, uzb).xlsx]Разбивка обязательств (eng)'!$D$7:$H$7</c:f>
              <c:numCache>
                <c:formatCode>General</c:formatCode>
                <c:ptCount val="5"/>
                <c:pt idx="0">
                  <c:v>2016</c:v>
                </c:pt>
                <c:pt idx="1">
                  <c:v>2017</c:v>
                </c:pt>
                <c:pt idx="2">
                  <c:v>2018</c:v>
                </c:pt>
                <c:pt idx="3">
                  <c:v>2019</c:v>
                </c:pt>
                <c:pt idx="4">
                  <c:v>2020</c:v>
                </c:pt>
              </c:numCache>
            </c:numRef>
          </c:cat>
          <c:val>
            <c:numRef>
              <c:f>'[разбивка обязательств (rus, eng, uzb).xlsx]Разбивка обязательств (eng)'!$D$8:$H$8</c:f>
              <c:numCache>
                <c:formatCode>0%</c:formatCode>
                <c:ptCount val="5"/>
                <c:pt idx="0">
                  <c:v>0.54820650856473085</c:v>
                </c:pt>
                <c:pt idx="1">
                  <c:v>0.63538920679357602</c:v>
                </c:pt>
                <c:pt idx="2">
                  <c:v>0.23349113285216558</c:v>
                </c:pt>
                <c:pt idx="3">
                  <c:v>0.28307310344277714</c:v>
                </c:pt>
                <c:pt idx="4">
                  <c:v>0.19594693522780196</c:v>
                </c:pt>
              </c:numCache>
            </c:numRef>
          </c:val>
          <c:extLst>
            <c:ext xmlns:c16="http://schemas.microsoft.com/office/drawing/2014/chart" uri="{C3380CC4-5D6E-409C-BE32-E72D297353CC}">
              <c16:uniqueId val="{00000000-0AA9-414B-A61C-53700B51F0BC}"/>
            </c:ext>
          </c:extLst>
        </c:ser>
        <c:ser>
          <c:idx val="1"/>
          <c:order val="1"/>
          <c:tx>
            <c:strRef>
              <c:f>'[разбивка обязательств (rus, eng, uzb).xlsx]Разбивка обязательств (eng)'!$A$9</c:f>
              <c:strCache>
                <c:ptCount val="1"/>
                <c:pt idx="0">
                  <c:v>Disbursement of loans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'[разбивка обязательств (rus, eng, uzb).xlsx]Разбивка обязательств (eng)'!$D$7:$H$7</c:f>
              <c:numCache>
                <c:formatCode>General</c:formatCode>
                <c:ptCount val="5"/>
                <c:pt idx="0">
                  <c:v>2016</c:v>
                </c:pt>
                <c:pt idx="1">
                  <c:v>2017</c:v>
                </c:pt>
                <c:pt idx="2">
                  <c:v>2018</c:v>
                </c:pt>
                <c:pt idx="3">
                  <c:v>2019</c:v>
                </c:pt>
                <c:pt idx="4">
                  <c:v>2020</c:v>
                </c:pt>
              </c:numCache>
            </c:numRef>
          </c:cat>
          <c:val>
            <c:numRef>
              <c:f>'[разбивка обязательств (rus, eng, uzb).xlsx]Разбивка обязательств (eng)'!$D$9:$H$9</c:f>
              <c:numCache>
                <c:formatCode>0%</c:formatCode>
                <c:ptCount val="5"/>
                <c:pt idx="0">
                  <c:v>0.45179349143526909</c:v>
                </c:pt>
                <c:pt idx="1">
                  <c:v>0.36461079320642398</c:v>
                </c:pt>
                <c:pt idx="2">
                  <c:v>0.76650886714783428</c:v>
                </c:pt>
                <c:pt idx="3">
                  <c:v>0.71692689655722275</c:v>
                </c:pt>
                <c:pt idx="4">
                  <c:v>0.80405306477219807</c:v>
                </c:pt>
              </c:numCache>
            </c:numRef>
          </c:val>
          <c:extLst>
            <c:ext xmlns:c16="http://schemas.microsoft.com/office/drawing/2014/chart" uri="{C3380CC4-5D6E-409C-BE32-E72D297353CC}">
              <c16:uniqueId val="{00000001-0AA9-414B-A61C-53700B51F0BC}"/>
            </c:ext>
          </c:extLst>
        </c:ser>
        <c:dLbls>
          <c:dLblPos val="outEnd"/>
          <c:showLegendKey val="0"/>
          <c:showVal val="1"/>
          <c:showCatName val="0"/>
          <c:showSerName val="0"/>
          <c:showPercent val="0"/>
          <c:showBubbleSize val="0"/>
        </c:dLbls>
        <c:gapWidth val="100"/>
        <c:overlap val="-24"/>
        <c:axId val="1501575343"/>
        <c:axId val="1501579087"/>
      </c:barChart>
      <c:catAx>
        <c:axId val="150157534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ru-RU"/>
          </a:p>
        </c:txPr>
        <c:crossAx val="1501579087"/>
        <c:crosses val="autoZero"/>
        <c:auto val="1"/>
        <c:lblAlgn val="ctr"/>
        <c:lblOffset val="100"/>
        <c:noMultiLvlLbl val="0"/>
      </c:catAx>
      <c:valAx>
        <c:axId val="1501579087"/>
        <c:scaling>
          <c:orientation val="minMax"/>
          <c:max val="1"/>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ru-RU"/>
          </a:p>
        </c:txPr>
        <c:crossAx val="1501575343"/>
        <c:crosses val="autoZero"/>
        <c:crossBetween val="between"/>
        <c:majorUnit val="0.2"/>
        <c:min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47071868204714"/>
          <c:y val="3.1903792198388993E-2"/>
          <c:w val="0.87876534071738899"/>
          <c:h val="0.78667503846501941"/>
        </c:manualLayout>
      </c:layout>
      <c:barChart>
        <c:barDir val="col"/>
        <c:grouping val="clustered"/>
        <c:varyColors val="0"/>
        <c:ser>
          <c:idx val="1"/>
          <c:order val="1"/>
          <c:tx>
            <c:strRef>
              <c:f>'[мип (rus).xlsx]чистый МИП 2014-2020 (EN)'!$A$3</c:f>
              <c:strCache>
                <c:ptCount val="1"/>
                <c:pt idx="0">
                  <c:v>General government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'[мип (rus).xlsx]чистый МИП 2014-2020 (EN)'!$F$1:$H$1</c:f>
              <c:strCache>
                <c:ptCount val="3"/>
                <c:pt idx="0">
                  <c:v>January 1, 2019</c:v>
                </c:pt>
                <c:pt idx="1">
                  <c:v>January 1, 2020</c:v>
                </c:pt>
                <c:pt idx="2">
                  <c:v>January 1, 2021</c:v>
                </c:pt>
              </c:strCache>
            </c:strRef>
          </c:cat>
          <c:val>
            <c:numRef>
              <c:f>'[мип (rus).xlsx]чистый МИП 2014-2020 (EN)'!$F$3:$H$3</c:f>
              <c:numCache>
                <c:formatCode>_-* #\ ##0\ _₽_-;\-* #\ ##0\ _₽_-;_-* "-"??\ _₽_-;_-@_-</c:formatCode>
                <c:ptCount val="3"/>
                <c:pt idx="0">
                  <c:v>18931.148233444179</c:v>
                </c:pt>
                <c:pt idx="1">
                  <c:v>17068.939447410994</c:v>
                </c:pt>
                <c:pt idx="2">
                  <c:v>18399.679165240814</c:v>
                </c:pt>
              </c:numCache>
            </c:numRef>
          </c:val>
          <c:extLst>
            <c:ext xmlns:c16="http://schemas.microsoft.com/office/drawing/2014/chart" uri="{C3380CC4-5D6E-409C-BE32-E72D297353CC}">
              <c16:uniqueId val="{00000000-EFBB-4A74-9DD8-8C4A2E7047E9}"/>
            </c:ext>
          </c:extLst>
        </c:ser>
        <c:ser>
          <c:idx val="2"/>
          <c:order val="2"/>
          <c:tx>
            <c:strRef>
              <c:f>'[мип (rus).xlsx]чистый МИП 2014-2020 (EN)'!$A$4</c:f>
              <c:strCache>
                <c:ptCount val="1"/>
                <c:pt idx="0">
                  <c:v>Banking sector</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'[мип (rus).xlsx]чистый МИП 2014-2020 (EN)'!$F$1:$H$1</c:f>
              <c:strCache>
                <c:ptCount val="3"/>
                <c:pt idx="0">
                  <c:v>January 1, 2019</c:v>
                </c:pt>
                <c:pt idx="1">
                  <c:v>January 1, 2020</c:v>
                </c:pt>
                <c:pt idx="2">
                  <c:v>January 1, 2021</c:v>
                </c:pt>
              </c:strCache>
            </c:strRef>
          </c:cat>
          <c:val>
            <c:numRef>
              <c:f>'[мип (rus).xlsx]чистый МИП 2014-2020 (EN)'!$F$4:$H$4</c:f>
              <c:numCache>
                <c:formatCode>_-* #\ ##0\ _₽_-;\-* #\ ##0\ _₽_-;_-* "-"??\ _₽_-;_-@_-</c:formatCode>
                <c:ptCount val="3"/>
                <c:pt idx="0">
                  <c:v>889.10788892232449</c:v>
                </c:pt>
                <c:pt idx="1">
                  <c:v>-1206.0014617797947</c:v>
                </c:pt>
                <c:pt idx="2">
                  <c:v>-4232.875580780561</c:v>
                </c:pt>
              </c:numCache>
            </c:numRef>
          </c:val>
          <c:extLst>
            <c:ext xmlns:c16="http://schemas.microsoft.com/office/drawing/2014/chart" uri="{C3380CC4-5D6E-409C-BE32-E72D297353CC}">
              <c16:uniqueId val="{00000001-EFBB-4A74-9DD8-8C4A2E7047E9}"/>
            </c:ext>
          </c:extLst>
        </c:ser>
        <c:ser>
          <c:idx val="3"/>
          <c:order val="3"/>
          <c:tx>
            <c:strRef>
              <c:f>'[мип (rus).xlsx]чистый МИП 2014-2020 (EN)'!$A$5</c:f>
              <c:strCache>
                <c:ptCount val="1"/>
                <c:pt idx="0">
                  <c:v>Other sectors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'[мип (rus).xlsx]чистый МИП 2014-2020 (EN)'!$F$1:$H$1</c:f>
              <c:strCache>
                <c:ptCount val="3"/>
                <c:pt idx="0">
                  <c:v>January 1, 2019</c:v>
                </c:pt>
                <c:pt idx="1">
                  <c:v>January 1, 2020</c:v>
                </c:pt>
                <c:pt idx="2">
                  <c:v>January 1, 2021</c:v>
                </c:pt>
              </c:strCache>
            </c:strRef>
          </c:cat>
          <c:val>
            <c:numRef>
              <c:f>'[мип (rus).xlsx]чистый МИП 2014-2020 (EN)'!$F$5:$H$5</c:f>
              <c:numCache>
                <c:formatCode>_-* #\ ##0\ _₽_-;\-* #\ ##0\ _₽_-;_-* "-"??\ _₽_-;_-@_-</c:formatCode>
                <c:ptCount val="3"/>
                <c:pt idx="0">
                  <c:v>2259.6226448875896</c:v>
                </c:pt>
                <c:pt idx="1">
                  <c:v>3936.5348256438265</c:v>
                </c:pt>
                <c:pt idx="2">
                  <c:v>6200.2938955002282</c:v>
                </c:pt>
              </c:numCache>
            </c:numRef>
          </c:val>
          <c:extLst>
            <c:ext xmlns:c16="http://schemas.microsoft.com/office/drawing/2014/chart" uri="{C3380CC4-5D6E-409C-BE32-E72D297353CC}">
              <c16:uniqueId val="{00000002-EFBB-4A74-9DD8-8C4A2E7047E9}"/>
            </c:ext>
          </c:extLst>
        </c:ser>
        <c:dLbls>
          <c:showLegendKey val="0"/>
          <c:showVal val="0"/>
          <c:showCatName val="0"/>
          <c:showSerName val="0"/>
          <c:showPercent val="0"/>
          <c:showBubbleSize val="0"/>
        </c:dLbls>
        <c:gapWidth val="219"/>
        <c:overlap val="-27"/>
        <c:axId val="56299520"/>
        <c:axId val="56301056"/>
      </c:barChart>
      <c:lineChart>
        <c:grouping val="standard"/>
        <c:varyColors val="0"/>
        <c:ser>
          <c:idx val="0"/>
          <c:order val="0"/>
          <c:tx>
            <c:strRef>
              <c:f>'[мип (rus).xlsx]чистый МИП 2014-2020 (EN)'!$A$2</c:f>
              <c:strCache>
                <c:ptCount val="1"/>
                <c:pt idx="0">
                  <c:v>Net IIP</c:v>
                </c:pt>
              </c:strCache>
            </c:strRef>
          </c:tx>
          <c:spPr>
            <a:ln w="22225" cap="rnd">
              <a:solidFill>
                <a:schemeClr val="accent1"/>
              </a:solidFill>
              <a:round/>
            </a:ln>
            <a:effectLst/>
          </c:spPr>
          <c:marker>
            <c:symbol val="circle"/>
            <c:size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dLbls>
            <c:dLbl>
              <c:idx val="1"/>
              <c:layout>
                <c:manualLayout>
                  <c:x val="-2.2912569987262345E-2"/>
                  <c:y val="-3.62141370259752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FBB-4A74-9DD8-8C4A2E7047E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'[мип (rus).xlsx]чистый МИП 2014-2020 (EN)'!$F$1:$H$1</c:f>
              <c:strCache>
                <c:ptCount val="3"/>
                <c:pt idx="0">
                  <c:v>January 1, 2019</c:v>
                </c:pt>
                <c:pt idx="1">
                  <c:v>January 1, 2020</c:v>
                </c:pt>
                <c:pt idx="2">
                  <c:v>January 1, 2021</c:v>
                </c:pt>
              </c:strCache>
            </c:strRef>
          </c:cat>
          <c:val>
            <c:numRef>
              <c:f>'[мип (rus).xlsx]чистый МИП 2014-2020 (EN)'!$F$2:$H$2</c:f>
              <c:numCache>
                <c:formatCode>_-* #\ ##0\ _₽_-;\-* #\ ##0\ _₽_-;_-* "-"??\ _₽_-;_-@_-</c:formatCode>
                <c:ptCount val="3"/>
                <c:pt idx="0">
                  <c:v>22079.878767254093</c:v>
                </c:pt>
                <c:pt idx="1">
                  <c:v>19799.472811275024</c:v>
                </c:pt>
                <c:pt idx="2">
                  <c:v>20367.097479960481</c:v>
                </c:pt>
              </c:numCache>
            </c:numRef>
          </c:val>
          <c:smooth val="0"/>
          <c:extLst>
            <c:ext xmlns:c16="http://schemas.microsoft.com/office/drawing/2014/chart" uri="{C3380CC4-5D6E-409C-BE32-E72D297353CC}">
              <c16:uniqueId val="{00000004-EFBB-4A74-9DD8-8C4A2E7047E9}"/>
            </c:ext>
          </c:extLst>
        </c:ser>
        <c:dLbls>
          <c:showLegendKey val="0"/>
          <c:showVal val="0"/>
          <c:showCatName val="0"/>
          <c:showSerName val="0"/>
          <c:showPercent val="0"/>
          <c:showBubbleSize val="0"/>
        </c:dLbls>
        <c:marker val="1"/>
        <c:smooth val="0"/>
        <c:axId val="56299520"/>
        <c:axId val="56301056"/>
      </c:lineChart>
      <c:catAx>
        <c:axId val="56299520"/>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ru-RU"/>
          </a:p>
        </c:txPr>
        <c:crossAx val="56301056"/>
        <c:crosses val="autoZero"/>
        <c:auto val="1"/>
        <c:lblAlgn val="ctr"/>
        <c:lblOffset val="100"/>
        <c:noMultiLvlLbl val="0"/>
      </c:catAx>
      <c:valAx>
        <c:axId val="56301056"/>
        <c:scaling>
          <c:orientation val="minMax"/>
          <c:max val="25000"/>
          <c:min val="-5000"/>
        </c:scaling>
        <c:delete val="0"/>
        <c:axPos val="l"/>
        <c:majorGridlines>
          <c:spPr>
            <a:ln w="9525" cap="flat" cmpd="sng" algn="ctr">
              <a:solidFill>
                <a:schemeClr val="tx2">
                  <a:lumMod val="15000"/>
                  <a:lumOff val="85000"/>
                </a:schemeClr>
              </a:solidFill>
              <a:round/>
            </a:ln>
            <a:effectLst/>
          </c:spPr>
        </c:majorGridlines>
        <c:numFmt formatCode="_-* #\ ##0\ _₽_-;\-* #\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ru-RU"/>
          </a:p>
        </c:txPr>
        <c:crossAx val="56299520"/>
        <c:crosses val="autoZero"/>
        <c:crossBetween val="between"/>
        <c:majorUnit val="5000"/>
      </c:valAx>
      <c:spPr>
        <a:noFill/>
        <a:ln>
          <a:noFill/>
        </a:ln>
        <a:effectLst/>
      </c:spPr>
    </c:plotArea>
    <c:legend>
      <c:legendPos val="b"/>
      <c:layout>
        <c:manualLayout>
          <c:xMode val="edge"/>
          <c:yMode val="edge"/>
          <c:x val="7.9681213315675806E-2"/>
          <c:y val="0.91475337134582324"/>
          <c:w val="0.83497468047758538"/>
          <c:h val="6.800524934383202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538707185759915E-2"/>
          <c:y val="4.0415883642655109E-2"/>
          <c:w val="0.91226217513440411"/>
          <c:h val="0.70083015905156987"/>
        </c:manualLayout>
      </c:layout>
      <c:barChart>
        <c:barDir val="col"/>
        <c:grouping val="stacked"/>
        <c:varyColors val="0"/>
        <c:ser>
          <c:idx val="0"/>
          <c:order val="0"/>
          <c:tx>
            <c:strRef>
              <c:f>'[0 Диаграммалар 2016-2020 9 ой.xlsx]Салдо Тек. сч 1д (UZ)'!$E$34</c:f>
              <c:strCache>
                <c:ptCount val="1"/>
                <c:pt idx="0">
                  <c:v>Goods</c:v>
                </c:pt>
              </c:strCache>
            </c:strRef>
          </c:tx>
          <c:spPr>
            <a:solidFill>
              <a:schemeClr val="bg1">
                <a:lumMod val="65000"/>
              </a:schemeClr>
            </a:solidFill>
            <a:ln>
              <a:noFill/>
            </a:ln>
            <a:effectLst/>
          </c:spPr>
          <c:invertIfNegative val="0"/>
          <c:cat>
            <c:strRef>
              <c:f>'[0 Диаграммалар 2016-2020 9 ой.xlsx]Салдо Тек. сч 1д (UZ)'!$A$35:$A$46</c:f>
              <c:strCache>
                <c:ptCount val="12"/>
                <c:pt idx="0">
                  <c:v>I-2018</c:v>
                </c:pt>
                <c:pt idx="1">
                  <c:v>II-2018</c:v>
                </c:pt>
                <c:pt idx="2">
                  <c:v>III-2018</c:v>
                </c:pt>
                <c:pt idx="3">
                  <c:v>IV-2018</c:v>
                </c:pt>
                <c:pt idx="4">
                  <c:v>I-2019</c:v>
                </c:pt>
                <c:pt idx="5">
                  <c:v>II-2019</c:v>
                </c:pt>
                <c:pt idx="6">
                  <c:v>III-2019</c:v>
                </c:pt>
                <c:pt idx="7">
                  <c:v>IV-2019</c:v>
                </c:pt>
                <c:pt idx="8">
                  <c:v>I-2020</c:v>
                </c:pt>
                <c:pt idx="9">
                  <c:v>II-2020</c:v>
                </c:pt>
                <c:pt idx="10">
                  <c:v>III-2020</c:v>
                </c:pt>
                <c:pt idx="11">
                  <c:v>IV-2020</c:v>
                </c:pt>
              </c:strCache>
            </c:strRef>
          </c:cat>
          <c:val>
            <c:numRef>
              <c:f>'[0 Диаграммалар 2016-2020 9 ой.xlsx]Салдо Тек. сч 1д (UZ)'!$E$35:$E$46</c:f>
              <c:numCache>
                <c:formatCode>_-* #\ ##0.0_р_._-;\-* #\ ##0.0_р_._-;_-* "-"??_р_._-;_-@_-</c:formatCode>
                <c:ptCount val="12"/>
                <c:pt idx="0">
                  <c:v>-770.86099527261058</c:v>
                </c:pt>
                <c:pt idx="1">
                  <c:v>-2168.8877188647848</c:v>
                </c:pt>
                <c:pt idx="2">
                  <c:v>-2512.3881000126898</c:v>
                </c:pt>
                <c:pt idx="3">
                  <c:v>-1414.7184465848968</c:v>
                </c:pt>
                <c:pt idx="4">
                  <c:v>-1696.7435849152748</c:v>
                </c:pt>
                <c:pt idx="5">
                  <c:v>-1877.5568837872925</c:v>
                </c:pt>
                <c:pt idx="6">
                  <c:v>-1382.0424384141907</c:v>
                </c:pt>
                <c:pt idx="7">
                  <c:v>-2334.9823933131884</c:v>
                </c:pt>
                <c:pt idx="8">
                  <c:v>-1682.0689011955792</c:v>
                </c:pt>
                <c:pt idx="9">
                  <c:v>-1710.8777963896</c:v>
                </c:pt>
                <c:pt idx="10">
                  <c:v>617.87143068978457</c:v>
                </c:pt>
                <c:pt idx="11">
                  <c:v>-3450.0880022995102</c:v>
                </c:pt>
              </c:numCache>
            </c:numRef>
          </c:val>
          <c:extLst>
            <c:ext xmlns:c16="http://schemas.microsoft.com/office/drawing/2014/chart" uri="{C3380CC4-5D6E-409C-BE32-E72D297353CC}">
              <c16:uniqueId val="{00000000-91D2-4554-A600-94150E9B013F}"/>
            </c:ext>
          </c:extLst>
        </c:ser>
        <c:ser>
          <c:idx val="1"/>
          <c:order val="1"/>
          <c:tx>
            <c:strRef>
              <c:f>'[0 Диаграммалар 2016-2020 9 ой.xlsx]Салдо Тек. сч 1д (UZ)'!$F$34</c:f>
              <c:strCache>
                <c:ptCount val="1"/>
                <c:pt idx="0">
                  <c:v>Primary income</c:v>
                </c:pt>
              </c:strCache>
            </c:strRef>
          </c:tx>
          <c:spPr>
            <a:solidFill>
              <a:schemeClr val="accent2"/>
            </a:solidFill>
            <a:ln>
              <a:noFill/>
            </a:ln>
            <a:effectLst/>
          </c:spPr>
          <c:invertIfNegative val="0"/>
          <c:cat>
            <c:strRef>
              <c:f>'[0 Диаграммалар 2016-2020 9 ой.xlsx]Салдо Тек. сч 1д (UZ)'!$A$35:$A$46</c:f>
              <c:strCache>
                <c:ptCount val="12"/>
                <c:pt idx="0">
                  <c:v>I-2018</c:v>
                </c:pt>
                <c:pt idx="1">
                  <c:v>II-2018</c:v>
                </c:pt>
                <c:pt idx="2">
                  <c:v>III-2018</c:v>
                </c:pt>
                <c:pt idx="3">
                  <c:v>IV-2018</c:v>
                </c:pt>
                <c:pt idx="4">
                  <c:v>I-2019</c:v>
                </c:pt>
                <c:pt idx="5">
                  <c:v>II-2019</c:v>
                </c:pt>
                <c:pt idx="6">
                  <c:v>III-2019</c:v>
                </c:pt>
                <c:pt idx="7">
                  <c:v>IV-2019</c:v>
                </c:pt>
                <c:pt idx="8">
                  <c:v>I-2020</c:v>
                </c:pt>
                <c:pt idx="9">
                  <c:v>II-2020</c:v>
                </c:pt>
                <c:pt idx="10">
                  <c:v>III-2020</c:v>
                </c:pt>
                <c:pt idx="11">
                  <c:v>IV-2020</c:v>
                </c:pt>
              </c:strCache>
            </c:strRef>
          </c:cat>
          <c:val>
            <c:numRef>
              <c:f>'[0 Диаграммалар 2016-2020 9 ой.xlsx]Салдо Тек. сч 1д (UZ)'!$F$35:$F$46</c:f>
              <c:numCache>
                <c:formatCode>_-* #\ ##0.0_р_._-;\-* #\ ##0.0_р_._-;_-* "-"??_р_._-;_-@_-</c:formatCode>
                <c:ptCount val="12"/>
                <c:pt idx="0">
                  <c:v>314.68695096453939</c:v>
                </c:pt>
                <c:pt idx="1">
                  <c:v>331.80682724972201</c:v>
                </c:pt>
                <c:pt idx="2">
                  <c:v>390.23437037899856</c:v>
                </c:pt>
                <c:pt idx="3">
                  <c:v>470.81692100674104</c:v>
                </c:pt>
                <c:pt idx="4">
                  <c:v>341.88763522539602</c:v>
                </c:pt>
                <c:pt idx="5">
                  <c:v>387.85819495960743</c:v>
                </c:pt>
                <c:pt idx="6">
                  <c:v>260.49597233949351</c:v>
                </c:pt>
                <c:pt idx="7">
                  <c:v>-253.04459586417784</c:v>
                </c:pt>
                <c:pt idx="8">
                  <c:v>210.21860345425927</c:v>
                </c:pt>
                <c:pt idx="9">
                  <c:v>-91.766505938884109</c:v>
                </c:pt>
                <c:pt idx="10">
                  <c:v>-47.117128719182347</c:v>
                </c:pt>
                <c:pt idx="11">
                  <c:v>-312.35277746565214</c:v>
                </c:pt>
              </c:numCache>
            </c:numRef>
          </c:val>
          <c:extLst>
            <c:ext xmlns:c16="http://schemas.microsoft.com/office/drawing/2014/chart" uri="{C3380CC4-5D6E-409C-BE32-E72D297353CC}">
              <c16:uniqueId val="{00000001-91D2-4554-A600-94150E9B013F}"/>
            </c:ext>
          </c:extLst>
        </c:ser>
        <c:ser>
          <c:idx val="3"/>
          <c:order val="3"/>
          <c:tx>
            <c:strRef>
              <c:f>'[0 Диаграммалар 2016-2020 9 ой.xlsx]Салдо Тек. сч 1д (UZ)'!$H$34</c:f>
              <c:strCache>
                <c:ptCount val="1"/>
                <c:pt idx="0">
                  <c:v>Services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'[0 Диаграммалар 2016-2020 9 ой.xlsx]Салдо Тек. сч 1д (UZ)'!$A$35:$A$46</c:f>
              <c:strCache>
                <c:ptCount val="12"/>
                <c:pt idx="0">
                  <c:v>I-2018</c:v>
                </c:pt>
                <c:pt idx="1">
                  <c:v>II-2018</c:v>
                </c:pt>
                <c:pt idx="2">
                  <c:v>III-2018</c:v>
                </c:pt>
                <c:pt idx="3">
                  <c:v>IV-2018</c:v>
                </c:pt>
                <c:pt idx="4">
                  <c:v>I-2019</c:v>
                </c:pt>
                <c:pt idx="5">
                  <c:v>II-2019</c:v>
                </c:pt>
                <c:pt idx="6">
                  <c:v>III-2019</c:v>
                </c:pt>
                <c:pt idx="7">
                  <c:v>IV-2019</c:v>
                </c:pt>
                <c:pt idx="8">
                  <c:v>I-2020</c:v>
                </c:pt>
                <c:pt idx="9">
                  <c:v>II-2020</c:v>
                </c:pt>
                <c:pt idx="10">
                  <c:v>III-2020</c:v>
                </c:pt>
                <c:pt idx="11">
                  <c:v>IV-2020</c:v>
                </c:pt>
              </c:strCache>
            </c:strRef>
          </c:cat>
          <c:val>
            <c:numRef>
              <c:f>'[0 Диаграммалар 2016-2020 9 ой.xlsx]Салдо Тек. сч 1д (UZ)'!$H$35:$H$46</c:f>
              <c:numCache>
                <c:formatCode>_-* #\ ##0.0_р_._-;\-* #\ ##0.0_р_._-;_-* "-"??_р_._-;_-@_-</c:formatCode>
                <c:ptCount val="12"/>
                <c:pt idx="0">
                  <c:v>-569.84212200354614</c:v>
                </c:pt>
                <c:pt idx="1">
                  <c:v>-561.6800816861479</c:v>
                </c:pt>
                <c:pt idx="2">
                  <c:v>-666.55419436862235</c:v>
                </c:pt>
                <c:pt idx="3">
                  <c:v>-643.47829393559778</c:v>
                </c:pt>
                <c:pt idx="4">
                  <c:v>-554.03529090823781</c:v>
                </c:pt>
                <c:pt idx="5">
                  <c:v>-522.39773014021875</c:v>
                </c:pt>
                <c:pt idx="6">
                  <c:v>-607.33233052644403</c:v>
                </c:pt>
                <c:pt idx="7">
                  <c:v>-582.29430779444795</c:v>
                </c:pt>
                <c:pt idx="8">
                  <c:v>-457.42831116650416</c:v>
                </c:pt>
                <c:pt idx="9">
                  <c:v>-371.1337302735563</c:v>
                </c:pt>
                <c:pt idx="10">
                  <c:v>-442.54182491393419</c:v>
                </c:pt>
                <c:pt idx="11">
                  <c:v>-540.07037529591071</c:v>
                </c:pt>
              </c:numCache>
            </c:numRef>
          </c:val>
          <c:extLst>
            <c:ext xmlns:c16="http://schemas.microsoft.com/office/drawing/2014/chart" uri="{C3380CC4-5D6E-409C-BE32-E72D297353CC}">
              <c16:uniqueId val="{00000002-91D2-4554-A600-94150E9B013F}"/>
            </c:ext>
          </c:extLst>
        </c:ser>
        <c:ser>
          <c:idx val="4"/>
          <c:order val="4"/>
          <c:tx>
            <c:strRef>
              <c:f>'[0 Диаграммалар 2016-2020 9 ой.xlsx]Салдо Тек. сч 1д (UZ)'!$I$34</c:f>
              <c:strCache>
                <c:ptCount val="1"/>
                <c:pt idx="0">
                  <c:v>Secondary income</c:v>
                </c:pt>
              </c:strCache>
            </c:strRef>
          </c:tx>
          <c:spPr>
            <a:solidFill>
              <a:schemeClr val="accent1"/>
            </a:solidFill>
            <a:ln>
              <a:noFill/>
            </a:ln>
            <a:effectLst/>
          </c:spPr>
          <c:invertIfNegative val="0"/>
          <c:cat>
            <c:strRef>
              <c:f>'[0 Диаграммалар 2016-2020 9 ой.xlsx]Салдо Тек. сч 1д (UZ)'!$A$35:$A$46</c:f>
              <c:strCache>
                <c:ptCount val="12"/>
                <c:pt idx="0">
                  <c:v>I-2018</c:v>
                </c:pt>
                <c:pt idx="1">
                  <c:v>II-2018</c:v>
                </c:pt>
                <c:pt idx="2">
                  <c:v>III-2018</c:v>
                </c:pt>
                <c:pt idx="3">
                  <c:v>IV-2018</c:v>
                </c:pt>
                <c:pt idx="4">
                  <c:v>I-2019</c:v>
                </c:pt>
                <c:pt idx="5">
                  <c:v>II-2019</c:v>
                </c:pt>
                <c:pt idx="6">
                  <c:v>III-2019</c:v>
                </c:pt>
                <c:pt idx="7">
                  <c:v>IV-2019</c:v>
                </c:pt>
                <c:pt idx="8">
                  <c:v>I-2020</c:v>
                </c:pt>
                <c:pt idx="9">
                  <c:v>II-2020</c:v>
                </c:pt>
                <c:pt idx="10">
                  <c:v>III-2020</c:v>
                </c:pt>
                <c:pt idx="11">
                  <c:v>IV-2020</c:v>
                </c:pt>
              </c:strCache>
            </c:strRef>
          </c:cat>
          <c:val>
            <c:numRef>
              <c:f>'[0 Диаграммалар 2016-2020 9 ой.xlsx]Салдо Тек. сч 1д (UZ)'!$I$35:$I$46</c:f>
              <c:numCache>
                <c:formatCode>_-* #\ ##0.0_р_._-;\-* #\ ##0.0_р_._-;_-* "-"??_р_._-;_-@_-</c:formatCode>
                <c:ptCount val="12"/>
                <c:pt idx="0">
                  <c:v>800.7963963437212</c:v>
                </c:pt>
                <c:pt idx="1">
                  <c:v>1010.5402757472448</c:v>
                </c:pt>
                <c:pt idx="2">
                  <c:v>1242.7358994793246</c:v>
                </c:pt>
                <c:pt idx="3">
                  <c:v>1153.6183879719263</c:v>
                </c:pt>
                <c:pt idx="4">
                  <c:v>862.69022311319122</c:v>
                </c:pt>
                <c:pt idx="5">
                  <c:v>1299.2012321381824</c:v>
                </c:pt>
                <c:pt idx="6">
                  <c:v>1714.3704906192827</c:v>
                </c:pt>
                <c:pt idx="7">
                  <c:v>1578.2878563829374</c:v>
                </c:pt>
                <c:pt idx="8">
                  <c:v>1018.0378083500202</c:v>
                </c:pt>
                <c:pt idx="9">
                  <c:v>1122.9743224081376</c:v>
                </c:pt>
                <c:pt idx="10">
                  <c:v>1466.9411959320669</c:v>
                </c:pt>
                <c:pt idx="11">
                  <c:v>1531.5358976590182</c:v>
                </c:pt>
              </c:numCache>
            </c:numRef>
          </c:val>
          <c:extLst>
            <c:ext xmlns:c16="http://schemas.microsoft.com/office/drawing/2014/chart" uri="{C3380CC4-5D6E-409C-BE32-E72D297353CC}">
              <c16:uniqueId val="{00000003-91D2-4554-A600-94150E9B013F}"/>
            </c:ext>
          </c:extLst>
        </c:ser>
        <c:dLbls>
          <c:showLegendKey val="0"/>
          <c:showVal val="0"/>
          <c:showCatName val="0"/>
          <c:showSerName val="0"/>
          <c:showPercent val="0"/>
          <c:showBubbleSize val="0"/>
        </c:dLbls>
        <c:gapWidth val="233"/>
        <c:overlap val="100"/>
        <c:axId val="212231200"/>
        <c:axId val="212232864"/>
      </c:barChart>
      <c:scatterChart>
        <c:scatterStyle val="smoothMarker"/>
        <c:varyColors val="0"/>
        <c:ser>
          <c:idx val="2"/>
          <c:order val="2"/>
          <c:tx>
            <c:strRef>
              <c:f>'[0 Диаграммалар 2016-2020 9 ой.xlsx]Салдо Тек. сч 1д (UZ)'!$G$34</c:f>
              <c:strCache>
                <c:ptCount val="1"/>
                <c:pt idx="0">
                  <c:v>Current account balance</c:v>
                </c:pt>
              </c:strCache>
            </c:strRef>
          </c:tx>
          <c:spPr>
            <a:ln w="31750" cap="rnd">
              <a:solidFill>
                <a:schemeClr val="accent1"/>
              </a:solidFill>
              <a:round/>
            </a:ln>
            <a:effectLst/>
          </c:spPr>
          <c:marker>
            <c:symbol val="circle"/>
            <c:size val="6"/>
            <c:spPr>
              <a:solidFill>
                <a:schemeClr val="accent1"/>
              </a:solidFill>
              <a:ln w="12700">
                <a:solidFill>
                  <a:schemeClr val="lt2"/>
                </a:solidFill>
                <a:round/>
              </a:ln>
              <a:effectLst/>
            </c:spPr>
          </c:marker>
          <c:dLbls>
            <c:dLbl>
              <c:idx val="0"/>
              <c:layout>
                <c:manualLayout>
                  <c:x val="4.5195082679086781E-3"/>
                  <c:y val="5.50687992245619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D2-4554-A600-94150E9B013F}"/>
                </c:ext>
              </c:extLst>
            </c:dLbl>
            <c:dLbl>
              <c:idx val="1"/>
              <c:layout>
                <c:manualLayout>
                  <c:x val="-3.5734269230860809E-3"/>
                  <c:y val="-1.08288036576073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1D2-4554-A600-94150E9B013F}"/>
                </c:ext>
              </c:extLst>
            </c:dLbl>
            <c:dLbl>
              <c:idx val="2"/>
              <c:layout>
                <c:manualLayout>
                  <c:x val="-1.0222489954102342E-3"/>
                  <c:y val="1.08288036576073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D2-4554-A600-94150E9B013F}"/>
                </c:ext>
              </c:extLst>
            </c:dLbl>
            <c:dLbl>
              <c:idx val="3"/>
              <c:layout>
                <c:manualLayout>
                  <c:x val="8.3308619597477745E-3"/>
                  <c:y val="-3.801576837607330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D2-4554-A600-94150E9B013F}"/>
                </c:ext>
              </c:extLst>
            </c:dLbl>
            <c:dLbl>
              <c:idx val="4"/>
              <c:layout>
                <c:manualLayout>
                  <c:x val="-9.8689886322419554E-3"/>
                  <c:y val="2.73492506985013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1D2-4554-A600-94150E9B013F}"/>
                </c:ext>
              </c:extLst>
            </c:dLbl>
            <c:dLbl>
              <c:idx val="5"/>
              <c:layout>
                <c:manualLayout>
                  <c:x val="6.408172852218186E-3"/>
                  <c:y val="-2.115112603423414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1D2-4554-A600-94150E9B013F}"/>
                </c:ext>
              </c:extLst>
            </c:dLbl>
            <c:dLbl>
              <c:idx val="7"/>
              <c:layout>
                <c:manualLayout>
                  <c:x val="-6.1115886368452504E-3"/>
                  <c:y val="2.28387096774193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1D2-4554-A600-94150E9B013F}"/>
                </c:ext>
              </c:extLst>
            </c:dLbl>
            <c:dLbl>
              <c:idx val="8"/>
              <c:layout>
                <c:manualLayout>
                  <c:x val="0"/>
                  <c:y val="-1.96646632968350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1D2-4554-A600-94150E9B013F}"/>
                </c:ext>
              </c:extLst>
            </c:dLbl>
            <c:dLbl>
              <c:idx val="11"/>
              <c:layout>
                <c:manualLayout>
                  <c:x val="-6.652555185969157E-2"/>
                  <c:y val="-6.451612903225806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51-467B-AA58-32690B7F7822}"/>
                </c:ext>
              </c:extLst>
            </c:dLbl>
            <c:numFmt formatCode="#,##0" sourceLinked="0"/>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xVal>
            <c:strRef>
              <c:f>'[0 Диаграммалар 2016-2020 9 ой.xlsx]Салдо Тек. сч 1д (UZ)'!$A$35:$A$46</c:f>
              <c:strCache>
                <c:ptCount val="12"/>
                <c:pt idx="0">
                  <c:v>I-2018</c:v>
                </c:pt>
                <c:pt idx="1">
                  <c:v>II-2018</c:v>
                </c:pt>
                <c:pt idx="2">
                  <c:v>III-2018</c:v>
                </c:pt>
                <c:pt idx="3">
                  <c:v>IV-2018</c:v>
                </c:pt>
                <c:pt idx="4">
                  <c:v>I-2019</c:v>
                </c:pt>
                <c:pt idx="5">
                  <c:v>II-2019</c:v>
                </c:pt>
                <c:pt idx="6">
                  <c:v>III-2019</c:v>
                </c:pt>
                <c:pt idx="7">
                  <c:v>IV-2019</c:v>
                </c:pt>
                <c:pt idx="8">
                  <c:v>I-2020</c:v>
                </c:pt>
                <c:pt idx="9">
                  <c:v>II-2020</c:v>
                </c:pt>
                <c:pt idx="10">
                  <c:v>III-2020</c:v>
                </c:pt>
                <c:pt idx="11">
                  <c:v>IV-2020</c:v>
                </c:pt>
              </c:strCache>
            </c:strRef>
          </c:xVal>
          <c:yVal>
            <c:numRef>
              <c:f>'[0 Диаграммалар 2016-2020 9 ой.xlsx]Салдо Тек. сч 1д (UZ)'!$G$35:$G$46</c:f>
              <c:numCache>
                <c:formatCode>_-* #\ ##0.0_р_._-;\-* #\ ##0.0_р_._-;_-* "-"??_р_._-;_-@_-</c:formatCode>
                <c:ptCount val="12"/>
                <c:pt idx="0">
                  <c:v>-225.21976996789635</c:v>
                </c:pt>
                <c:pt idx="1">
                  <c:v>-1388.2206975539657</c:v>
                </c:pt>
                <c:pt idx="2">
                  <c:v>-1545.9720245229892</c:v>
                </c:pt>
                <c:pt idx="3">
                  <c:v>-433.76143154182773</c:v>
                </c:pt>
                <c:pt idx="4">
                  <c:v>-1046.2010174849247</c:v>
                </c:pt>
                <c:pt idx="5">
                  <c:v>-712.89518682972084</c:v>
                </c:pt>
                <c:pt idx="6">
                  <c:v>-14.508305981858939</c:v>
                </c:pt>
                <c:pt idx="7">
                  <c:v>-1592.0334405888761</c:v>
                </c:pt>
                <c:pt idx="8">
                  <c:v>-911.69556012355679</c:v>
                </c:pt>
                <c:pt idx="9">
                  <c:v>-1050.9323937324725</c:v>
                </c:pt>
                <c:pt idx="10">
                  <c:v>1595.1536729887357</c:v>
                </c:pt>
                <c:pt idx="11">
                  <c:v>-2770.9752574020558</c:v>
                </c:pt>
              </c:numCache>
            </c:numRef>
          </c:yVal>
          <c:smooth val="1"/>
          <c:extLst>
            <c:ext xmlns:c16="http://schemas.microsoft.com/office/drawing/2014/chart" uri="{C3380CC4-5D6E-409C-BE32-E72D297353CC}">
              <c16:uniqueId val="{0000000C-91D2-4554-A600-94150E9B013F}"/>
            </c:ext>
          </c:extLst>
        </c:ser>
        <c:dLbls>
          <c:showLegendKey val="0"/>
          <c:showVal val="0"/>
          <c:showCatName val="0"/>
          <c:showSerName val="0"/>
          <c:showPercent val="0"/>
          <c:showBubbleSize val="0"/>
        </c:dLbls>
        <c:axId val="212231200"/>
        <c:axId val="212232864"/>
      </c:scatterChart>
      <c:catAx>
        <c:axId val="212231200"/>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ru-RU"/>
          </a:p>
        </c:txPr>
        <c:crossAx val="212232864"/>
        <c:crosses val="autoZero"/>
        <c:auto val="1"/>
        <c:lblAlgn val="ctr"/>
        <c:lblOffset val="100"/>
        <c:noMultiLvlLbl val="0"/>
      </c:catAx>
      <c:valAx>
        <c:axId val="212232864"/>
        <c:scaling>
          <c:orientation val="minMax"/>
          <c:max val="3000"/>
          <c:min val="-5000"/>
        </c:scaling>
        <c:delete val="0"/>
        <c:axPos val="l"/>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12231200"/>
        <c:crosses val="autoZero"/>
        <c:crossBetween val="between"/>
        <c:majorUnit val="1000"/>
        <c:minorUnit val="500"/>
      </c:valAx>
      <c:spPr>
        <a:noFill/>
        <a:ln>
          <a:noFill/>
        </a:ln>
        <a:effectLst/>
      </c:spPr>
    </c:plotArea>
    <c:legend>
      <c:legendPos val="b"/>
      <c:layout>
        <c:manualLayout>
          <c:xMode val="edge"/>
          <c:yMode val="edge"/>
          <c:x val="0.19795409809099246"/>
          <c:y val="0.82922323805778164"/>
          <c:w val="0.65240166107938524"/>
          <c:h val="0.1477737510809758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2225" cap="rnd">
              <a:solidFill>
                <a:schemeClr val="accent1"/>
              </a:solidFill>
              <a:round/>
            </a:ln>
            <a:effectLst/>
          </c:spPr>
          <c:marker>
            <c:symbol val="none"/>
          </c:marker>
          <c:cat>
            <c:numRef>
              <c:f>'[Fixing Price Gold.xlsx]XAU FIX new'!$A$1016:$A$1271</c:f>
              <c:numCache>
                <c:formatCode>m/d/yyyy</c:formatCode>
                <c:ptCount val="256"/>
                <c:pt idx="0">
                  <c:v>43829</c:v>
                </c:pt>
                <c:pt idx="1">
                  <c:v>43830</c:v>
                </c:pt>
                <c:pt idx="2">
                  <c:v>43832</c:v>
                </c:pt>
                <c:pt idx="3">
                  <c:v>43833</c:v>
                </c:pt>
                <c:pt idx="4">
                  <c:v>43836</c:v>
                </c:pt>
                <c:pt idx="5">
                  <c:v>43837</c:v>
                </c:pt>
                <c:pt idx="6">
                  <c:v>43838</c:v>
                </c:pt>
                <c:pt idx="7">
                  <c:v>43839</c:v>
                </c:pt>
                <c:pt idx="8">
                  <c:v>43840</c:v>
                </c:pt>
                <c:pt idx="9">
                  <c:v>43843</c:v>
                </c:pt>
                <c:pt idx="10">
                  <c:v>43844</c:v>
                </c:pt>
                <c:pt idx="11">
                  <c:v>43845</c:v>
                </c:pt>
                <c:pt idx="12">
                  <c:v>43846</c:v>
                </c:pt>
                <c:pt idx="13">
                  <c:v>43847</c:v>
                </c:pt>
                <c:pt idx="14">
                  <c:v>43850</c:v>
                </c:pt>
                <c:pt idx="15">
                  <c:v>43851</c:v>
                </c:pt>
                <c:pt idx="16">
                  <c:v>43852</c:v>
                </c:pt>
                <c:pt idx="17">
                  <c:v>43853</c:v>
                </c:pt>
                <c:pt idx="18">
                  <c:v>43854</c:v>
                </c:pt>
                <c:pt idx="19">
                  <c:v>43857</c:v>
                </c:pt>
                <c:pt idx="20">
                  <c:v>43858</c:v>
                </c:pt>
                <c:pt idx="21">
                  <c:v>43859</c:v>
                </c:pt>
                <c:pt idx="22">
                  <c:v>43860</c:v>
                </c:pt>
                <c:pt idx="23">
                  <c:v>43861</c:v>
                </c:pt>
                <c:pt idx="24">
                  <c:v>43864</c:v>
                </c:pt>
                <c:pt idx="25">
                  <c:v>43865</c:v>
                </c:pt>
                <c:pt idx="26">
                  <c:v>43866</c:v>
                </c:pt>
                <c:pt idx="27">
                  <c:v>43867</c:v>
                </c:pt>
                <c:pt idx="28">
                  <c:v>43868</c:v>
                </c:pt>
                <c:pt idx="29">
                  <c:v>43871</c:v>
                </c:pt>
                <c:pt idx="30">
                  <c:v>43872</c:v>
                </c:pt>
                <c:pt idx="31">
                  <c:v>43873</c:v>
                </c:pt>
                <c:pt idx="32">
                  <c:v>43874</c:v>
                </c:pt>
                <c:pt idx="33">
                  <c:v>43875</c:v>
                </c:pt>
                <c:pt idx="34">
                  <c:v>43878</c:v>
                </c:pt>
                <c:pt idx="35">
                  <c:v>43879</c:v>
                </c:pt>
                <c:pt idx="36">
                  <c:v>43880</c:v>
                </c:pt>
                <c:pt idx="37">
                  <c:v>43881</c:v>
                </c:pt>
                <c:pt idx="38">
                  <c:v>43882</c:v>
                </c:pt>
                <c:pt idx="39">
                  <c:v>43885</c:v>
                </c:pt>
                <c:pt idx="40">
                  <c:v>43886</c:v>
                </c:pt>
                <c:pt idx="41">
                  <c:v>43887</c:v>
                </c:pt>
                <c:pt idx="42">
                  <c:v>43888</c:v>
                </c:pt>
                <c:pt idx="43">
                  <c:v>43889</c:v>
                </c:pt>
                <c:pt idx="44">
                  <c:v>43892</c:v>
                </c:pt>
                <c:pt idx="45">
                  <c:v>43893</c:v>
                </c:pt>
                <c:pt idx="46">
                  <c:v>43894</c:v>
                </c:pt>
                <c:pt idx="47">
                  <c:v>43895</c:v>
                </c:pt>
                <c:pt idx="48">
                  <c:v>43896</c:v>
                </c:pt>
                <c:pt idx="49">
                  <c:v>43899</c:v>
                </c:pt>
                <c:pt idx="50">
                  <c:v>43900</c:v>
                </c:pt>
                <c:pt idx="51">
                  <c:v>43901</c:v>
                </c:pt>
                <c:pt idx="52">
                  <c:v>43902</c:v>
                </c:pt>
                <c:pt idx="53">
                  <c:v>43903</c:v>
                </c:pt>
                <c:pt idx="54">
                  <c:v>43906</c:v>
                </c:pt>
                <c:pt idx="55">
                  <c:v>43907</c:v>
                </c:pt>
                <c:pt idx="56">
                  <c:v>43908</c:v>
                </c:pt>
                <c:pt idx="57">
                  <c:v>43909</c:v>
                </c:pt>
                <c:pt idx="58">
                  <c:v>43910</c:v>
                </c:pt>
                <c:pt idx="59">
                  <c:v>43913</c:v>
                </c:pt>
                <c:pt idx="60">
                  <c:v>43914</c:v>
                </c:pt>
                <c:pt idx="61">
                  <c:v>43915</c:v>
                </c:pt>
                <c:pt idx="62">
                  <c:v>43916</c:v>
                </c:pt>
                <c:pt idx="63">
                  <c:v>43917</c:v>
                </c:pt>
                <c:pt idx="64">
                  <c:v>43920</c:v>
                </c:pt>
                <c:pt idx="65">
                  <c:v>43921</c:v>
                </c:pt>
                <c:pt idx="66">
                  <c:v>43922</c:v>
                </c:pt>
                <c:pt idx="67">
                  <c:v>43923</c:v>
                </c:pt>
                <c:pt idx="68">
                  <c:v>43924</c:v>
                </c:pt>
                <c:pt idx="69">
                  <c:v>43927</c:v>
                </c:pt>
                <c:pt idx="70">
                  <c:v>43928</c:v>
                </c:pt>
                <c:pt idx="71">
                  <c:v>43929</c:v>
                </c:pt>
                <c:pt idx="72">
                  <c:v>43930</c:v>
                </c:pt>
                <c:pt idx="73">
                  <c:v>43935</c:v>
                </c:pt>
                <c:pt idx="74">
                  <c:v>43936</c:v>
                </c:pt>
                <c:pt idx="75">
                  <c:v>43937</c:v>
                </c:pt>
                <c:pt idx="76">
                  <c:v>43938</c:v>
                </c:pt>
                <c:pt idx="77">
                  <c:v>43941</c:v>
                </c:pt>
                <c:pt idx="78">
                  <c:v>43942</c:v>
                </c:pt>
                <c:pt idx="79">
                  <c:v>43943</c:v>
                </c:pt>
                <c:pt idx="80">
                  <c:v>43944</c:v>
                </c:pt>
                <c:pt idx="81">
                  <c:v>43945</c:v>
                </c:pt>
                <c:pt idx="82">
                  <c:v>43948</c:v>
                </c:pt>
                <c:pt idx="83">
                  <c:v>43949</c:v>
                </c:pt>
                <c:pt idx="84">
                  <c:v>43950</c:v>
                </c:pt>
                <c:pt idx="85">
                  <c:v>43951</c:v>
                </c:pt>
                <c:pt idx="86">
                  <c:v>43952</c:v>
                </c:pt>
                <c:pt idx="87">
                  <c:v>43955</c:v>
                </c:pt>
                <c:pt idx="88">
                  <c:v>43956</c:v>
                </c:pt>
                <c:pt idx="89">
                  <c:v>43957</c:v>
                </c:pt>
                <c:pt idx="90">
                  <c:v>43958</c:v>
                </c:pt>
                <c:pt idx="91">
                  <c:v>43962</c:v>
                </c:pt>
                <c:pt idx="92">
                  <c:v>43963</c:v>
                </c:pt>
                <c:pt idx="93">
                  <c:v>43964</c:v>
                </c:pt>
                <c:pt idx="94">
                  <c:v>43965</c:v>
                </c:pt>
                <c:pt idx="95">
                  <c:v>43966</c:v>
                </c:pt>
                <c:pt idx="96">
                  <c:v>43969</c:v>
                </c:pt>
                <c:pt idx="97">
                  <c:v>43970</c:v>
                </c:pt>
                <c:pt idx="98">
                  <c:v>43971</c:v>
                </c:pt>
                <c:pt idx="99">
                  <c:v>43972</c:v>
                </c:pt>
                <c:pt idx="100">
                  <c:v>43973</c:v>
                </c:pt>
                <c:pt idx="101">
                  <c:v>43977</c:v>
                </c:pt>
                <c:pt idx="102">
                  <c:v>43978</c:v>
                </c:pt>
                <c:pt idx="103">
                  <c:v>43979</c:v>
                </c:pt>
                <c:pt idx="104">
                  <c:v>43980</c:v>
                </c:pt>
                <c:pt idx="105">
                  <c:v>43983</c:v>
                </c:pt>
                <c:pt idx="106">
                  <c:v>43984</c:v>
                </c:pt>
                <c:pt idx="107">
                  <c:v>43985</c:v>
                </c:pt>
                <c:pt idx="108">
                  <c:v>43986</c:v>
                </c:pt>
                <c:pt idx="109">
                  <c:v>43987</c:v>
                </c:pt>
                <c:pt idx="110">
                  <c:v>43990</c:v>
                </c:pt>
                <c:pt idx="111">
                  <c:v>43991</c:v>
                </c:pt>
                <c:pt idx="112">
                  <c:v>43992</c:v>
                </c:pt>
                <c:pt idx="113">
                  <c:v>43993</c:v>
                </c:pt>
                <c:pt idx="114">
                  <c:v>43994</c:v>
                </c:pt>
                <c:pt idx="115">
                  <c:v>43997</c:v>
                </c:pt>
                <c:pt idx="116">
                  <c:v>43998</c:v>
                </c:pt>
                <c:pt idx="117">
                  <c:v>43999</c:v>
                </c:pt>
                <c:pt idx="118">
                  <c:v>44000</c:v>
                </c:pt>
                <c:pt idx="119">
                  <c:v>44001</c:v>
                </c:pt>
                <c:pt idx="120">
                  <c:v>44004</c:v>
                </c:pt>
                <c:pt idx="121">
                  <c:v>44005</c:v>
                </c:pt>
                <c:pt idx="122">
                  <c:v>44006</c:v>
                </c:pt>
                <c:pt idx="123">
                  <c:v>44007</c:v>
                </c:pt>
                <c:pt idx="124">
                  <c:v>44008</c:v>
                </c:pt>
                <c:pt idx="125">
                  <c:v>44011</c:v>
                </c:pt>
                <c:pt idx="126">
                  <c:v>44012</c:v>
                </c:pt>
                <c:pt idx="127">
                  <c:v>44013</c:v>
                </c:pt>
                <c:pt idx="128">
                  <c:v>44014</c:v>
                </c:pt>
                <c:pt idx="129">
                  <c:v>44015</c:v>
                </c:pt>
                <c:pt idx="130">
                  <c:v>44018</c:v>
                </c:pt>
                <c:pt idx="131">
                  <c:v>44019</c:v>
                </c:pt>
                <c:pt idx="132">
                  <c:v>44020</c:v>
                </c:pt>
                <c:pt idx="133">
                  <c:v>44021</c:v>
                </c:pt>
                <c:pt idx="134">
                  <c:v>44022</c:v>
                </c:pt>
                <c:pt idx="135">
                  <c:v>44025</c:v>
                </c:pt>
                <c:pt idx="136">
                  <c:v>44026</c:v>
                </c:pt>
                <c:pt idx="137">
                  <c:v>44027</c:v>
                </c:pt>
                <c:pt idx="138">
                  <c:v>44028</c:v>
                </c:pt>
                <c:pt idx="139">
                  <c:v>44029</c:v>
                </c:pt>
                <c:pt idx="140">
                  <c:v>44032</c:v>
                </c:pt>
                <c:pt idx="141">
                  <c:v>44033</c:v>
                </c:pt>
                <c:pt idx="142">
                  <c:v>44034</c:v>
                </c:pt>
                <c:pt idx="143">
                  <c:v>44035</c:v>
                </c:pt>
                <c:pt idx="144">
                  <c:v>44036</c:v>
                </c:pt>
                <c:pt idx="145">
                  <c:v>44039</c:v>
                </c:pt>
                <c:pt idx="146">
                  <c:v>44040</c:v>
                </c:pt>
                <c:pt idx="147">
                  <c:v>44041</c:v>
                </c:pt>
                <c:pt idx="148">
                  <c:v>44042</c:v>
                </c:pt>
                <c:pt idx="149">
                  <c:v>44043</c:v>
                </c:pt>
                <c:pt idx="150">
                  <c:v>44046</c:v>
                </c:pt>
                <c:pt idx="151">
                  <c:v>44047</c:v>
                </c:pt>
                <c:pt idx="152">
                  <c:v>44048</c:v>
                </c:pt>
                <c:pt idx="153">
                  <c:v>44049</c:v>
                </c:pt>
                <c:pt idx="154">
                  <c:v>44050</c:v>
                </c:pt>
                <c:pt idx="155">
                  <c:v>44053</c:v>
                </c:pt>
                <c:pt idx="156">
                  <c:v>44054</c:v>
                </c:pt>
                <c:pt idx="157">
                  <c:v>44055</c:v>
                </c:pt>
                <c:pt idx="158">
                  <c:v>44056</c:v>
                </c:pt>
                <c:pt idx="159">
                  <c:v>44057</c:v>
                </c:pt>
                <c:pt idx="160">
                  <c:v>44060</c:v>
                </c:pt>
                <c:pt idx="161">
                  <c:v>44061</c:v>
                </c:pt>
                <c:pt idx="162">
                  <c:v>44062</c:v>
                </c:pt>
                <c:pt idx="163">
                  <c:v>44063</c:v>
                </c:pt>
                <c:pt idx="164">
                  <c:v>44064</c:v>
                </c:pt>
                <c:pt idx="165">
                  <c:v>44067</c:v>
                </c:pt>
                <c:pt idx="166">
                  <c:v>44068</c:v>
                </c:pt>
                <c:pt idx="167">
                  <c:v>44069</c:v>
                </c:pt>
                <c:pt idx="168">
                  <c:v>44070</c:v>
                </c:pt>
                <c:pt idx="169">
                  <c:v>44071</c:v>
                </c:pt>
                <c:pt idx="170">
                  <c:v>44075</c:v>
                </c:pt>
                <c:pt idx="171">
                  <c:v>44076</c:v>
                </c:pt>
                <c:pt idx="172">
                  <c:v>44077</c:v>
                </c:pt>
                <c:pt idx="173">
                  <c:v>44078</c:v>
                </c:pt>
                <c:pt idx="174">
                  <c:v>44081</c:v>
                </c:pt>
                <c:pt idx="175">
                  <c:v>44082</c:v>
                </c:pt>
                <c:pt idx="176">
                  <c:v>44083</c:v>
                </c:pt>
                <c:pt idx="177">
                  <c:v>44084</c:v>
                </c:pt>
                <c:pt idx="178">
                  <c:v>44085</c:v>
                </c:pt>
                <c:pt idx="179">
                  <c:v>44088</c:v>
                </c:pt>
                <c:pt idx="180">
                  <c:v>44089</c:v>
                </c:pt>
                <c:pt idx="181">
                  <c:v>44090</c:v>
                </c:pt>
                <c:pt idx="182">
                  <c:v>44091</c:v>
                </c:pt>
                <c:pt idx="183">
                  <c:v>44092</c:v>
                </c:pt>
                <c:pt idx="184">
                  <c:v>44095</c:v>
                </c:pt>
                <c:pt idx="185">
                  <c:v>44096</c:v>
                </c:pt>
                <c:pt idx="186">
                  <c:v>44097</c:v>
                </c:pt>
                <c:pt idx="187">
                  <c:v>44098</c:v>
                </c:pt>
                <c:pt idx="188">
                  <c:v>44099</c:v>
                </c:pt>
                <c:pt idx="189">
                  <c:v>44102</c:v>
                </c:pt>
                <c:pt idx="190">
                  <c:v>44103</c:v>
                </c:pt>
                <c:pt idx="191">
                  <c:v>44104</c:v>
                </c:pt>
                <c:pt idx="192">
                  <c:v>44105</c:v>
                </c:pt>
                <c:pt idx="193">
                  <c:v>44106</c:v>
                </c:pt>
                <c:pt idx="194">
                  <c:v>44109</c:v>
                </c:pt>
                <c:pt idx="195">
                  <c:v>44110</c:v>
                </c:pt>
                <c:pt idx="196">
                  <c:v>44111</c:v>
                </c:pt>
                <c:pt idx="197">
                  <c:v>44112</c:v>
                </c:pt>
                <c:pt idx="198">
                  <c:v>44113</c:v>
                </c:pt>
                <c:pt idx="199">
                  <c:v>44116</c:v>
                </c:pt>
                <c:pt idx="200">
                  <c:v>44117</c:v>
                </c:pt>
                <c:pt idx="201">
                  <c:v>44118</c:v>
                </c:pt>
                <c:pt idx="202">
                  <c:v>44119</c:v>
                </c:pt>
                <c:pt idx="203">
                  <c:v>44120</c:v>
                </c:pt>
                <c:pt idx="204">
                  <c:v>44123</c:v>
                </c:pt>
                <c:pt idx="205">
                  <c:v>44124</c:v>
                </c:pt>
                <c:pt idx="206">
                  <c:v>44125</c:v>
                </c:pt>
                <c:pt idx="207">
                  <c:v>44126</c:v>
                </c:pt>
                <c:pt idx="208">
                  <c:v>44127</c:v>
                </c:pt>
                <c:pt idx="209">
                  <c:v>44130</c:v>
                </c:pt>
                <c:pt idx="210">
                  <c:v>44131</c:v>
                </c:pt>
                <c:pt idx="211">
                  <c:v>44132</c:v>
                </c:pt>
                <c:pt idx="212">
                  <c:v>44133</c:v>
                </c:pt>
                <c:pt idx="213">
                  <c:v>44134</c:v>
                </c:pt>
                <c:pt idx="214">
                  <c:v>44137</c:v>
                </c:pt>
                <c:pt idx="215">
                  <c:v>44138</c:v>
                </c:pt>
                <c:pt idx="216">
                  <c:v>44139</c:v>
                </c:pt>
                <c:pt idx="217">
                  <c:v>44140</c:v>
                </c:pt>
                <c:pt idx="218">
                  <c:v>44141</c:v>
                </c:pt>
                <c:pt idx="219">
                  <c:v>44144</c:v>
                </c:pt>
                <c:pt idx="220">
                  <c:v>44145</c:v>
                </c:pt>
                <c:pt idx="221">
                  <c:v>44146</c:v>
                </c:pt>
                <c:pt idx="222">
                  <c:v>44147</c:v>
                </c:pt>
                <c:pt idx="223">
                  <c:v>44148</c:v>
                </c:pt>
                <c:pt idx="224">
                  <c:v>44151</c:v>
                </c:pt>
                <c:pt idx="225">
                  <c:v>44152</c:v>
                </c:pt>
                <c:pt idx="226">
                  <c:v>44153</c:v>
                </c:pt>
                <c:pt idx="227">
                  <c:v>44154</c:v>
                </c:pt>
                <c:pt idx="228">
                  <c:v>44155</c:v>
                </c:pt>
                <c:pt idx="229">
                  <c:v>44158</c:v>
                </c:pt>
                <c:pt idx="230">
                  <c:v>44159</c:v>
                </c:pt>
                <c:pt idx="231">
                  <c:v>44160</c:v>
                </c:pt>
                <c:pt idx="232">
                  <c:v>44161</c:v>
                </c:pt>
                <c:pt idx="233">
                  <c:v>44162</c:v>
                </c:pt>
                <c:pt idx="234">
                  <c:v>44165</c:v>
                </c:pt>
                <c:pt idx="235">
                  <c:v>44166</c:v>
                </c:pt>
                <c:pt idx="236">
                  <c:v>44167</c:v>
                </c:pt>
                <c:pt idx="237">
                  <c:v>44168</c:v>
                </c:pt>
                <c:pt idx="238">
                  <c:v>44169</c:v>
                </c:pt>
                <c:pt idx="239">
                  <c:v>44172</c:v>
                </c:pt>
                <c:pt idx="240">
                  <c:v>44173</c:v>
                </c:pt>
                <c:pt idx="241">
                  <c:v>44174</c:v>
                </c:pt>
                <c:pt idx="242">
                  <c:v>44175</c:v>
                </c:pt>
                <c:pt idx="243">
                  <c:v>44176</c:v>
                </c:pt>
                <c:pt idx="244">
                  <c:v>44179</c:v>
                </c:pt>
                <c:pt idx="245">
                  <c:v>44180</c:v>
                </c:pt>
                <c:pt idx="246">
                  <c:v>44181</c:v>
                </c:pt>
                <c:pt idx="247">
                  <c:v>44182</c:v>
                </c:pt>
                <c:pt idx="248">
                  <c:v>44183</c:v>
                </c:pt>
                <c:pt idx="249">
                  <c:v>44186</c:v>
                </c:pt>
                <c:pt idx="250">
                  <c:v>44187</c:v>
                </c:pt>
                <c:pt idx="251">
                  <c:v>44188</c:v>
                </c:pt>
                <c:pt idx="252">
                  <c:v>44189</c:v>
                </c:pt>
                <c:pt idx="253">
                  <c:v>44194</c:v>
                </c:pt>
                <c:pt idx="254">
                  <c:v>44195</c:v>
                </c:pt>
                <c:pt idx="255">
                  <c:v>44196</c:v>
                </c:pt>
              </c:numCache>
            </c:numRef>
          </c:cat>
          <c:val>
            <c:numRef>
              <c:f>'[Fixing Price Gold.xlsx]XAU FIX new'!$B$1016:$B$1271</c:f>
              <c:numCache>
                <c:formatCode>#\ ##0.0</c:formatCode>
                <c:ptCount val="256"/>
                <c:pt idx="0">
                  <c:v>1511.5</c:v>
                </c:pt>
                <c:pt idx="1">
                  <c:v>1523</c:v>
                </c:pt>
                <c:pt idx="2" formatCode="#,##0">
                  <c:v>1520.55</c:v>
                </c:pt>
                <c:pt idx="3" formatCode="#,##0">
                  <c:v>1547.4</c:v>
                </c:pt>
                <c:pt idx="4" formatCode="#,##0">
                  <c:v>1576.85</c:v>
                </c:pt>
                <c:pt idx="5" formatCode="#,##0">
                  <c:v>1566.5</c:v>
                </c:pt>
                <c:pt idx="6" formatCode="#,##0">
                  <c:v>1582.85</c:v>
                </c:pt>
                <c:pt idx="7" formatCode="#,##0">
                  <c:v>1547.85</c:v>
                </c:pt>
                <c:pt idx="8" formatCode="#,##0">
                  <c:v>1548.8</c:v>
                </c:pt>
                <c:pt idx="9" formatCode="#,##0">
                  <c:v>1550.35</c:v>
                </c:pt>
                <c:pt idx="10" formatCode="#,##0">
                  <c:v>1544.95</c:v>
                </c:pt>
                <c:pt idx="11" formatCode="#,##0">
                  <c:v>1551.9</c:v>
                </c:pt>
                <c:pt idx="12" formatCode="#,##0">
                  <c:v>1555.2</c:v>
                </c:pt>
                <c:pt idx="13" formatCode="#,##0">
                  <c:v>1556.5</c:v>
                </c:pt>
                <c:pt idx="14" formatCode="#,##0">
                  <c:v>1559.25</c:v>
                </c:pt>
                <c:pt idx="15" formatCode="#,##0">
                  <c:v>1556.25</c:v>
                </c:pt>
                <c:pt idx="16" formatCode="#,##0">
                  <c:v>1558.1</c:v>
                </c:pt>
                <c:pt idx="17" formatCode="#,##0">
                  <c:v>1554.05</c:v>
                </c:pt>
                <c:pt idx="18" formatCode="#,##0">
                  <c:v>1561.85</c:v>
                </c:pt>
                <c:pt idx="19" formatCode="#,##0">
                  <c:v>1583.45</c:v>
                </c:pt>
                <c:pt idx="20" formatCode="#,##0">
                  <c:v>1579.6</c:v>
                </c:pt>
                <c:pt idx="21" formatCode="#,##0">
                  <c:v>1571.2</c:v>
                </c:pt>
                <c:pt idx="22" formatCode="#,##0">
                  <c:v>1580.4</c:v>
                </c:pt>
                <c:pt idx="23" formatCode="#,##0">
                  <c:v>1580.85</c:v>
                </c:pt>
                <c:pt idx="24" formatCode="#,##0">
                  <c:v>1578.85</c:v>
                </c:pt>
                <c:pt idx="25" formatCode="#,##0">
                  <c:v>1571.2</c:v>
                </c:pt>
                <c:pt idx="26" formatCode="#,##0">
                  <c:v>1552.2</c:v>
                </c:pt>
                <c:pt idx="27" formatCode="#,##0">
                  <c:v>1564.75</c:v>
                </c:pt>
                <c:pt idx="28" formatCode="#,##0">
                  <c:v>1568.3</c:v>
                </c:pt>
                <c:pt idx="29" formatCode="#,##0">
                  <c:v>1574.05</c:v>
                </c:pt>
                <c:pt idx="30" formatCode="#,##0">
                  <c:v>1567.7</c:v>
                </c:pt>
                <c:pt idx="31" formatCode="#,##0">
                  <c:v>1566.75</c:v>
                </c:pt>
                <c:pt idx="32" formatCode="#,##0">
                  <c:v>1575</c:v>
                </c:pt>
                <c:pt idx="33" formatCode="#,##0">
                  <c:v>1576.35</c:v>
                </c:pt>
                <c:pt idx="34" formatCode="#,##0">
                  <c:v>1580.3</c:v>
                </c:pt>
                <c:pt idx="35" formatCode="#,##0">
                  <c:v>1588.2</c:v>
                </c:pt>
                <c:pt idx="36" formatCode="#,##0">
                  <c:v>1609.5</c:v>
                </c:pt>
                <c:pt idx="37" formatCode="#,##0">
                  <c:v>1610.35</c:v>
                </c:pt>
                <c:pt idx="38" formatCode="#,##0">
                  <c:v>1633.7</c:v>
                </c:pt>
                <c:pt idx="39" formatCode="#,##0">
                  <c:v>1682.35</c:v>
                </c:pt>
                <c:pt idx="40" formatCode="#,##0">
                  <c:v>1655.9</c:v>
                </c:pt>
                <c:pt idx="41" formatCode="#,##0">
                  <c:v>1647.95</c:v>
                </c:pt>
                <c:pt idx="42" formatCode="#,##0">
                  <c:v>1646.6</c:v>
                </c:pt>
                <c:pt idx="43" formatCode="#,##0">
                  <c:v>1626.35</c:v>
                </c:pt>
                <c:pt idx="44" formatCode="#,##0">
                  <c:v>1609.7</c:v>
                </c:pt>
                <c:pt idx="45" formatCode="#,##0">
                  <c:v>1599.05</c:v>
                </c:pt>
                <c:pt idx="46" formatCode="#,##0">
                  <c:v>1644.8</c:v>
                </c:pt>
                <c:pt idx="47" formatCode="#,##0">
                  <c:v>1647.45</c:v>
                </c:pt>
                <c:pt idx="48" formatCode="#,##0">
                  <c:v>1687</c:v>
                </c:pt>
                <c:pt idx="49" formatCode="#,##0">
                  <c:v>1676.6</c:v>
                </c:pt>
                <c:pt idx="50" formatCode="#,##0">
                  <c:v>1657.4</c:v>
                </c:pt>
                <c:pt idx="51" formatCode="#,##0">
                  <c:v>1662.5</c:v>
                </c:pt>
                <c:pt idx="52" formatCode="#,##0">
                  <c:v>1636.65</c:v>
                </c:pt>
                <c:pt idx="53" formatCode="#,##0">
                  <c:v>1588.15</c:v>
                </c:pt>
                <c:pt idx="54" formatCode="#,##0">
                  <c:v>1504.65</c:v>
                </c:pt>
                <c:pt idx="55" formatCode="#,##0">
                  <c:v>1472.35</c:v>
                </c:pt>
                <c:pt idx="56" formatCode="#,##0">
                  <c:v>1506</c:v>
                </c:pt>
                <c:pt idx="57" formatCode="#,##0">
                  <c:v>1480.7</c:v>
                </c:pt>
                <c:pt idx="58" formatCode="#,##0">
                  <c:v>1504.45</c:v>
                </c:pt>
                <c:pt idx="59" formatCode="#,##0">
                  <c:v>1494.5</c:v>
                </c:pt>
                <c:pt idx="60" formatCode="#,##0">
                  <c:v>1599.5</c:v>
                </c:pt>
                <c:pt idx="61" formatCode="#,##0">
                  <c:v>1620.95</c:v>
                </c:pt>
                <c:pt idx="62" formatCode="#,##0">
                  <c:v>1620.1</c:v>
                </c:pt>
                <c:pt idx="63" formatCode="#,##0">
                  <c:v>1621.2</c:v>
                </c:pt>
                <c:pt idx="64" formatCode="#,##0">
                  <c:v>1624.45</c:v>
                </c:pt>
                <c:pt idx="65" formatCode="#,##0">
                  <c:v>1604.65</c:v>
                </c:pt>
                <c:pt idx="66" formatCode="#,##0">
                  <c:v>1594.25</c:v>
                </c:pt>
                <c:pt idx="67" formatCode="#,##0">
                  <c:v>1588.05</c:v>
                </c:pt>
                <c:pt idx="68" formatCode="#,##0">
                  <c:v>1609.75</c:v>
                </c:pt>
                <c:pt idx="69" formatCode="#,##0">
                  <c:v>1636.6</c:v>
                </c:pt>
                <c:pt idx="70" formatCode="#,##0">
                  <c:v>1652.2</c:v>
                </c:pt>
                <c:pt idx="71" formatCode="#,##0">
                  <c:v>1649.05</c:v>
                </c:pt>
                <c:pt idx="72" formatCode="#,##0">
                  <c:v>1662.5</c:v>
                </c:pt>
                <c:pt idx="73" formatCode="#,##0">
                  <c:v>1715.85</c:v>
                </c:pt>
                <c:pt idx="74" formatCode="#,##0">
                  <c:v>1712.25</c:v>
                </c:pt>
                <c:pt idx="75" formatCode="#,##0">
                  <c:v>1717.85</c:v>
                </c:pt>
                <c:pt idx="76" formatCode="#,##0">
                  <c:v>1693.15</c:v>
                </c:pt>
                <c:pt idx="77" formatCode="#,##0">
                  <c:v>1684.95</c:v>
                </c:pt>
                <c:pt idx="78" formatCode="#,##0">
                  <c:v>1678.6</c:v>
                </c:pt>
                <c:pt idx="79" formatCode="#,##0">
                  <c:v>1702.65</c:v>
                </c:pt>
                <c:pt idx="80" formatCode="#,##0">
                  <c:v>1727.55</c:v>
                </c:pt>
                <c:pt idx="81" formatCode="#,##0">
                  <c:v>1727.25</c:v>
                </c:pt>
                <c:pt idx="82" formatCode="#,##0">
                  <c:v>1717.25</c:v>
                </c:pt>
                <c:pt idx="83" formatCode="#,##0">
                  <c:v>1708.1</c:v>
                </c:pt>
                <c:pt idx="84" formatCode="#,##0">
                  <c:v>1706</c:v>
                </c:pt>
                <c:pt idx="85" formatCode="#,##0">
                  <c:v>1716.75</c:v>
                </c:pt>
                <c:pt idx="86" formatCode="#,##0">
                  <c:v>1673.05</c:v>
                </c:pt>
                <c:pt idx="87" formatCode="#,##0">
                  <c:v>1703.7</c:v>
                </c:pt>
                <c:pt idx="88" formatCode="#,##0">
                  <c:v>1696.3</c:v>
                </c:pt>
                <c:pt idx="89" formatCode="#,##0">
                  <c:v>1698.9</c:v>
                </c:pt>
                <c:pt idx="90" formatCode="#,##0">
                  <c:v>1688.65</c:v>
                </c:pt>
                <c:pt idx="91" formatCode="#,##0">
                  <c:v>1698.8</c:v>
                </c:pt>
                <c:pt idx="92" formatCode="#,##0">
                  <c:v>1703.45</c:v>
                </c:pt>
                <c:pt idx="93" formatCode="#,##0">
                  <c:v>1699.85</c:v>
                </c:pt>
                <c:pt idx="94" formatCode="#,##0">
                  <c:v>1716.4</c:v>
                </c:pt>
                <c:pt idx="95" formatCode="#,##0">
                  <c:v>1734.85</c:v>
                </c:pt>
                <c:pt idx="96" formatCode="#,##0">
                  <c:v>1756.9</c:v>
                </c:pt>
                <c:pt idx="97" formatCode="#,##0">
                  <c:v>1735.25</c:v>
                </c:pt>
                <c:pt idx="98" formatCode="#,##0">
                  <c:v>1750.05</c:v>
                </c:pt>
                <c:pt idx="99" formatCode="#,##0">
                  <c:v>1732.8</c:v>
                </c:pt>
                <c:pt idx="100" formatCode="#,##0">
                  <c:v>1732.45</c:v>
                </c:pt>
                <c:pt idx="101" formatCode="#,##0">
                  <c:v>1722.75</c:v>
                </c:pt>
                <c:pt idx="102" formatCode="#,##0">
                  <c:v>1705.15</c:v>
                </c:pt>
                <c:pt idx="103" formatCode="#,##0">
                  <c:v>1723.3</c:v>
                </c:pt>
                <c:pt idx="104" formatCode="#,##0">
                  <c:v>1725.65</c:v>
                </c:pt>
                <c:pt idx="105" formatCode="#,##0">
                  <c:v>1734.8</c:v>
                </c:pt>
                <c:pt idx="106" formatCode="#,##0">
                  <c:v>1740.25</c:v>
                </c:pt>
                <c:pt idx="107" formatCode="#,##0">
                  <c:v>1717.6</c:v>
                </c:pt>
                <c:pt idx="108" formatCode="#,##0">
                  <c:v>1706.45</c:v>
                </c:pt>
                <c:pt idx="109" formatCode="#,##0">
                  <c:v>1709.55</c:v>
                </c:pt>
                <c:pt idx="110" formatCode="#,##0">
                  <c:v>1692</c:v>
                </c:pt>
                <c:pt idx="111" formatCode="#,##0">
                  <c:v>1707.5</c:v>
                </c:pt>
                <c:pt idx="112" formatCode="#,##0">
                  <c:v>1717.65</c:v>
                </c:pt>
                <c:pt idx="113" formatCode="#,##0">
                  <c:v>1731.9</c:v>
                </c:pt>
                <c:pt idx="114" formatCode="#,##0">
                  <c:v>1735.85</c:v>
                </c:pt>
                <c:pt idx="115" formatCode="#,##0">
                  <c:v>1710.4</c:v>
                </c:pt>
                <c:pt idx="116" formatCode="#,##0">
                  <c:v>1728.35</c:v>
                </c:pt>
                <c:pt idx="117" formatCode="#,##0">
                  <c:v>1717.3</c:v>
                </c:pt>
                <c:pt idx="118" formatCode="#,##0">
                  <c:v>1732.65</c:v>
                </c:pt>
                <c:pt idx="119" formatCode="#,##0">
                  <c:v>1728.55</c:v>
                </c:pt>
                <c:pt idx="120" formatCode="#,##0">
                  <c:v>1745.45</c:v>
                </c:pt>
                <c:pt idx="121" formatCode="#,##0">
                  <c:v>1756.6</c:v>
                </c:pt>
                <c:pt idx="122" formatCode="#,##0">
                  <c:v>1775.7</c:v>
                </c:pt>
                <c:pt idx="123" formatCode="#,##0">
                  <c:v>1758.55</c:v>
                </c:pt>
                <c:pt idx="124" formatCode="#,##0">
                  <c:v>1762.1</c:v>
                </c:pt>
                <c:pt idx="125" formatCode="#,##0">
                  <c:v>1768.8</c:v>
                </c:pt>
                <c:pt idx="126" formatCode="#,##0">
                  <c:v>1770.7</c:v>
                </c:pt>
                <c:pt idx="127" formatCode="#,##0">
                  <c:v>1787.4</c:v>
                </c:pt>
                <c:pt idx="128" formatCode="#,##0">
                  <c:v>1771.85</c:v>
                </c:pt>
                <c:pt idx="129" formatCode="#,##0">
                  <c:v>1774.65</c:v>
                </c:pt>
                <c:pt idx="130" formatCode="#,##0">
                  <c:v>1774.4</c:v>
                </c:pt>
                <c:pt idx="131" formatCode="#,##0">
                  <c:v>1775.5</c:v>
                </c:pt>
                <c:pt idx="132" formatCode="#,##0">
                  <c:v>1799.35</c:v>
                </c:pt>
                <c:pt idx="133" formatCode="#,##0">
                  <c:v>1812.45</c:v>
                </c:pt>
                <c:pt idx="134" formatCode="#,##0">
                  <c:v>1805.75</c:v>
                </c:pt>
                <c:pt idx="135" formatCode="#,##0">
                  <c:v>1808.05</c:v>
                </c:pt>
                <c:pt idx="136" formatCode="#,##0">
                  <c:v>1798.2</c:v>
                </c:pt>
                <c:pt idx="137" formatCode="#,##0">
                  <c:v>1809.3</c:v>
                </c:pt>
                <c:pt idx="138" formatCode="#,##0">
                  <c:v>1804.6</c:v>
                </c:pt>
                <c:pt idx="139" formatCode="#,##0">
                  <c:v>1802.9</c:v>
                </c:pt>
                <c:pt idx="140" formatCode="#,##0">
                  <c:v>1810.3</c:v>
                </c:pt>
                <c:pt idx="141" formatCode="#,##0">
                  <c:v>1823.2</c:v>
                </c:pt>
                <c:pt idx="142" formatCode="#,##0">
                  <c:v>1851</c:v>
                </c:pt>
                <c:pt idx="143" formatCode="#,##0">
                  <c:v>1882.35</c:v>
                </c:pt>
                <c:pt idx="144" formatCode="#,##0">
                  <c:v>1893.85</c:v>
                </c:pt>
                <c:pt idx="145" formatCode="#,##0">
                  <c:v>1940.55</c:v>
                </c:pt>
                <c:pt idx="146" formatCode="#,##0">
                  <c:v>1931.65</c:v>
                </c:pt>
                <c:pt idx="147" formatCode="#,##0">
                  <c:v>1954.35</c:v>
                </c:pt>
                <c:pt idx="148" formatCode="#,##0">
                  <c:v>1952.2</c:v>
                </c:pt>
                <c:pt idx="149" formatCode="#,##0">
                  <c:v>1974.7</c:v>
                </c:pt>
                <c:pt idx="150" formatCode="#,##0">
                  <c:v>1972.95</c:v>
                </c:pt>
                <c:pt idx="151" formatCode="#,##0">
                  <c:v>1972.25</c:v>
                </c:pt>
                <c:pt idx="152" formatCode="#,##0">
                  <c:v>2034.45</c:v>
                </c:pt>
                <c:pt idx="153" formatCode="#,##0">
                  <c:v>2049.15</c:v>
                </c:pt>
                <c:pt idx="154" formatCode="#,##0">
                  <c:v>2061.5</c:v>
                </c:pt>
                <c:pt idx="155" formatCode="#,##0">
                  <c:v>2030.3</c:v>
                </c:pt>
                <c:pt idx="156" formatCode="#,##0">
                  <c:v>1996.6</c:v>
                </c:pt>
                <c:pt idx="157" formatCode="#,##0">
                  <c:v>1931.7</c:v>
                </c:pt>
                <c:pt idx="158" formatCode="#,##0">
                  <c:v>1931</c:v>
                </c:pt>
                <c:pt idx="159" formatCode="#,##0">
                  <c:v>1948.3</c:v>
                </c:pt>
                <c:pt idx="160" formatCode="#,##0">
                  <c:v>1949.85</c:v>
                </c:pt>
                <c:pt idx="161" formatCode="#,##0">
                  <c:v>2005.15</c:v>
                </c:pt>
                <c:pt idx="162" formatCode="#,##0">
                  <c:v>1993.15</c:v>
                </c:pt>
                <c:pt idx="163" formatCode="#,##0">
                  <c:v>1928.05</c:v>
                </c:pt>
                <c:pt idx="164" formatCode="#,##0">
                  <c:v>1932.85</c:v>
                </c:pt>
                <c:pt idx="165" formatCode="#,##0">
                  <c:v>1947.55</c:v>
                </c:pt>
                <c:pt idx="166" formatCode="#,##0">
                  <c:v>1925.45</c:v>
                </c:pt>
                <c:pt idx="167" formatCode="#,##0">
                  <c:v>1918.5</c:v>
                </c:pt>
                <c:pt idx="168" formatCode="#,##0">
                  <c:v>1938.8</c:v>
                </c:pt>
                <c:pt idx="169" formatCode="#,##0">
                  <c:v>1955.85</c:v>
                </c:pt>
                <c:pt idx="170" formatCode="#,##0">
                  <c:v>1987.95</c:v>
                </c:pt>
                <c:pt idx="171" formatCode="#,##0">
                  <c:v>1969</c:v>
                </c:pt>
                <c:pt idx="172" formatCode="#,##0">
                  <c:v>1934.1</c:v>
                </c:pt>
                <c:pt idx="173" formatCode="#,##0">
                  <c:v>1937.6</c:v>
                </c:pt>
                <c:pt idx="174" formatCode="#,##0">
                  <c:v>1928.4</c:v>
                </c:pt>
                <c:pt idx="175" formatCode="#,##0">
                  <c:v>1920.6</c:v>
                </c:pt>
                <c:pt idx="176" formatCode="#,##0">
                  <c:v>1928.4</c:v>
                </c:pt>
                <c:pt idx="177" formatCode="#,##0">
                  <c:v>1944.8</c:v>
                </c:pt>
                <c:pt idx="178" formatCode="#,##0">
                  <c:v>1944.5</c:v>
                </c:pt>
                <c:pt idx="179" formatCode="#,##0">
                  <c:v>1942.3</c:v>
                </c:pt>
                <c:pt idx="180" formatCode="#,##0">
                  <c:v>1963.55</c:v>
                </c:pt>
                <c:pt idx="181" formatCode="#,##0">
                  <c:v>1964.8</c:v>
                </c:pt>
                <c:pt idx="182" formatCode="#,##0">
                  <c:v>1936.1</c:v>
                </c:pt>
                <c:pt idx="183" formatCode="#,##0">
                  <c:v>1954.75</c:v>
                </c:pt>
                <c:pt idx="184" formatCode="#,##0">
                  <c:v>1930.9</c:v>
                </c:pt>
                <c:pt idx="185" formatCode="#,##0">
                  <c:v>1903.1</c:v>
                </c:pt>
                <c:pt idx="186" formatCode="#,##0">
                  <c:v>1888.1</c:v>
                </c:pt>
                <c:pt idx="187" formatCode="#,##0">
                  <c:v>1850.75</c:v>
                </c:pt>
                <c:pt idx="188" formatCode="#,##0">
                  <c:v>1870.05</c:v>
                </c:pt>
                <c:pt idx="189" formatCode="#,##0">
                  <c:v>1850.95</c:v>
                </c:pt>
                <c:pt idx="190" formatCode="#,##0">
                  <c:v>1882.4</c:v>
                </c:pt>
                <c:pt idx="191" formatCode="#,##0">
                  <c:v>1883.4</c:v>
                </c:pt>
                <c:pt idx="192" formatCode="#,##0">
                  <c:v>1895.55</c:v>
                </c:pt>
                <c:pt idx="193" formatCode="#,##0">
                  <c:v>1906.4</c:v>
                </c:pt>
                <c:pt idx="194" formatCode="#,##0">
                  <c:v>1899.65</c:v>
                </c:pt>
                <c:pt idx="195" formatCode="#,##0">
                  <c:v>1912.5</c:v>
                </c:pt>
                <c:pt idx="196" formatCode="#,##0">
                  <c:v>1888</c:v>
                </c:pt>
                <c:pt idx="197" formatCode="#,##0">
                  <c:v>1891.35</c:v>
                </c:pt>
                <c:pt idx="198" formatCode="#,##0">
                  <c:v>1912.4</c:v>
                </c:pt>
                <c:pt idx="199" formatCode="#,##0">
                  <c:v>1919.8</c:v>
                </c:pt>
                <c:pt idx="200" formatCode="#,##0">
                  <c:v>1920.8</c:v>
                </c:pt>
                <c:pt idx="201" formatCode="#,##0">
                  <c:v>1896.45</c:v>
                </c:pt>
                <c:pt idx="202" formatCode="#,##0">
                  <c:v>1891.7</c:v>
                </c:pt>
                <c:pt idx="203" formatCode="#,##0">
                  <c:v>1908.2</c:v>
                </c:pt>
                <c:pt idx="204" formatCode="#,##0">
                  <c:v>1910</c:v>
                </c:pt>
                <c:pt idx="205" formatCode="#,##0">
                  <c:v>1906.35</c:v>
                </c:pt>
                <c:pt idx="206" formatCode="#,##0">
                  <c:v>1918.95</c:v>
                </c:pt>
                <c:pt idx="207" formatCode="#,##0">
                  <c:v>1916.85</c:v>
                </c:pt>
                <c:pt idx="208" formatCode="#,##0">
                  <c:v>1910.6</c:v>
                </c:pt>
                <c:pt idx="209" formatCode="#,##0">
                  <c:v>1901.6</c:v>
                </c:pt>
                <c:pt idx="210" formatCode="#,##0">
                  <c:v>1898.9</c:v>
                </c:pt>
                <c:pt idx="211" formatCode="#,##0">
                  <c:v>1896.85</c:v>
                </c:pt>
                <c:pt idx="212" formatCode="#,##0">
                  <c:v>1876.85</c:v>
                </c:pt>
                <c:pt idx="213" formatCode="#,##0">
                  <c:v>1875.8</c:v>
                </c:pt>
                <c:pt idx="214" formatCode="#,##0">
                  <c:v>1886.75</c:v>
                </c:pt>
                <c:pt idx="215" formatCode="#,##0">
                  <c:v>1899.85</c:v>
                </c:pt>
                <c:pt idx="216" formatCode="#,##0">
                  <c:v>1888.55</c:v>
                </c:pt>
                <c:pt idx="217" formatCode="#,##0">
                  <c:v>1916.8</c:v>
                </c:pt>
                <c:pt idx="218" formatCode="#,##0">
                  <c:v>1947.95</c:v>
                </c:pt>
                <c:pt idx="219" formatCode="#,##0">
                  <c:v>1957.45</c:v>
                </c:pt>
                <c:pt idx="220" formatCode="#,##0">
                  <c:v>1874.9</c:v>
                </c:pt>
                <c:pt idx="221" formatCode="#,##0">
                  <c:v>1876.2</c:v>
                </c:pt>
                <c:pt idx="222" formatCode="#,##0">
                  <c:v>1868</c:v>
                </c:pt>
                <c:pt idx="223" formatCode="#,##0">
                  <c:v>1878.2</c:v>
                </c:pt>
                <c:pt idx="224" formatCode="#,##0">
                  <c:v>1892.6</c:v>
                </c:pt>
                <c:pt idx="225" formatCode="#,##0">
                  <c:v>1885.4</c:v>
                </c:pt>
                <c:pt idx="226" formatCode="#,##0">
                  <c:v>1877.2</c:v>
                </c:pt>
                <c:pt idx="227" formatCode="#,##0">
                  <c:v>1857.4</c:v>
                </c:pt>
                <c:pt idx="228" formatCode="#,##0">
                  <c:v>1867</c:v>
                </c:pt>
                <c:pt idx="229" formatCode="#,##0">
                  <c:v>1863.8</c:v>
                </c:pt>
                <c:pt idx="230" formatCode="#,##0">
                  <c:v>1818.1</c:v>
                </c:pt>
                <c:pt idx="231" formatCode="#,##0">
                  <c:v>1808.55</c:v>
                </c:pt>
                <c:pt idx="232" formatCode="#,##0">
                  <c:v>1814.85</c:v>
                </c:pt>
                <c:pt idx="233" formatCode="#,##0">
                  <c:v>1808.05</c:v>
                </c:pt>
                <c:pt idx="234" formatCode="#,##0">
                  <c:v>1771.95</c:v>
                </c:pt>
                <c:pt idx="235" formatCode="#,##0">
                  <c:v>1796.2</c:v>
                </c:pt>
                <c:pt idx="236" formatCode="#,##0">
                  <c:v>1832.95</c:v>
                </c:pt>
                <c:pt idx="237" formatCode="#,##0">
                  <c:v>1834.8</c:v>
                </c:pt>
                <c:pt idx="238" formatCode="#,##0">
                  <c:v>1839.3</c:v>
                </c:pt>
                <c:pt idx="239" formatCode="#,##0">
                  <c:v>1832.8</c:v>
                </c:pt>
                <c:pt idx="240" formatCode="#,##0">
                  <c:v>1864.5</c:v>
                </c:pt>
                <c:pt idx="241" formatCode="#,##0">
                  <c:v>1859.8</c:v>
                </c:pt>
                <c:pt idx="242" formatCode="#,##0">
                  <c:v>1834.2</c:v>
                </c:pt>
                <c:pt idx="243" formatCode="#,##0">
                  <c:v>1833.65</c:v>
                </c:pt>
                <c:pt idx="244" formatCode="#,##0">
                  <c:v>1820.25</c:v>
                </c:pt>
                <c:pt idx="245" formatCode="#,##0">
                  <c:v>1844.3</c:v>
                </c:pt>
                <c:pt idx="246" formatCode="#,##0">
                  <c:v>1861.35</c:v>
                </c:pt>
                <c:pt idx="247" formatCode="#,##0">
                  <c:v>1871.95</c:v>
                </c:pt>
                <c:pt idx="248" formatCode="#,##0">
                  <c:v>1878.95</c:v>
                </c:pt>
                <c:pt idx="249" formatCode="#,##0">
                  <c:v>1869.25</c:v>
                </c:pt>
                <c:pt idx="250" formatCode="#,##0">
                  <c:v>1873.3</c:v>
                </c:pt>
                <c:pt idx="251" formatCode="#,##0">
                  <c:v>1867.1</c:v>
                </c:pt>
                <c:pt idx="252" formatCode="#,##0">
                  <c:v>1872.55</c:v>
                </c:pt>
                <c:pt idx="253" formatCode="#,##0">
                  <c:v>1873.9</c:v>
                </c:pt>
                <c:pt idx="254" formatCode="#,##0">
                  <c:v>1877.55</c:v>
                </c:pt>
                <c:pt idx="255">
                  <c:v>1891.1</c:v>
                </c:pt>
              </c:numCache>
            </c:numRef>
          </c:val>
          <c:smooth val="0"/>
          <c:extLst>
            <c:ext xmlns:c16="http://schemas.microsoft.com/office/drawing/2014/chart" uri="{C3380CC4-5D6E-409C-BE32-E72D297353CC}">
              <c16:uniqueId val="{00000000-94C6-4A95-BD08-D713543164B0}"/>
            </c:ext>
          </c:extLst>
        </c:ser>
        <c:dLbls>
          <c:showLegendKey val="0"/>
          <c:showVal val="0"/>
          <c:showCatName val="0"/>
          <c:showSerName val="0"/>
          <c:showPercent val="0"/>
          <c:showBubbleSize val="0"/>
        </c:dLbls>
        <c:smooth val="0"/>
        <c:axId val="550576336"/>
        <c:axId val="550571344"/>
      </c:lineChart>
      <c:dateAx>
        <c:axId val="55057633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50571344"/>
        <c:crosses val="autoZero"/>
        <c:auto val="1"/>
        <c:lblOffset val="100"/>
        <c:baseTimeUnit val="days"/>
        <c:majorUnit val="12"/>
        <c:majorTimeUnit val="days"/>
      </c:dateAx>
      <c:valAx>
        <c:axId val="550571344"/>
        <c:scaling>
          <c:orientation val="minMax"/>
          <c:max val="2100"/>
          <c:min val="1400"/>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50576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120359477124206"/>
          <c:y val="0.34142614379085062"/>
          <c:w val="0.59834444444444435"/>
          <c:h val="0.59834444444444435"/>
        </c:manualLayout>
      </c:layout>
      <c:pieChart>
        <c:varyColors val="1"/>
        <c:ser>
          <c:idx val="0"/>
          <c:order val="0"/>
          <c:dPt>
            <c:idx val="0"/>
            <c:bubble3D val="0"/>
            <c:spPr>
              <a:solidFill>
                <a:schemeClr val="tx2">
                  <a:lumMod val="60000"/>
                  <a:lumOff val="40000"/>
                </a:schemeClr>
              </a:solidFill>
            </c:spPr>
            <c:extLst>
              <c:ext xmlns:c16="http://schemas.microsoft.com/office/drawing/2014/chart" uri="{C3380CC4-5D6E-409C-BE32-E72D297353CC}">
                <c16:uniqueId val="{00000001-4C8F-40F2-AB3C-5FD7E805209A}"/>
              </c:ext>
            </c:extLst>
          </c:dPt>
          <c:dPt>
            <c:idx val="1"/>
            <c:bubble3D val="0"/>
            <c:spPr>
              <a:solidFill>
                <a:srgbClr val="FF0000"/>
              </a:solidFill>
            </c:spPr>
            <c:extLst>
              <c:ext xmlns:c16="http://schemas.microsoft.com/office/drawing/2014/chart" uri="{C3380CC4-5D6E-409C-BE32-E72D297353CC}">
                <c16:uniqueId val="{00000003-4C8F-40F2-AB3C-5FD7E805209A}"/>
              </c:ext>
            </c:extLst>
          </c:dPt>
          <c:dPt>
            <c:idx val="3"/>
            <c:bubble3D val="0"/>
            <c:spPr>
              <a:solidFill>
                <a:schemeClr val="bg1">
                  <a:lumMod val="65000"/>
                </a:schemeClr>
              </a:solidFill>
            </c:spPr>
            <c:extLst>
              <c:ext xmlns:c16="http://schemas.microsoft.com/office/drawing/2014/chart" uri="{C3380CC4-5D6E-409C-BE32-E72D297353CC}">
                <c16:uniqueId val="{00000005-4C8F-40F2-AB3C-5FD7E805209A}"/>
              </c:ext>
            </c:extLst>
          </c:dPt>
          <c:dPt>
            <c:idx val="4"/>
            <c:bubble3D val="0"/>
            <c:spPr>
              <a:solidFill>
                <a:srgbClr val="FFC000"/>
              </a:solidFill>
            </c:spPr>
            <c:extLst>
              <c:ext xmlns:c16="http://schemas.microsoft.com/office/drawing/2014/chart" uri="{C3380CC4-5D6E-409C-BE32-E72D297353CC}">
                <c16:uniqueId val="{00000007-4C8F-40F2-AB3C-5FD7E805209A}"/>
              </c:ext>
            </c:extLst>
          </c:dPt>
          <c:dLbls>
            <c:dLbl>
              <c:idx val="0"/>
              <c:layout>
                <c:manualLayout>
                  <c:x val="-5.0174281847030183E-2"/>
                  <c:y val="6.841695535629163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C8F-40F2-AB3C-5FD7E805209A}"/>
                </c:ext>
              </c:extLst>
            </c:dLbl>
            <c:dLbl>
              <c:idx val="1"/>
              <c:layout>
                <c:manualLayout>
                  <c:x val="-0.11631859843001463"/>
                  <c:y val="7.339783838099082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C8F-40F2-AB3C-5FD7E805209A}"/>
                </c:ext>
              </c:extLst>
            </c:dLbl>
            <c:dLbl>
              <c:idx val="2"/>
              <c:layout>
                <c:manualLayout>
                  <c:x val="5.3564411224546908E-2"/>
                  <c:y val="-3.535247632846444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4C8F-40F2-AB3C-5FD7E805209A}"/>
                </c:ext>
              </c:extLst>
            </c:dLbl>
            <c:dLbl>
              <c:idx val="3"/>
              <c:layout>
                <c:manualLayout>
                  <c:x val="-0.14218457116902072"/>
                  <c:y val="3.773332694615175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C8F-40F2-AB3C-5FD7E805209A}"/>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'[мип (rus).xlsx]банковский сектор Д16 (EN)'!$B$10:$B$14</c:f>
              <c:strCache>
                <c:ptCount val="5"/>
                <c:pt idx="0">
                  <c:v>Direct investment</c:v>
                </c:pt>
                <c:pt idx="1">
                  <c:v>Portfolio investment</c:v>
                </c:pt>
                <c:pt idx="2">
                  <c:v>Financial derivatives</c:v>
                </c:pt>
                <c:pt idx="3">
                  <c:v>Currency and deposits</c:v>
                </c:pt>
                <c:pt idx="4">
                  <c:v>Loans</c:v>
                </c:pt>
              </c:strCache>
            </c:strRef>
          </c:cat>
          <c:val>
            <c:numRef>
              <c:f>'[мип (rus).xlsx]банковский сектор Д16 (EN)'!$C$10:$C$14</c:f>
              <c:numCache>
                <c:formatCode>0.00</c:formatCode>
                <c:ptCount val="5"/>
                <c:pt idx="0">
                  <c:v>215.52455804681537</c:v>
                </c:pt>
                <c:pt idx="1">
                  <c:v>323.03642651934604</c:v>
                </c:pt>
                <c:pt idx="2">
                  <c:v>3.6942358708342216</c:v>
                </c:pt>
                <c:pt idx="3">
                  <c:v>167.87110002127949</c:v>
                </c:pt>
                <c:pt idx="4">
                  <c:v>2612.7920538064609</c:v>
                </c:pt>
              </c:numCache>
            </c:numRef>
          </c:val>
          <c:extLst>
            <c:ext xmlns:c16="http://schemas.microsoft.com/office/drawing/2014/chart" uri="{C3380CC4-5D6E-409C-BE32-E72D297353CC}">
              <c16:uniqueId val="{00000009-4C8F-40F2-AB3C-5FD7E805209A}"/>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spPr>
    <a:solidFill>
      <a:sysClr val="window" lastClr="FFFFFF"/>
    </a:solidFill>
    <a:ln w="25400" cap="flat" cmpd="sng" algn="ctr">
      <a:noFill/>
      <a:prstDash val="solid"/>
    </a:ln>
    <a:effectLst/>
  </c:spPr>
  <c:txPr>
    <a:bodyPr/>
    <a:lstStyle/>
    <a:p>
      <a:pPr>
        <a:defRPr>
          <a:solidFill>
            <a:sysClr val="windowText" lastClr="000000"/>
          </a:solidFill>
          <a:latin typeface="+mn-lt"/>
          <a:ea typeface="+mn-ea"/>
          <a:cs typeface="Times New Roman" panose="02020603050405020304" pitchFamily="18" charset="0"/>
        </a:defRPr>
      </a:pPr>
      <a:endParaRPr lang="ru-RU"/>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120359477124218"/>
          <c:y val="0.34142614379085101"/>
          <c:w val="0.59834444444444435"/>
          <c:h val="0.59834444444444435"/>
        </c:manualLayout>
      </c:layout>
      <c:pieChart>
        <c:varyColors val="1"/>
        <c:ser>
          <c:idx val="0"/>
          <c:order val="0"/>
          <c:dPt>
            <c:idx val="0"/>
            <c:bubble3D val="0"/>
            <c:spPr>
              <a:solidFill>
                <a:schemeClr val="tx2">
                  <a:lumMod val="60000"/>
                  <a:lumOff val="40000"/>
                </a:schemeClr>
              </a:solidFill>
            </c:spPr>
            <c:extLst>
              <c:ext xmlns:c16="http://schemas.microsoft.com/office/drawing/2014/chart" uri="{C3380CC4-5D6E-409C-BE32-E72D297353CC}">
                <c16:uniqueId val="{00000001-C6BD-47B8-86C9-24BE8B1F403C}"/>
              </c:ext>
            </c:extLst>
          </c:dPt>
          <c:dPt>
            <c:idx val="1"/>
            <c:bubble3D val="0"/>
            <c:spPr>
              <a:solidFill>
                <a:srgbClr val="FF0000"/>
              </a:solidFill>
            </c:spPr>
            <c:extLst>
              <c:ext xmlns:c16="http://schemas.microsoft.com/office/drawing/2014/chart" uri="{C3380CC4-5D6E-409C-BE32-E72D297353CC}">
                <c16:uniqueId val="{00000003-C6BD-47B8-86C9-24BE8B1F403C}"/>
              </c:ext>
            </c:extLst>
          </c:dPt>
          <c:dPt>
            <c:idx val="3"/>
            <c:bubble3D val="0"/>
            <c:spPr>
              <a:solidFill>
                <a:schemeClr val="bg1">
                  <a:lumMod val="65000"/>
                </a:schemeClr>
              </a:solidFill>
            </c:spPr>
            <c:extLst>
              <c:ext xmlns:c16="http://schemas.microsoft.com/office/drawing/2014/chart" uri="{C3380CC4-5D6E-409C-BE32-E72D297353CC}">
                <c16:uniqueId val="{00000005-C6BD-47B8-86C9-24BE8B1F403C}"/>
              </c:ext>
            </c:extLst>
          </c:dPt>
          <c:dPt>
            <c:idx val="4"/>
            <c:bubble3D val="0"/>
            <c:spPr>
              <a:solidFill>
                <a:srgbClr val="FFC000"/>
              </a:solidFill>
            </c:spPr>
            <c:extLst>
              <c:ext xmlns:c16="http://schemas.microsoft.com/office/drawing/2014/chart" uri="{C3380CC4-5D6E-409C-BE32-E72D297353CC}">
                <c16:uniqueId val="{00000007-C6BD-47B8-86C9-24BE8B1F403C}"/>
              </c:ext>
            </c:extLst>
          </c:dPt>
          <c:dLbls>
            <c:dLbl>
              <c:idx val="0"/>
              <c:layout>
                <c:manualLayout>
                  <c:x val="6.1859124455915945E-2"/>
                  <c:y val="-1.392935700851165E-2"/>
                </c:manualLayout>
              </c:layout>
              <c:showLegendKey val="0"/>
              <c:showVal val="0"/>
              <c:showCatName val="0"/>
              <c:showSerName val="0"/>
              <c:showPercent val="1"/>
              <c:showBubbleSize val="0"/>
              <c:extLst>
                <c:ext xmlns:c15="http://schemas.microsoft.com/office/drawing/2012/chart" uri="{CE6537A1-D6FC-4f65-9D91-7224C49458BB}">
                  <c15:layout>
                    <c:manualLayout>
                      <c:w val="0.11887948653721188"/>
                      <c:h val="5.1299053205393859E-2"/>
                    </c:manualLayout>
                  </c15:layout>
                </c:ext>
                <c:ext xmlns:c16="http://schemas.microsoft.com/office/drawing/2014/chart" uri="{C3380CC4-5D6E-409C-BE32-E72D297353CC}">
                  <c16:uniqueId val="{00000001-C6BD-47B8-86C9-24BE8B1F403C}"/>
                </c:ext>
              </c:extLst>
            </c:dLbl>
            <c:dLbl>
              <c:idx val="1"/>
              <c:layout>
                <c:manualLayout>
                  <c:x val="-0.13902121156017325"/>
                  <c:y val="7.939047986484978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6BD-47B8-86C9-24BE8B1F403C}"/>
                </c:ext>
              </c:extLst>
            </c:dLbl>
            <c:dLbl>
              <c:idx val="2"/>
              <c:layout>
                <c:manualLayout>
                  <c:x val="2.1121529933239503E-2"/>
                  <c:y val="-2.434303505584075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6BD-47B8-86C9-24BE8B1F403C}"/>
                </c:ext>
              </c:extLst>
            </c:dLbl>
            <c:dLbl>
              <c:idx val="3"/>
              <c:layout>
                <c:manualLayout>
                  <c:x val="-0.13710661685961462"/>
                  <c:y val="2.240557903535993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6BD-47B8-86C9-24BE8B1F403C}"/>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'[мип (rus).xlsx]банковский сектор Д16 (EN)'!$B$15:$B$19</c:f>
              <c:strCache>
                <c:ptCount val="5"/>
                <c:pt idx="0">
                  <c:v>Direct investment</c:v>
                </c:pt>
                <c:pt idx="1">
                  <c:v>Portfolio investment</c:v>
                </c:pt>
                <c:pt idx="2">
                  <c:v>Financial derivatives</c:v>
                </c:pt>
                <c:pt idx="3">
                  <c:v>Currency and deposits</c:v>
                </c:pt>
                <c:pt idx="4">
                  <c:v>Loans</c:v>
                </c:pt>
              </c:strCache>
            </c:strRef>
          </c:cat>
          <c:val>
            <c:numRef>
              <c:f>'[мип (rus).xlsx]банковский сектор Д16 (EN)'!$C$15:$C$19</c:f>
              <c:numCache>
                <c:formatCode>0.00</c:formatCode>
                <c:ptCount val="5"/>
                <c:pt idx="0">
                  <c:v>295.2847753240402</c:v>
                </c:pt>
                <c:pt idx="1">
                  <c:v>959.46684555217712</c:v>
                </c:pt>
                <c:pt idx="2">
                  <c:v>16.730589830852306</c:v>
                </c:pt>
                <c:pt idx="3">
                  <c:v>373.23255840564264</c:v>
                </c:pt>
                <c:pt idx="4">
                  <c:v>5343.4559152102966</c:v>
                </c:pt>
              </c:numCache>
            </c:numRef>
          </c:val>
          <c:extLst>
            <c:ext xmlns:c16="http://schemas.microsoft.com/office/drawing/2014/chart" uri="{C3380CC4-5D6E-409C-BE32-E72D297353CC}">
              <c16:uniqueId val="{00000009-C6BD-47B8-86C9-24BE8B1F403C}"/>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spPr>
    <a:solidFill>
      <a:sysClr val="window" lastClr="FFFFFF"/>
    </a:solidFill>
    <a:ln w="25400" cap="flat" cmpd="sng" algn="ctr">
      <a:noFill/>
      <a:prstDash val="solid"/>
    </a:ln>
    <a:effectLst/>
  </c:spPr>
  <c:txPr>
    <a:bodyPr/>
    <a:lstStyle/>
    <a:p>
      <a:pPr>
        <a:defRPr>
          <a:solidFill>
            <a:sysClr val="windowText" lastClr="000000"/>
          </a:solidFill>
          <a:latin typeface="+mn-lt"/>
          <a:ea typeface="+mn-ea"/>
          <a:cs typeface="Times New Roman" panose="02020603050405020304" pitchFamily="18" charset="0"/>
        </a:defRPr>
      </a:pPr>
      <a:endParaRPr lang="ru-RU"/>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120359477124212"/>
          <c:y val="0.3414261437908509"/>
          <c:w val="0.59834444444444435"/>
          <c:h val="0.59834444444444435"/>
        </c:manualLayout>
      </c:layout>
      <c:pieChart>
        <c:varyColors val="1"/>
        <c:ser>
          <c:idx val="0"/>
          <c:order val="0"/>
          <c:dPt>
            <c:idx val="0"/>
            <c:bubble3D val="0"/>
            <c:spPr>
              <a:solidFill>
                <a:schemeClr val="tx2">
                  <a:lumMod val="60000"/>
                  <a:lumOff val="40000"/>
                </a:schemeClr>
              </a:solidFill>
            </c:spPr>
            <c:extLst>
              <c:ext xmlns:c16="http://schemas.microsoft.com/office/drawing/2014/chart" uri="{C3380CC4-5D6E-409C-BE32-E72D297353CC}">
                <c16:uniqueId val="{00000001-A909-447C-A74A-D344FEC7B6F1}"/>
              </c:ext>
            </c:extLst>
          </c:dPt>
          <c:dPt>
            <c:idx val="1"/>
            <c:bubble3D val="0"/>
            <c:spPr>
              <a:solidFill>
                <a:schemeClr val="accent6"/>
              </a:solidFill>
            </c:spPr>
            <c:extLst>
              <c:ext xmlns:c16="http://schemas.microsoft.com/office/drawing/2014/chart" uri="{C3380CC4-5D6E-409C-BE32-E72D297353CC}">
                <c16:uniqueId val="{00000003-A909-447C-A74A-D344FEC7B6F1}"/>
              </c:ext>
            </c:extLst>
          </c:dPt>
          <c:dPt>
            <c:idx val="3"/>
            <c:bubble3D val="0"/>
            <c:spPr>
              <a:solidFill>
                <a:schemeClr val="bg1">
                  <a:lumMod val="65000"/>
                </a:schemeClr>
              </a:solidFill>
            </c:spPr>
            <c:extLst>
              <c:ext xmlns:c16="http://schemas.microsoft.com/office/drawing/2014/chart" uri="{C3380CC4-5D6E-409C-BE32-E72D297353CC}">
                <c16:uniqueId val="{00000005-A909-447C-A74A-D344FEC7B6F1}"/>
              </c:ext>
            </c:extLst>
          </c:dPt>
          <c:dPt>
            <c:idx val="4"/>
            <c:bubble3D val="0"/>
            <c:spPr>
              <a:solidFill>
                <a:srgbClr val="FFC000"/>
              </a:solidFill>
            </c:spPr>
            <c:extLst>
              <c:ext xmlns:c16="http://schemas.microsoft.com/office/drawing/2014/chart" uri="{C3380CC4-5D6E-409C-BE32-E72D297353CC}">
                <c16:uniqueId val="{00000007-A909-447C-A74A-D344FEC7B6F1}"/>
              </c:ext>
            </c:extLst>
          </c:dPt>
          <c:dLbls>
            <c:dLbl>
              <c:idx val="1"/>
              <c:layout>
                <c:manualLayout>
                  <c:x val="-4.6822553716608595E-2"/>
                  <c:y val="-3.937345665483130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909-447C-A74A-D344FEC7B6F1}"/>
                </c:ext>
              </c:extLst>
            </c:dLbl>
            <c:dLbl>
              <c:idx val="2"/>
              <c:layout>
                <c:manualLayout>
                  <c:x val="4.8784117305458771E-2"/>
                  <c:y val="1.580648460673008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A909-447C-A74A-D344FEC7B6F1}"/>
                </c:ext>
              </c:extLst>
            </c:dLbl>
            <c:dLbl>
              <c:idx val="3"/>
              <c:layout>
                <c:manualLayout>
                  <c:x val="-0.12784952090592344"/>
                  <c:y val="5.210070281564604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909-447C-A74A-D344FEC7B6F1}"/>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'[мип1 eng.xlsx]банковский сектор диаграмма'!$B$15:$B$19</c:f>
              <c:strCache>
                <c:ptCount val="5"/>
                <c:pt idx="0">
                  <c:v>Direct investment</c:v>
                </c:pt>
                <c:pt idx="1">
                  <c:v>Portfolio investment</c:v>
                </c:pt>
                <c:pt idx="2">
                  <c:v>Financial derivatives</c:v>
                </c:pt>
                <c:pt idx="3">
                  <c:v>Currency and deposits</c:v>
                </c:pt>
                <c:pt idx="4">
                  <c:v>Loans</c:v>
                </c:pt>
              </c:strCache>
            </c:strRef>
          </c:cat>
          <c:val>
            <c:numRef>
              <c:f>'[мип1 eng.xlsx]банковский сектор диаграмма'!$C$15:$C$19</c:f>
              <c:numCache>
                <c:formatCode>General</c:formatCode>
                <c:ptCount val="5"/>
                <c:pt idx="0">
                  <c:v>200.08520224075662</c:v>
                </c:pt>
                <c:pt idx="1">
                  <c:v>17.26214278592083</c:v>
                </c:pt>
                <c:pt idx="2">
                  <c:v>5.2430067912751905</c:v>
                </c:pt>
                <c:pt idx="3">
                  <c:v>81.084472393165129</c:v>
                </c:pt>
                <c:pt idx="4">
                  <c:v>1272.9760194878477</c:v>
                </c:pt>
              </c:numCache>
            </c:numRef>
          </c:val>
          <c:extLst>
            <c:ext xmlns:c16="http://schemas.microsoft.com/office/drawing/2014/chart" uri="{C3380CC4-5D6E-409C-BE32-E72D297353CC}">
              <c16:uniqueId val="{00000009-A909-447C-A74A-D344FEC7B6F1}"/>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spPr>
    <a:solidFill>
      <a:sysClr val="window" lastClr="FFFFFF"/>
    </a:solidFill>
    <a:ln w="25400" cap="flat" cmpd="sng" algn="ctr">
      <a:noFill/>
      <a:prstDash val="solid"/>
    </a:ln>
    <a:effectLst/>
  </c:spPr>
  <c:txPr>
    <a:bodyPr/>
    <a:lstStyle/>
    <a:p>
      <a:pPr>
        <a:defRPr>
          <a:solidFill>
            <a:sysClr val="windowText" lastClr="000000"/>
          </a:solidFill>
          <a:latin typeface="+mn-lt"/>
          <a:ea typeface="+mn-ea"/>
          <a:cs typeface="Times New Roman" panose="02020603050405020304" pitchFamily="18" charset="0"/>
        </a:defRPr>
      </a:pPr>
      <a:endParaRPr lang="ru-RU"/>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5823638425710564E-2"/>
          <c:y val="6.6910761154855627E-2"/>
          <c:w val="0.94227656108279267"/>
          <c:h val="0.74608942632170971"/>
        </c:manualLayout>
      </c:layout>
      <c:barChart>
        <c:barDir val="col"/>
        <c:grouping val="stacked"/>
        <c:varyColors val="0"/>
        <c:ser>
          <c:idx val="0"/>
          <c:order val="0"/>
          <c:tx>
            <c:strRef>
              <c:f>'[Диаграммы RU, EN, UZ (01.01.2021) 1.xlsx]совокупный (en)'!$A$2</c:f>
              <c:strCache>
                <c:ptCount val="1"/>
                <c:pt idx="0">
                  <c:v>Private sector debt</c:v>
                </c:pt>
              </c:strCache>
            </c:strRef>
          </c:tx>
          <c:invertIfNegative val="0"/>
          <c:dLbls>
            <c:spPr>
              <a:noFill/>
              <a:ln>
                <a:noFill/>
              </a:ln>
              <a:effectLst/>
            </c:spPr>
            <c:txPr>
              <a:bodyPr/>
              <a:lstStyle/>
              <a:p>
                <a:pPr>
                  <a:defRPr sz="1100">
                    <a:solidFill>
                      <a:sysClr val="windowText" lastClr="000000"/>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'[Диаграммы RU, EN, UZ (01.01.2021) 1.xlsx]совокупный (en)'!$C$1:$J$1</c:f>
              <c:numCache>
                <c:formatCode>General</c:formatCode>
                <c:ptCount val="8"/>
                <c:pt idx="0">
                  <c:v>2013</c:v>
                </c:pt>
                <c:pt idx="1">
                  <c:v>2014</c:v>
                </c:pt>
                <c:pt idx="2">
                  <c:v>2015</c:v>
                </c:pt>
                <c:pt idx="3">
                  <c:v>2016</c:v>
                </c:pt>
                <c:pt idx="4">
                  <c:v>2017</c:v>
                </c:pt>
                <c:pt idx="5">
                  <c:v>2018</c:v>
                </c:pt>
                <c:pt idx="6">
                  <c:v>2019</c:v>
                </c:pt>
                <c:pt idx="7">
                  <c:v>2020</c:v>
                </c:pt>
              </c:numCache>
            </c:numRef>
          </c:cat>
          <c:val>
            <c:numRef>
              <c:f>'[Диаграммы RU, EN, UZ (01.01.2021) 1.xlsx]совокупный (en)'!$C$2:$J$2</c:f>
              <c:numCache>
                <c:formatCode>_-* #\ ##0.0_р_._-;\-* #\ ##0.0_р_._-;_-* "-"??_р_._-;_-@_-</c:formatCode>
                <c:ptCount val="8"/>
                <c:pt idx="0">
                  <c:v>5.477567184441412</c:v>
                </c:pt>
                <c:pt idx="1">
                  <c:v>6.8657809768365086</c:v>
                </c:pt>
                <c:pt idx="2">
                  <c:v>7.3029998760376893</c:v>
                </c:pt>
                <c:pt idx="3">
                  <c:v>8.2156863642724254</c:v>
                </c:pt>
                <c:pt idx="4">
                  <c:v>8.1858896114479318</c:v>
                </c:pt>
                <c:pt idx="5">
                  <c:v>7.2074590487087562</c:v>
                </c:pt>
                <c:pt idx="6">
                  <c:v>8.7623918681482138</c:v>
                </c:pt>
                <c:pt idx="7">
                  <c:v>12.495795992737261</c:v>
                </c:pt>
              </c:numCache>
            </c:numRef>
          </c:val>
          <c:extLst>
            <c:ext xmlns:c16="http://schemas.microsoft.com/office/drawing/2014/chart" uri="{C3380CC4-5D6E-409C-BE32-E72D297353CC}">
              <c16:uniqueId val="{00000000-B9DE-4382-9E29-0A130B47E1FF}"/>
            </c:ext>
          </c:extLst>
        </c:ser>
        <c:ser>
          <c:idx val="1"/>
          <c:order val="1"/>
          <c:tx>
            <c:strRef>
              <c:f>'[Диаграммы RU, EN, UZ (01.01.2021) 1.xlsx]совокупный (en)'!$A$3</c:f>
              <c:strCache>
                <c:ptCount val="1"/>
                <c:pt idx="0">
                  <c:v>Government debt</c:v>
                </c:pt>
              </c:strCache>
            </c:strRef>
          </c:tx>
          <c:spPr>
            <a:solidFill>
              <a:sysClr val="window" lastClr="FFFFFF">
                <a:lumMod val="85000"/>
              </a:sysClr>
            </a:solidFill>
          </c:spPr>
          <c:invertIfNegative val="0"/>
          <c:dLbls>
            <c:spPr>
              <a:noFill/>
              <a:ln>
                <a:noFill/>
              </a:ln>
              <a:effectLst/>
            </c:spPr>
            <c:txPr>
              <a:bodyPr/>
              <a:lstStyle/>
              <a:p>
                <a:pPr algn="l">
                  <a:defRPr sz="1100">
                    <a:latin typeface="+mn-lt"/>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'[Диаграммы RU, EN, UZ (01.01.2021) 1.xlsx]совокупный (en)'!$C$1:$J$1</c:f>
              <c:numCache>
                <c:formatCode>General</c:formatCode>
                <c:ptCount val="8"/>
                <c:pt idx="0">
                  <c:v>2013</c:v>
                </c:pt>
                <c:pt idx="1">
                  <c:v>2014</c:v>
                </c:pt>
                <c:pt idx="2">
                  <c:v>2015</c:v>
                </c:pt>
                <c:pt idx="3">
                  <c:v>2016</c:v>
                </c:pt>
                <c:pt idx="4">
                  <c:v>2017</c:v>
                </c:pt>
                <c:pt idx="5">
                  <c:v>2018</c:v>
                </c:pt>
                <c:pt idx="6">
                  <c:v>2019</c:v>
                </c:pt>
                <c:pt idx="7">
                  <c:v>2020</c:v>
                </c:pt>
              </c:numCache>
            </c:numRef>
          </c:cat>
          <c:val>
            <c:numRef>
              <c:f>'[Диаграммы RU, EN, UZ (01.01.2021) 1.xlsx]совокупный (en)'!$C$3:$J$3</c:f>
              <c:numCache>
                <c:formatCode>_-* #\ ##0.0_р_._-;\-* #\ ##0.0_р_._-;_-* "-"??_р_._-;_-@_-</c:formatCode>
                <c:ptCount val="8"/>
                <c:pt idx="0">
                  <c:v>3.9315736720782954</c:v>
                </c:pt>
                <c:pt idx="1">
                  <c:v>4.3240059255868042</c:v>
                </c:pt>
                <c:pt idx="2">
                  <c:v>5.6583874380506494</c:v>
                </c:pt>
                <c:pt idx="3">
                  <c:v>6.5213924550630971</c:v>
                </c:pt>
                <c:pt idx="4">
                  <c:v>7.6227854677313287</c:v>
                </c:pt>
                <c:pt idx="5">
                  <c:v>9.9505129057644481</c:v>
                </c:pt>
                <c:pt idx="6">
                  <c:v>15.869611074949232</c:v>
                </c:pt>
                <c:pt idx="7">
                  <c:v>21.346036600986423</c:v>
                </c:pt>
              </c:numCache>
            </c:numRef>
          </c:val>
          <c:extLst>
            <c:ext xmlns:c16="http://schemas.microsoft.com/office/drawing/2014/chart" uri="{C3380CC4-5D6E-409C-BE32-E72D297353CC}">
              <c16:uniqueId val="{00000001-B9DE-4382-9E29-0A130B47E1FF}"/>
            </c:ext>
          </c:extLst>
        </c:ser>
        <c:dLbls>
          <c:showLegendKey val="0"/>
          <c:showVal val="0"/>
          <c:showCatName val="0"/>
          <c:showSerName val="0"/>
          <c:showPercent val="0"/>
          <c:showBubbleSize val="0"/>
        </c:dLbls>
        <c:gapWidth val="75"/>
        <c:overlap val="100"/>
        <c:axId val="104438784"/>
        <c:axId val="104547072"/>
      </c:barChart>
      <c:lineChart>
        <c:grouping val="standard"/>
        <c:varyColors val="0"/>
        <c:ser>
          <c:idx val="2"/>
          <c:order val="2"/>
          <c:tx>
            <c:strRef>
              <c:f>'[Диаграммы RU, EN, UZ (01.01.2021) 1.xlsx]совокупный (en)'!$A$4</c:f>
              <c:strCache>
                <c:ptCount val="1"/>
                <c:pt idx="0">
                  <c:v>Total external debt</c:v>
                </c:pt>
              </c:strCache>
            </c:strRef>
          </c:tx>
          <c:spPr>
            <a:ln>
              <a:solidFill>
                <a:srgbClr val="5B9BD5"/>
              </a:solidFill>
            </a:ln>
          </c:spPr>
          <c:marker>
            <c:symbol val="circle"/>
            <c:size val="8"/>
            <c:spPr>
              <a:solidFill>
                <a:srgbClr val="5B9BD5"/>
              </a:solidFill>
              <a:ln>
                <a:solidFill>
                  <a:srgbClr val="E7E6E6"/>
                </a:solidFill>
              </a:ln>
            </c:spPr>
          </c:marker>
          <c:dLbls>
            <c:spPr>
              <a:noFill/>
              <a:ln>
                <a:noFill/>
              </a:ln>
              <a:effectLst/>
            </c:spPr>
            <c:txPr>
              <a:bodyPr/>
              <a:lstStyle/>
              <a:p>
                <a:pPr>
                  <a:defRPr sz="1100">
                    <a:solidFill>
                      <a:sysClr val="windowText" lastClr="000000"/>
                    </a:solidFill>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'[Диаграммы RU, EN, UZ (01.01.2021) 1.xlsx]совокупный (en)'!$C$1:$J$1</c:f>
              <c:numCache>
                <c:formatCode>General</c:formatCode>
                <c:ptCount val="8"/>
                <c:pt idx="0">
                  <c:v>2013</c:v>
                </c:pt>
                <c:pt idx="1">
                  <c:v>2014</c:v>
                </c:pt>
                <c:pt idx="2">
                  <c:v>2015</c:v>
                </c:pt>
                <c:pt idx="3">
                  <c:v>2016</c:v>
                </c:pt>
                <c:pt idx="4">
                  <c:v>2017</c:v>
                </c:pt>
                <c:pt idx="5">
                  <c:v>2018</c:v>
                </c:pt>
                <c:pt idx="6">
                  <c:v>2019</c:v>
                </c:pt>
                <c:pt idx="7">
                  <c:v>2020</c:v>
                </c:pt>
              </c:numCache>
            </c:numRef>
          </c:cat>
          <c:val>
            <c:numRef>
              <c:f>'[Диаграммы RU, EN, UZ (01.01.2021) 1.xlsx]совокупный (en)'!$C$4:$J$4</c:f>
              <c:numCache>
                <c:formatCode>_-* #\ ##0.0_р_._-;\-* #\ ##0.0_р_._-;_-* "-"??_р_._-;_-@_-</c:formatCode>
                <c:ptCount val="8"/>
                <c:pt idx="0">
                  <c:v>9.4091408565197074</c:v>
                </c:pt>
                <c:pt idx="1">
                  <c:v>11.189786902423313</c:v>
                </c:pt>
                <c:pt idx="2">
                  <c:v>12.961387314088338</c:v>
                </c:pt>
                <c:pt idx="3">
                  <c:v>14.737078819335522</c:v>
                </c:pt>
                <c:pt idx="4">
                  <c:v>15.80867507917926</c:v>
                </c:pt>
                <c:pt idx="5">
                  <c:v>17.157971954473204</c:v>
                </c:pt>
                <c:pt idx="6">
                  <c:v>24.632002943097447</c:v>
                </c:pt>
                <c:pt idx="7">
                  <c:v>33.84183259372368</c:v>
                </c:pt>
              </c:numCache>
            </c:numRef>
          </c:val>
          <c:smooth val="0"/>
          <c:extLst>
            <c:ext xmlns:c16="http://schemas.microsoft.com/office/drawing/2014/chart" uri="{C3380CC4-5D6E-409C-BE32-E72D297353CC}">
              <c16:uniqueId val="{00000002-B9DE-4382-9E29-0A130B47E1FF}"/>
            </c:ext>
          </c:extLst>
        </c:ser>
        <c:dLbls>
          <c:showLegendKey val="0"/>
          <c:showVal val="0"/>
          <c:showCatName val="0"/>
          <c:showSerName val="0"/>
          <c:showPercent val="0"/>
          <c:showBubbleSize val="0"/>
        </c:dLbls>
        <c:marker val="1"/>
        <c:smooth val="0"/>
        <c:axId val="104438784"/>
        <c:axId val="104547072"/>
      </c:lineChart>
      <c:dateAx>
        <c:axId val="104438784"/>
        <c:scaling>
          <c:orientation val="minMax"/>
        </c:scaling>
        <c:delete val="0"/>
        <c:axPos val="b"/>
        <c:numFmt formatCode="General" sourceLinked="0"/>
        <c:majorTickMark val="out"/>
        <c:minorTickMark val="none"/>
        <c:tickLblPos val="nextTo"/>
        <c:txPr>
          <a:bodyPr/>
          <a:lstStyle/>
          <a:p>
            <a:pPr>
              <a:defRPr sz="1100"/>
            </a:pPr>
            <a:endParaRPr lang="ru-RU"/>
          </a:p>
        </c:txPr>
        <c:crossAx val="104547072"/>
        <c:crosses val="autoZero"/>
        <c:auto val="0"/>
        <c:lblOffset val="100"/>
        <c:baseTimeUnit val="days"/>
      </c:dateAx>
      <c:valAx>
        <c:axId val="104547072"/>
        <c:scaling>
          <c:orientation val="minMax"/>
          <c:max val="36"/>
          <c:min val="0"/>
        </c:scaling>
        <c:delete val="0"/>
        <c:axPos val="l"/>
        <c:numFmt formatCode="0" sourceLinked="0"/>
        <c:majorTickMark val="out"/>
        <c:minorTickMark val="none"/>
        <c:tickLblPos val="nextTo"/>
        <c:spPr>
          <a:ln w="6350">
            <a:solidFill>
              <a:schemeClr val="accent1"/>
            </a:solidFill>
          </a:ln>
        </c:spPr>
        <c:txPr>
          <a:bodyPr/>
          <a:lstStyle/>
          <a:p>
            <a:pPr>
              <a:defRPr sz="1100">
                <a:solidFill>
                  <a:sysClr val="windowText" lastClr="000000"/>
                </a:solidFill>
              </a:defRPr>
            </a:pPr>
            <a:endParaRPr lang="ru-RU"/>
          </a:p>
        </c:txPr>
        <c:crossAx val="104438784"/>
        <c:crosses val="autoZero"/>
        <c:crossBetween val="between"/>
        <c:majorUnit val="3"/>
      </c:valAx>
    </c:plotArea>
    <c:legend>
      <c:legendPos val="r"/>
      <c:layout>
        <c:manualLayout>
          <c:xMode val="edge"/>
          <c:yMode val="edge"/>
          <c:x val="0"/>
          <c:y val="0.88964304461942256"/>
          <c:w val="0.96746807188991402"/>
          <c:h val="0.11035704433375385"/>
        </c:manualLayout>
      </c:layout>
      <c:overlay val="0"/>
      <c:txPr>
        <a:bodyPr/>
        <a:lstStyle/>
        <a:p>
          <a:pPr>
            <a:defRPr sz="1100">
              <a:solidFill>
                <a:sysClr val="windowText" lastClr="000000"/>
              </a:solidFill>
            </a:defRPr>
          </a:pPr>
          <a:endParaRPr lang="ru-RU"/>
        </a:p>
      </c:txPr>
    </c:legend>
    <c:plotVisOnly val="1"/>
    <c:dispBlanksAs val="gap"/>
    <c:showDLblsOverMax val="0"/>
  </c:chart>
  <c:spPr>
    <a:ln>
      <a:solidFill>
        <a:srgbClr val="E7E6E6"/>
      </a:solidFill>
    </a:ln>
  </c:spPr>
  <c:txPr>
    <a:bodyPr/>
    <a:lstStyle/>
    <a:p>
      <a:pPr>
        <a:defRPr sz="1400">
          <a:solidFill>
            <a:sysClr val="windowText" lastClr="000000"/>
          </a:solidFill>
          <a:latin typeface="+mn-lt"/>
          <a:cs typeface="Times New Roman" panose="02020603050405020304" pitchFamily="18" charset="0"/>
        </a:defRPr>
      </a:pPr>
      <a:endParaRPr lang="ru-RU"/>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977224613270097E-2"/>
          <c:y val="3.2627206029770837E-2"/>
          <c:w val="0.90783614586692873"/>
          <c:h val="0.72835670848850442"/>
        </c:manualLayout>
      </c:layout>
      <c:barChart>
        <c:barDir val="col"/>
        <c:grouping val="clustered"/>
        <c:varyColors val="0"/>
        <c:ser>
          <c:idx val="0"/>
          <c:order val="0"/>
          <c:tx>
            <c:strRef>
              <c:f>'[Диаграммы RU, EN, UZ (01.01.2021) 1.xlsx]привлечение долга (Д-20)'!$B$21</c:f>
              <c:strCache>
                <c:ptCount val="1"/>
                <c:pt idx="0">
                  <c:v>Government debt</c:v>
                </c:pt>
              </c:strCache>
            </c:strRef>
          </c:tx>
          <c:spPr>
            <a:solidFill>
              <a:schemeClr val="tx2"/>
            </a:solidFill>
          </c:spPr>
          <c:invertIfNegative val="0"/>
          <c:cat>
            <c:strRef>
              <c:f>'[Диаграммы RU, EN, UZ (01.01.2021) 1.xlsx]привлечение долга (Д-20)'!$E$18:$F$18</c:f>
              <c:strCache>
                <c:ptCount val="2"/>
                <c:pt idx="0">
                  <c:v>For 2019</c:v>
                </c:pt>
                <c:pt idx="1">
                  <c:v>For 2020</c:v>
                </c:pt>
              </c:strCache>
            </c:strRef>
          </c:cat>
          <c:val>
            <c:numRef>
              <c:f>'[Диаграммы RU, EN, UZ (01.01.2021) 1.xlsx]привлечение долга (Д-20)'!$E$21:$F$21</c:f>
              <c:numCache>
                <c:formatCode>_-* #\ ##0.0_р_._-;\-* #\ ##0.0_р_._-;_-* "-"??_р_._-;_-@_-</c:formatCode>
                <c:ptCount val="2"/>
                <c:pt idx="0">
                  <c:v>6240.9144341149995</c:v>
                </c:pt>
                <c:pt idx="1">
                  <c:v>5730.2588838366373</c:v>
                </c:pt>
              </c:numCache>
            </c:numRef>
          </c:val>
          <c:extLst>
            <c:ext xmlns:c16="http://schemas.microsoft.com/office/drawing/2014/chart" uri="{C3380CC4-5D6E-409C-BE32-E72D297353CC}">
              <c16:uniqueId val="{00000000-D701-43F6-AB1C-C30D6A20E9C5}"/>
            </c:ext>
          </c:extLst>
        </c:ser>
        <c:ser>
          <c:idx val="1"/>
          <c:order val="1"/>
          <c:tx>
            <c:strRef>
              <c:f>'[Диаграммы RU, EN, UZ (01.01.2021) 1.xlsx]привлечение долга (Д-20)'!$B$22</c:f>
              <c:strCache>
                <c:ptCount val="1"/>
                <c:pt idx="0">
                  <c:v>Oil and gas and energy sector</c:v>
                </c:pt>
              </c:strCache>
            </c:strRef>
          </c:tx>
          <c:invertIfNegative val="0"/>
          <c:cat>
            <c:strRef>
              <c:f>'[Диаграммы RU, EN, UZ (01.01.2021) 1.xlsx]привлечение долга (Д-20)'!$E$18:$F$18</c:f>
              <c:strCache>
                <c:ptCount val="2"/>
                <c:pt idx="0">
                  <c:v>For 2019</c:v>
                </c:pt>
                <c:pt idx="1">
                  <c:v>For 2020</c:v>
                </c:pt>
              </c:strCache>
            </c:strRef>
          </c:cat>
          <c:val>
            <c:numRef>
              <c:f>'[Диаграммы RU, EN, UZ (01.01.2021) 1.xlsx]привлечение долга (Д-20)'!$E$22:$F$22</c:f>
              <c:numCache>
                <c:formatCode>_-* #\ ##0.0_р_._-;\-* #\ ##0.0_р_._-;_-* "-"??_р_._-;_-@_-</c:formatCode>
                <c:ptCount val="2"/>
                <c:pt idx="0">
                  <c:v>208.24089329798599</c:v>
                </c:pt>
                <c:pt idx="1">
                  <c:v>211.771828126222</c:v>
                </c:pt>
              </c:numCache>
            </c:numRef>
          </c:val>
          <c:extLst>
            <c:ext xmlns:c16="http://schemas.microsoft.com/office/drawing/2014/chart" uri="{C3380CC4-5D6E-409C-BE32-E72D297353CC}">
              <c16:uniqueId val="{00000001-D701-43F6-AB1C-C30D6A20E9C5}"/>
            </c:ext>
          </c:extLst>
        </c:ser>
        <c:ser>
          <c:idx val="2"/>
          <c:order val="2"/>
          <c:tx>
            <c:strRef>
              <c:f>'[Диаграммы RU, EN, UZ (01.01.2021) 1.xlsx]привлечение долга (Д-20)'!$B$23</c:f>
              <c:strCache>
                <c:ptCount val="1"/>
                <c:pt idx="0">
                  <c:v>Telecommunications sector</c:v>
                </c:pt>
              </c:strCache>
            </c:strRef>
          </c:tx>
          <c:spPr>
            <a:solidFill>
              <a:srgbClr val="C00000"/>
            </a:solidFill>
          </c:spPr>
          <c:invertIfNegative val="0"/>
          <c:cat>
            <c:strRef>
              <c:f>'[Диаграммы RU, EN, UZ (01.01.2021) 1.xlsx]привлечение долга (Д-20)'!$E$18:$F$18</c:f>
              <c:strCache>
                <c:ptCount val="2"/>
                <c:pt idx="0">
                  <c:v>For 2019</c:v>
                </c:pt>
                <c:pt idx="1">
                  <c:v>For 2020</c:v>
                </c:pt>
              </c:strCache>
            </c:strRef>
          </c:cat>
          <c:val>
            <c:numRef>
              <c:f>'[Диаграммы RU, EN, UZ (01.01.2021) 1.xlsx]привлечение долга (Д-20)'!$E$23:$F$23</c:f>
              <c:numCache>
                <c:formatCode>_-* #\ ##0.0_р_._-;\-* #\ ##0.0_р_._-;_-* "-"??_р_._-;_-@_-</c:formatCode>
                <c:ptCount val="2"/>
                <c:pt idx="0">
                  <c:v>5.5805482589017004</c:v>
                </c:pt>
                <c:pt idx="1">
                  <c:v>16.9738177984228</c:v>
                </c:pt>
              </c:numCache>
            </c:numRef>
          </c:val>
          <c:extLst>
            <c:ext xmlns:c16="http://schemas.microsoft.com/office/drawing/2014/chart" uri="{C3380CC4-5D6E-409C-BE32-E72D297353CC}">
              <c16:uniqueId val="{00000002-D701-43F6-AB1C-C30D6A20E9C5}"/>
            </c:ext>
          </c:extLst>
        </c:ser>
        <c:ser>
          <c:idx val="3"/>
          <c:order val="3"/>
          <c:tx>
            <c:strRef>
              <c:f>'[Диаграммы RU, EN, UZ (01.01.2021) 1.xlsx]привлечение долга (Д-20)'!$B$24</c:f>
              <c:strCache>
                <c:ptCount val="1"/>
                <c:pt idx="0">
                  <c:v>Banking sector</c:v>
                </c:pt>
              </c:strCache>
            </c:strRef>
          </c:tx>
          <c:invertIfNegative val="0"/>
          <c:cat>
            <c:strRef>
              <c:f>'[Диаграммы RU, EN, UZ (01.01.2021) 1.xlsx]привлечение долга (Д-20)'!$E$18:$F$18</c:f>
              <c:strCache>
                <c:ptCount val="2"/>
                <c:pt idx="0">
                  <c:v>For 2019</c:v>
                </c:pt>
                <c:pt idx="1">
                  <c:v>For 2020</c:v>
                </c:pt>
              </c:strCache>
            </c:strRef>
          </c:cat>
          <c:val>
            <c:numRef>
              <c:f>'[Диаграммы RU, EN, UZ (01.01.2021) 1.xlsx]привлечение долга (Д-20)'!$E$24:$F$24</c:f>
              <c:numCache>
                <c:formatCode>_-* #\ ##0.0_р_._-;\-* #\ ##0.0_р_._-;_-* "-"??_р_._-;_-@_-</c:formatCode>
                <c:ptCount val="2"/>
                <c:pt idx="0">
                  <c:v>2107.2277174180103</c:v>
                </c:pt>
                <c:pt idx="1">
                  <c:v>4327.6711837774501</c:v>
                </c:pt>
              </c:numCache>
            </c:numRef>
          </c:val>
          <c:extLst>
            <c:ext xmlns:c16="http://schemas.microsoft.com/office/drawing/2014/chart" uri="{C3380CC4-5D6E-409C-BE32-E72D297353CC}">
              <c16:uniqueId val="{00000003-D701-43F6-AB1C-C30D6A20E9C5}"/>
            </c:ext>
          </c:extLst>
        </c:ser>
        <c:ser>
          <c:idx val="4"/>
          <c:order val="4"/>
          <c:tx>
            <c:strRef>
              <c:f>'[Диаграммы RU, EN, UZ (01.01.2021) 1.xlsx]привлечение долга (Д-20)'!$B$25</c:f>
              <c:strCache>
                <c:ptCount val="1"/>
                <c:pt idx="0">
                  <c:v>Textile sector</c:v>
                </c:pt>
              </c:strCache>
            </c:strRef>
          </c:tx>
          <c:invertIfNegative val="0"/>
          <c:cat>
            <c:strRef>
              <c:f>'[Диаграммы RU, EN, UZ (01.01.2021) 1.xlsx]привлечение долга (Д-20)'!$E$18:$F$18</c:f>
              <c:strCache>
                <c:ptCount val="2"/>
                <c:pt idx="0">
                  <c:v>For 2019</c:v>
                </c:pt>
                <c:pt idx="1">
                  <c:v>For 2020</c:v>
                </c:pt>
              </c:strCache>
            </c:strRef>
          </c:cat>
          <c:val>
            <c:numRef>
              <c:f>'[Диаграммы RU, EN, UZ (01.01.2021) 1.xlsx]привлечение долга (Д-20)'!$E$25:$F$25</c:f>
              <c:numCache>
                <c:formatCode>_-* #\ ##0.0_р_._-;\-* #\ ##0.0_р_._-;_-* "-"??_р_._-;_-@_-</c:formatCode>
                <c:ptCount val="2"/>
                <c:pt idx="0">
                  <c:v>130.99351359549701</c:v>
                </c:pt>
                <c:pt idx="1">
                  <c:v>113.36454821009201</c:v>
                </c:pt>
              </c:numCache>
            </c:numRef>
          </c:val>
          <c:extLst>
            <c:ext xmlns:c16="http://schemas.microsoft.com/office/drawing/2014/chart" uri="{C3380CC4-5D6E-409C-BE32-E72D297353CC}">
              <c16:uniqueId val="{00000004-D701-43F6-AB1C-C30D6A20E9C5}"/>
            </c:ext>
          </c:extLst>
        </c:ser>
        <c:ser>
          <c:idx val="5"/>
          <c:order val="5"/>
          <c:tx>
            <c:strRef>
              <c:f>'[Диаграммы RU, EN, UZ (01.01.2021) 1.xlsx]привлечение долга (Д-20)'!$B$26</c:f>
              <c:strCache>
                <c:ptCount val="1"/>
                <c:pt idx="0">
                  <c:v>Other sectors</c:v>
                </c:pt>
              </c:strCache>
            </c:strRef>
          </c:tx>
          <c:invertIfNegative val="0"/>
          <c:cat>
            <c:strRef>
              <c:f>'[Диаграммы RU, EN, UZ (01.01.2021) 1.xlsx]привлечение долга (Д-20)'!$E$18:$F$18</c:f>
              <c:strCache>
                <c:ptCount val="2"/>
                <c:pt idx="0">
                  <c:v>For 2019</c:v>
                </c:pt>
                <c:pt idx="1">
                  <c:v>For 2020</c:v>
                </c:pt>
              </c:strCache>
            </c:strRef>
          </c:cat>
          <c:val>
            <c:numRef>
              <c:f>'[Диаграммы RU, EN, UZ (01.01.2021) 1.xlsx]привлечение долга (Д-20)'!$E$26:$F$26</c:f>
              <c:numCache>
                <c:formatCode>_-* #\ ##0.0_р_._-;\-* #\ ##0.0_р_._-;_-* "-"??_р_._-;_-@_-</c:formatCode>
                <c:ptCount val="2"/>
                <c:pt idx="0">
                  <c:v>391.16050742845403</c:v>
                </c:pt>
                <c:pt idx="1">
                  <c:v>853.62635256783415</c:v>
                </c:pt>
              </c:numCache>
            </c:numRef>
          </c:val>
          <c:extLst>
            <c:ext xmlns:c16="http://schemas.microsoft.com/office/drawing/2014/chart" uri="{C3380CC4-5D6E-409C-BE32-E72D297353CC}">
              <c16:uniqueId val="{00000005-D701-43F6-AB1C-C30D6A20E9C5}"/>
            </c:ext>
          </c:extLst>
        </c:ser>
        <c:dLbls>
          <c:showLegendKey val="0"/>
          <c:showVal val="0"/>
          <c:showCatName val="0"/>
          <c:showSerName val="0"/>
          <c:showPercent val="0"/>
          <c:showBubbleSize val="0"/>
        </c:dLbls>
        <c:gapWidth val="75"/>
        <c:overlap val="-25"/>
        <c:axId val="98828288"/>
        <c:axId val="98829824"/>
      </c:barChart>
      <c:catAx>
        <c:axId val="98828288"/>
        <c:scaling>
          <c:orientation val="minMax"/>
        </c:scaling>
        <c:delete val="0"/>
        <c:axPos val="b"/>
        <c:majorGridlines/>
        <c:numFmt formatCode="General" sourceLinked="1"/>
        <c:majorTickMark val="out"/>
        <c:minorTickMark val="none"/>
        <c:tickLblPos val="nextTo"/>
        <c:txPr>
          <a:bodyPr rot="-60000000" vert="horz"/>
          <a:lstStyle/>
          <a:p>
            <a:pPr>
              <a:defRPr sz="1000">
                <a:latin typeface="+mn-lt"/>
                <a:cs typeface="Times New Roman" panose="02020603050405020304" pitchFamily="18" charset="0"/>
              </a:defRPr>
            </a:pPr>
            <a:endParaRPr lang="ru-RU"/>
          </a:p>
        </c:txPr>
        <c:crossAx val="98829824"/>
        <c:crosses val="autoZero"/>
        <c:auto val="1"/>
        <c:lblAlgn val="ctr"/>
        <c:lblOffset val="100"/>
        <c:noMultiLvlLbl val="0"/>
      </c:catAx>
      <c:valAx>
        <c:axId val="98829824"/>
        <c:scaling>
          <c:orientation val="minMax"/>
          <c:max val="6500"/>
          <c:min val="0"/>
        </c:scaling>
        <c:delete val="0"/>
        <c:axPos val="r"/>
        <c:numFmt formatCode="_(* #,##0_);_(* \(#,##0\);_(* &quot;-&quot;_);_(@_)" sourceLinked="0"/>
        <c:majorTickMark val="out"/>
        <c:minorTickMark val="none"/>
        <c:tickLblPos val="nextTo"/>
        <c:spPr>
          <a:ln w="6350">
            <a:noFill/>
          </a:ln>
        </c:spPr>
        <c:txPr>
          <a:bodyPr rot="-60000000" vert="horz"/>
          <a:lstStyle/>
          <a:p>
            <a:pPr>
              <a:defRPr>
                <a:latin typeface="+mn-lt"/>
                <a:cs typeface="Times New Roman" panose="02020603050405020304" pitchFamily="18" charset="0"/>
              </a:defRPr>
            </a:pPr>
            <a:endParaRPr lang="ru-RU"/>
          </a:p>
        </c:txPr>
        <c:crossAx val="98828288"/>
        <c:crosses val="max"/>
        <c:crossBetween val="between"/>
        <c:majorUnit val="500"/>
      </c:valAx>
      <c:spPr>
        <a:noFill/>
        <a:ln w="25400">
          <a:noFill/>
        </a:ln>
      </c:spPr>
    </c:plotArea>
    <c:legend>
      <c:legendPos val="b"/>
      <c:layout>
        <c:manualLayout>
          <c:xMode val="edge"/>
          <c:yMode val="edge"/>
          <c:x val="4.0623637215626687E-2"/>
          <c:y val="0.85819229415061404"/>
          <c:w val="0.95664659564613241"/>
          <c:h val="0.14071622488343652"/>
        </c:manualLayout>
      </c:layout>
      <c:overlay val="0"/>
      <c:txPr>
        <a:bodyPr rot="0" vert="horz"/>
        <a:lstStyle/>
        <a:p>
          <a:pPr>
            <a:defRPr sz="1000">
              <a:latin typeface="+mn-lt"/>
              <a:cs typeface="Arial" panose="020B0604020202020204" pitchFamily="34" charset="0"/>
            </a:defRPr>
          </a:pPr>
          <a:endParaRPr lang="ru-RU"/>
        </a:p>
      </c:txPr>
    </c:legend>
    <c:plotVisOnly val="1"/>
    <c:dispBlanksAs val="gap"/>
    <c:showDLblsOverMax val="0"/>
  </c:chart>
  <c:spPr>
    <a:solidFill>
      <a:schemeClr val="bg1"/>
    </a:solidFill>
    <a:ln>
      <a:noFill/>
    </a:ln>
  </c:spPr>
  <c:txPr>
    <a:bodyPr anchor="t" anchorCtr="0"/>
    <a:lstStyle/>
    <a:p>
      <a:pPr>
        <a:defRPr>
          <a:latin typeface="Arial" pitchFamily="34" charset="0"/>
          <a:cs typeface="Arial" pitchFamily="34" charset="0"/>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6644952737809394E-2"/>
          <c:y val="5.4734418474826525E-2"/>
          <c:w val="0.91311078649884136"/>
          <c:h val="0.68253793068250512"/>
        </c:manualLayout>
      </c:layout>
      <c:barChart>
        <c:barDir val="col"/>
        <c:grouping val="clustered"/>
        <c:varyColors val="0"/>
        <c:ser>
          <c:idx val="0"/>
          <c:order val="0"/>
          <c:tx>
            <c:strRef>
              <c:f>'[Диаграммы RU, EN, UZ (01.01.2021) 1.xlsx]выплата осн. долга (Д-21)'!$B$15</c:f>
              <c:strCache>
                <c:ptCount val="1"/>
                <c:pt idx="0">
                  <c:v>Government debt</c:v>
                </c:pt>
              </c:strCache>
            </c:strRef>
          </c:tx>
          <c:spPr>
            <a:solidFill>
              <a:schemeClr val="tx2"/>
            </a:solidFill>
          </c:spPr>
          <c:invertIfNegative val="0"/>
          <c:cat>
            <c:strRef>
              <c:f>'[Диаграммы RU, EN, UZ (01.01.2021) 1.xlsx]выплата осн. долга (Д-21)'!$E$12:$F$12</c:f>
              <c:strCache>
                <c:ptCount val="2"/>
                <c:pt idx="0">
                  <c:v>For 2019</c:v>
                </c:pt>
                <c:pt idx="1">
                  <c:v>For 2020</c:v>
                </c:pt>
              </c:strCache>
            </c:strRef>
          </c:cat>
          <c:val>
            <c:numRef>
              <c:f>'[Диаграммы RU, EN, UZ (01.01.2021) 1.xlsx]выплата осн. долга (Д-21)'!$E$15:$F$15</c:f>
              <c:numCache>
                <c:formatCode>_-* #\ ##0.0_р_._-;\-* #\ ##0.0_р_._-;_-* "-"??_р_._-;_-@_-</c:formatCode>
                <c:ptCount val="2"/>
                <c:pt idx="0" formatCode="0.0">
                  <c:v>454.33980360300001</c:v>
                </c:pt>
                <c:pt idx="1">
                  <c:v>651.27947364299996</c:v>
                </c:pt>
              </c:numCache>
            </c:numRef>
          </c:val>
          <c:extLst>
            <c:ext xmlns:c16="http://schemas.microsoft.com/office/drawing/2014/chart" uri="{C3380CC4-5D6E-409C-BE32-E72D297353CC}">
              <c16:uniqueId val="{00000000-CE3B-4070-95A3-93F1C6A45008}"/>
            </c:ext>
          </c:extLst>
        </c:ser>
        <c:ser>
          <c:idx val="1"/>
          <c:order val="1"/>
          <c:tx>
            <c:strRef>
              <c:f>'[Диаграммы RU, EN, UZ (01.01.2021) 1.xlsx]выплата осн. долга (Д-21)'!$B$16</c:f>
              <c:strCache>
                <c:ptCount val="1"/>
                <c:pt idx="0">
                  <c:v>Oil and gas and energy sector</c:v>
                </c:pt>
              </c:strCache>
            </c:strRef>
          </c:tx>
          <c:spPr>
            <a:solidFill>
              <a:schemeClr val="accent2"/>
            </a:solidFill>
          </c:spPr>
          <c:invertIfNegative val="0"/>
          <c:cat>
            <c:strRef>
              <c:f>'[Диаграммы RU, EN, UZ (01.01.2021) 1.xlsx]выплата осн. долга (Д-21)'!$E$12:$F$12</c:f>
              <c:strCache>
                <c:ptCount val="2"/>
                <c:pt idx="0">
                  <c:v>For 2019</c:v>
                </c:pt>
                <c:pt idx="1">
                  <c:v>For 2020</c:v>
                </c:pt>
              </c:strCache>
            </c:strRef>
          </c:cat>
          <c:val>
            <c:numRef>
              <c:f>'[Диаграммы RU, EN, UZ (01.01.2021) 1.xlsx]выплата осн. долга (Д-21)'!$E$16:$F$16</c:f>
              <c:numCache>
                <c:formatCode>_-* #\ ##0.0_р_._-;\-* #\ ##0.0_р_._-;_-* "-"??_р_._-;_-@_-</c:formatCode>
                <c:ptCount val="2"/>
                <c:pt idx="0" formatCode="0.0">
                  <c:v>929.36551532066005</c:v>
                </c:pt>
                <c:pt idx="1">
                  <c:v>704.60795211643403</c:v>
                </c:pt>
              </c:numCache>
            </c:numRef>
          </c:val>
          <c:extLst>
            <c:ext xmlns:c16="http://schemas.microsoft.com/office/drawing/2014/chart" uri="{C3380CC4-5D6E-409C-BE32-E72D297353CC}">
              <c16:uniqueId val="{00000001-CE3B-4070-95A3-93F1C6A45008}"/>
            </c:ext>
          </c:extLst>
        </c:ser>
        <c:ser>
          <c:idx val="2"/>
          <c:order val="2"/>
          <c:tx>
            <c:strRef>
              <c:f>'[Диаграммы RU, EN, UZ (01.01.2021) 1.xlsx]выплата осн. долга (Д-21)'!$B$17</c:f>
              <c:strCache>
                <c:ptCount val="1"/>
                <c:pt idx="0">
                  <c:v>Telecommunications sector</c:v>
                </c:pt>
              </c:strCache>
            </c:strRef>
          </c:tx>
          <c:spPr>
            <a:solidFill>
              <a:srgbClr val="C00000"/>
            </a:solidFill>
          </c:spPr>
          <c:invertIfNegative val="0"/>
          <c:cat>
            <c:strRef>
              <c:f>'[Диаграммы RU, EN, UZ (01.01.2021) 1.xlsx]выплата осн. долга (Д-21)'!$E$12:$F$12</c:f>
              <c:strCache>
                <c:ptCount val="2"/>
                <c:pt idx="0">
                  <c:v>For 2019</c:v>
                </c:pt>
                <c:pt idx="1">
                  <c:v>For 2020</c:v>
                </c:pt>
              </c:strCache>
            </c:strRef>
          </c:cat>
          <c:val>
            <c:numRef>
              <c:f>'[Диаграммы RU, EN, UZ (01.01.2021) 1.xlsx]выплата осн. долга (Д-21)'!$E$17:$F$17</c:f>
              <c:numCache>
                <c:formatCode>_-* #\ ##0.0_р_._-;\-* #\ ##0.0_р_._-;_-* "-"??_р_._-;_-@_-</c:formatCode>
                <c:ptCount val="2"/>
                <c:pt idx="0" formatCode="0.0">
                  <c:v>29.679277078216295</c:v>
                </c:pt>
                <c:pt idx="1">
                  <c:v>49.408049442945703</c:v>
                </c:pt>
              </c:numCache>
            </c:numRef>
          </c:val>
          <c:extLst>
            <c:ext xmlns:c16="http://schemas.microsoft.com/office/drawing/2014/chart" uri="{C3380CC4-5D6E-409C-BE32-E72D297353CC}">
              <c16:uniqueId val="{00000002-CE3B-4070-95A3-93F1C6A45008}"/>
            </c:ext>
          </c:extLst>
        </c:ser>
        <c:ser>
          <c:idx val="3"/>
          <c:order val="3"/>
          <c:tx>
            <c:strRef>
              <c:f>'[Диаграммы RU, EN, UZ (01.01.2021) 1.xlsx]выплата осн. долга (Д-21)'!$B$18</c:f>
              <c:strCache>
                <c:ptCount val="1"/>
                <c:pt idx="0">
                  <c:v>Banking sector</c:v>
                </c:pt>
              </c:strCache>
            </c:strRef>
          </c:tx>
          <c:invertIfNegative val="0"/>
          <c:cat>
            <c:strRef>
              <c:f>'[Диаграммы RU, EN, UZ (01.01.2021) 1.xlsx]выплата осн. долга (Д-21)'!$E$12:$F$12</c:f>
              <c:strCache>
                <c:ptCount val="2"/>
                <c:pt idx="0">
                  <c:v>For 2019</c:v>
                </c:pt>
                <c:pt idx="1">
                  <c:v>For 2020</c:v>
                </c:pt>
              </c:strCache>
            </c:strRef>
          </c:cat>
          <c:val>
            <c:numRef>
              <c:f>'[Диаграммы RU, EN, UZ (01.01.2021) 1.xlsx]выплата осн. долга (Д-21)'!$E$18:$F$18</c:f>
              <c:numCache>
                <c:formatCode>_-* #\ ##0.0_р_._-;\-* #\ ##0.0_р_._-;_-* "-"??_р_._-;_-@_-</c:formatCode>
                <c:ptCount val="2"/>
                <c:pt idx="0" formatCode="0.0">
                  <c:v>266.03655848004797</c:v>
                </c:pt>
                <c:pt idx="1">
                  <c:v>1146.7511341162299</c:v>
                </c:pt>
              </c:numCache>
            </c:numRef>
          </c:val>
          <c:extLst>
            <c:ext xmlns:c16="http://schemas.microsoft.com/office/drawing/2014/chart" uri="{C3380CC4-5D6E-409C-BE32-E72D297353CC}">
              <c16:uniqueId val="{00000003-CE3B-4070-95A3-93F1C6A45008}"/>
            </c:ext>
          </c:extLst>
        </c:ser>
        <c:ser>
          <c:idx val="4"/>
          <c:order val="4"/>
          <c:tx>
            <c:strRef>
              <c:f>'[Диаграммы RU, EN, UZ (01.01.2021) 1.xlsx]выплата осн. долга (Д-21)'!$B$19</c:f>
              <c:strCache>
                <c:ptCount val="1"/>
                <c:pt idx="0">
                  <c:v>Textile sector</c:v>
                </c:pt>
              </c:strCache>
            </c:strRef>
          </c:tx>
          <c:invertIfNegative val="0"/>
          <c:cat>
            <c:strRef>
              <c:f>'[Диаграммы RU, EN, UZ (01.01.2021) 1.xlsx]выплата осн. долга (Д-21)'!$E$12:$F$12</c:f>
              <c:strCache>
                <c:ptCount val="2"/>
                <c:pt idx="0">
                  <c:v>For 2019</c:v>
                </c:pt>
                <c:pt idx="1">
                  <c:v>For 2020</c:v>
                </c:pt>
              </c:strCache>
            </c:strRef>
          </c:cat>
          <c:val>
            <c:numRef>
              <c:f>'[Диаграммы RU, EN, UZ (01.01.2021) 1.xlsx]выплата осн. долга (Д-21)'!$E$19:$F$19</c:f>
              <c:numCache>
                <c:formatCode>_-* #\ ##0.0_р_._-;\-* #\ ##0.0_р_._-;_-* "-"??_р_._-;_-@_-</c:formatCode>
                <c:ptCount val="2"/>
                <c:pt idx="0" formatCode="0.0">
                  <c:v>84.377105538472904</c:v>
                </c:pt>
                <c:pt idx="1">
                  <c:v>26.516910150000001</c:v>
                </c:pt>
              </c:numCache>
            </c:numRef>
          </c:val>
          <c:extLst>
            <c:ext xmlns:c16="http://schemas.microsoft.com/office/drawing/2014/chart" uri="{C3380CC4-5D6E-409C-BE32-E72D297353CC}">
              <c16:uniqueId val="{00000004-CE3B-4070-95A3-93F1C6A45008}"/>
            </c:ext>
          </c:extLst>
        </c:ser>
        <c:ser>
          <c:idx val="5"/>
          <c:order val="5"/>
          <c:tx>
            <c:strRef>
              <c:f>'[Диаграммы RU, EN, UZ (01.01.2021) 1.xlsx]выплата осн. долга (Д-21)'!$B$20</c:f>
              <c:strCache>
                <c:ptCount val="1"/>
                <c:pt idx="0">
                  <c:v>Other sectors</c:v>
                </c:pt>
              </c:strCache>
            </c:strRef>
          </c:tx>
          <c:invertIfNegative val="0"/>
          <c:cat>
            <c:strRef>
              <c:f>'[Диаграммы RU, EN, UZ (01.01.2021) 1.xlsx]выплата осн. долга (Д-21)'!$E$12:$F$12</c:f>
              <c:strCache>
                <c:ptCount val="2"/>
                <c:pt idx="0">
                  <c:v>For 2019</c:v>
                </c:pt>
                <c:pt idx="1">
                  <c:v>For 2020</c:v>
                </c:pt>
              </c:strCache>
            </c:strRef>
          </c:cat>
          <c:val>
            <c:numRef>
              <c:f>'[Диаграммы RU, EN, UZ (01.01.2021) 1.xlsx]выплата осн. долга (Д-21)'!$E$20:$F$20</c:f>
              <c:numCache>
                <c:formatCode>_-* #\ ##0.0_р_._-;\-* #\ ##0.0_р_._-;_-* "-"??_р_._-;_-@_-</c:formatCode>
                <c:ptCount val="2"/>
                <c:pt idx="0" formatCode="0.0">
                  <c:v>211.94914972817</c:v>
                </c:pt>
                <c:pt idx="1">
                  <c:v>85.224008789539596</c:v>
                </c:pt>
              </c:numCache>
            </c:numRef>
          </c:val>
          <c:extLst>
            <c:ext xmlns:c16="http://schemas.microsoft.com/office/drawing/2014/chart" uri="{C3380CC4-5D6E-409C-BE32-E72D297353CC}">
              <c16:uniqueId val="{00000005-CE3B-4070-95A3-93F1C6A45008}"/>
            </c:ext>
          </c:extLst>
        </c:ser>
        <c:dLbls>
          <c:showLegendKey val="0"/>
          <c:showVal val="0"/>
          <c:showCatName val="0"/>
          <c:showSerName val="0"/>
          <c:showPercent val="0"/>
          <c:showBubbleSize val="0"/>
        </c:dLbls>
        <c:gapWidth val="164"/>
        <c:overlap val="-22"/>
        <c:axId val="99202176"/>
        <c:axId val="99203712"/>
      </c:barChart>
      <c:catAx>
        <c:axId val="99202176"/>
        <c:scaling>
          <c:orientation val="minMax"/>
        </c:scaling>
        <c:delete val="0"/>
        <c:axPos val="b"/>
        <c:majorGridlines/>
        <c:numFmt formatCode="General" sourceLinked="1"/>
        <c:majorTickMark val="none"/>
        <c:minorTickMark val="none"/>
        <c:tickLblPos val="nextTo"/>
        <c:txPr>
          <a:bodyPr rot="-60000000" vert="horz"/>
          <a:lstStyle/>
          <a:p>
            <a:pPr>
              <a:defRPr>
                <a:latin typeface="+mn-lt"/>
                <a:cs typeface="Times New Roman" panose="02020603050405020304" pitchFamily="18" charset="0"/>
              </a:defRPr>
            </a:pPr>
            <a:endParaRPr lang="ru-RU"/>
          </a:p>
        </c:txPr>
        <c:crossAx val="99203712"/>
        <c:crosses val="autoZero"/>
        <c:auto val="1"/>
        <c:lblAlgn val="ctr"/>
        <c:lblOffset val="100"/>
        <c:noMultiLvlLbl val="0"/>
      </c:catAx>
      <c:valAx>
        <c:axId val="99203712"/>
        <c:scaling>
          <c:orientation val="minMax"/>
          <c:max val="1200"/>
          <c:min val="0"/>
        </c:scaling>
        <c:delete val="0"/>
        <c:axPos val="r"/>
        <c:numFmt formatCode="0" sourceLinked="0"/>
        <c:majorTickMark val="none"/>
        <c:minorTickMark val="none"/>
        <c:tickLblPos val="nextTo"/>
        <c:txPr>
          <a:bodyPr rot="-60000000" vert="horz"/>
          <a:lstStyle/>
          <a:p>
            <a:pPr>
              <a:defRPr>
                <a:latin typeface="+mn-lt"/>
                <a:cs typeface="Times New Roman" panose="02020603050405020304" pitchFamily="18" charset="0"/>
              </a:defRPr>
            </a:pPr>
            <a:endParaRPr lang="ru-RU"/>
          </a:p>
        </c:txPr>
        <c:crossAx val="99202176"/>
        <c:crosses val="max"/>
        <c:crossBetween val="between"/>
        <c:majorUnit val="100"/>
      </c:valAx>
    </c:plotArea>
    <c:legend>
      <c:legendPos val="b"/>
      <c:layout>
        <c:manualLayout>
          <c:xMode val="edge"/>
          <c:yMode val="edge"/>
          <c:x val="2.2755836014761173E-2"/>
          <c:y val="0.82706862371391343"/>
          <c:w val="0.92916443696965045"/>
          <c:h val="0.17293137628608657"/>
        </c:manualLayout>
      </c:layout>
      <c:overlay val="0"/>
      <c:txPr>
        <a:bodyPr rot="0" vert="horz"/>
        <a:lstStyle/>
        <a:p>
          <a:pPr>
            <a:defRPr sz="1000">
              <a:latin typeface="+mn-lt"/>
              <a:cs typeface="Times New Roman" panose="02020603050405020304" pitchFamily="18" charset="0"/>
            </a:defRPr>
          </a:pPr>
          <a:endParaRPr lang="ru-RU"/>
        </a:p>
      </c:txPr>
    </c:legend>
    <c:plotVisOnly val="1"/>
    <c:dispBlanksAs val="gap"/>
    <c:showDLblsOverMax val="0"/>
  </c:chart>
  <c:spPr>
    <a:ln>
      <a:noFill/>
    </a:ln>
  </c:spPr>
  <c:txPr>
    <a:bodyPr/>
    <a:lstStyle/>
    <a:p>
      <a:pPr>
        <a:defRPr>
          <a:latin typeface="Arial" pitchFamily="34" charset="0"/>
          <a:cs typeface="Arial" pitchFamily="34" charset="0"/>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498154808767618E-2"/>
          <c:y val="6.2942415013822348E-2"/>
          <c:w val="0.89802269438210325"/>
          <c:h val="0.68786310742283918"/>
        </c:manualLayout>
      </c:layout>
      <c:barChart>
        <c:barDir val="col"/>
        <c:grouping val="clustered"/>
        <c:varyColors val="0"/>
        <c:ser>
          <c:idx val="0"/>
          <c:order val="0"/>
          <c:tx>
            <c:strRef>
              <c:f>'[Диаграммы RU, EN, UZ (01.01.2021) 1.xlsx]выплата проц (Д-22)'!$B$15</c:f>
              <c:strCache>
                <c:ptCount val="1"/>
                <c:pt idx="0">
                  <c:v>Government debt</c:v>
                </c:pt>
              </c:strCache>
            </c:strRef>
          </c:tx>
          <c:spPr>
            <a:solidFill>
              <a:schemeClr val="tx2"/>
            </a:solidFill>
          </c:spPr>
          <c:invertIfNegative val="0"/>
          <c:cat>
            <c:strRef>
              <c:f>'[Диаграммы RU, EN, UZ (01.01.2021) 1.xlsx]выплата проц (Д-22)'!$E$12:$F$12</c:f>
              <c:strCache>
                <c:ptCount val="2"/>
                <c:pt idx="0">
                  <c:v>For 2019</c:v>
                </c:pt>
                <c:pt idx="1">
                  <c:v>For 2020</c:v>
                </c:pt>
              </c:strCache>
            </c:strRef>
          </c:cat>
          <c:val>
            <c:numRef>
              <c:f>'[Диаграммы RU, EN, UZ (01.01.2021) 1.xlsx]выплата проц (Д-22)'!$E$15:$F$15</c:f>
              <c:numCache>
                <c:formatCode>_-* #\ ##0.00_р_._-;\-* #\ ##0.00_р_._-;_-* "-"??_р_._-;_-@_-</c:formatCode>
                <c:ptCount val="2"/>
                <c:pt idx="0" formatCode="_-* #\ ##0.0_р_._-;\-* #\ ##0.0_р_._-;_-* &quot;-&quot;??_р_._-;_-@_-">
                  <c:v>280.73428744</c:v>
                </c:pt>
                <c:pt idx="1">
                  <c:v>380.16513592720997</c:v>
                </c:pt>
              </c:numCache>
            </c:numRef>
          </c:val>
          <c:extLst>
            <c:ext xmlns:c16="http://schemas.microsoft.com/office/drawing/2014/chart" uri="{C3380CC4-5D6E-409C-BE32-E72D297353CC}">
              <c16:uniqueId val="{00000000-3534-43FC-A658-E893176009AD}"/>
            </c:ext>
          </c:extLst>
        </c:ser>
        <c:ser>
          <c:idx val="1"/>
          <c:order val="1"/>
          <c:tx>
            <c:strRef>
              <c:f>'[Диаграммы RU, EN, UZ (01.01.2021) 1.xlsx]выплата проц (Д-22)'!$B$16</c:f>
              <c:strCache>
                <c:ptCount val="1"/>
                <c:pt idx="0">
                  <c:v>Oil and gas and energy sector</c:v>
                </c:pt>
              </c:strCache>
            </c:strRef>
          </c:tx>
          <c:spPr>
            <a:solidFill>
              <a:schemeClr val="accent2"/>
            </a:solidFill>
          </c:spPr>
          <c:invertIfNegative val="0"/>
          <c:cat>
            <c:strRef>
              <c:f>'[Диаграммы RU, EN, UZ (01.01.2021) 1.xlsx]выплата проц (Д-22)'!$E$12:$F$12</c:f>
              <c:strCache>
                <c:ptCount val="2"/>
                <c:pt idx="0">
                  <c:v>For 2019</c:v>
                </c:pt>
                <c:pt idx="1">
                  <c:v>For 2020</c:v>
                </c:pt>
              </c:strCache>
            </c:strRef>
          </c:cat>
          <c:val>
            <c:numRef>
              <c:f>'[Диаграммы RU, EN, UZ (01.01.2021) 1.xlsx]выплата проц (Д-22)'!$E$16:$F$16</c:f>
              <c:numCache>
                <c:formatCode>_-* #\ ##0.00_р_._-;\-* #\ ##0.00_р_._-;_-* "-"??_р_._-;_-@_-</c:formatCode>
                <c:ptCount val="2"/>
                <c:pt idx="0" formatCode="_-* #\ ##0.0_р_._-;\-* #\ ##0.0_р_._-;_-* &quot;-&quot;??_р_._-;_-@_-">
                  <c:v>320.59585804813196</c:v>
                </c:pt>
                <c:pt idx="1">
                  <c:v>186.650449446312</c:v>
                </c:pt>
              </c:numCache>
            </c:numRef>
          </c:val>
          <c:extLst>
            <c:ext xmlns:c16="http://schemas.microsoft.com/office/drawing/2014/chart" uri="{C3380CC4-5D6E-409C-BE32-E72D297353CC}">
              <c16:uniqueId val="{00000001-3534-43FC-A658-E893176009AD}"/>
            </c:ext>
          </c:extLst>
        </c:ser>
        <c:ser>
          <c:idx val="2"/>
          <c:order val="2"/>
          <c:tx>
            <c:strRef>
              <c:f>'[Диаграммы RU, EN, UZ (01.01.2021) 1.xlsx]выплата проц (Д-22)'!$B$17</c:f>
              <c:strCache>
                <c:ptCount val="1"/>
                <c:pt idx="0">
                  <c:v>Telecommunications sector</c:v>
                </c:pt>
              </c:strCache>
            </c:strRef>
          </c:tx>
          <c:spPr>
            <a:solidFill>
              <a:srgbClr val="C00000"/>
            </a:solidFill>
          </c:spPr>
          <c:invertIfNegative val="0"/>
          <c:cat>
            <c:strRef>
              <c:f>'[Диаграммы RU, EN, UZ (01.01.2021) 1.xlsx]выплата проц (Д-22)'!$E$12:$F$12</c:f>
              <c:strCache>
                <c:ptCount val="2"/>
                <c:pt idx="0">
                  <c:v>For 2019</c:v>
                </c:pt>
                <c:pt idx="1">
                  <c:v>For 2020</c:v>
                </c:pt>
              </c:strCache>
            </c:strRef>
          </c:cat>
          <c:val>
            <c:numRef>
              <c:f>'[Диаграммы RU, EN, UZ (01.01.2021) 1.xlsx]выплата проц (Д-22)'!$E$17:$F$17</c:f>
              <c:numCache>
                <c:formatCode>_-* #\ ##0.00_р_._-;\-* #\ ##0.00_р_._-;_-* "-"??_р_._-;_-@_-</c:formatCode>
                <c:ptCount val="2"/>
                <c:pt idx="0" formatCode="_-* #\ ##0.0_р_._-;\-* #\ ##0.0_р_._-;_-* &quot;-&quot;??_р_._-;_-@_-">
                  <c:v>3.9766511258094606</c:v>
                </c:pt>
                <c:pt idx="1">
                  <c:v>5.8441322992437303</c:v>
                </c:pt>
              </c:numCache>
            </c:numRef>
          </c:val>
          <c:extLst>
            <c:ext xmlns:c16="http://schemas.microsoft.com/office/drawing/2014/chart" uri="{C3380CC4-5D6E-409C-BE32-E72D297353CC}">
              <c16:uniqueId val="{00000002-3534-43FC-A658-E893176009AD}"/>
            </c:ext>
          </c:extLst>
        </c:ser>
        <c:ser>
          <c:idx val="3"/>
          <c:order val="3"/>
          <c:tx>
            <c:strRef>
              <c:f>'[Диаграммы RU, EN, UZ (01.01.2021) 1.xlsx]выплата проц (Д-22)'!$B$18</c:f>
              <c:strCache>
                <c:ptCount val="1"/>
                <c:pt idx="0">
                  <c:v>Banking sector</c:v>
                </c:pt>
              </c:strCache>
            </c:strRef>
          </c:tx>
          <c:invertIfNegative val="0"/>
          <c:cat>
            <c:strRef>
              <c:f>'[Диаграммы RU, EN, UZ (01.01.2021) 1.xlsx]выплата проц (Д-22)'!$E$12:$F$12</c:f>
              <c:strCache>
                <c:ptCount val="2"/>
                <c:pt idx="0">
                  <c:v>For 2019</c:v>
                </c:pt>
                <c:pt idx="1">
                  <c:v>For 2020</c:v>
                </c:pt>
              </c:strCache>
            </c:strRef>
          </c:cat>
          <c:val>
            <c:numRef>
              <c:f>'[Диаграммы RU, EN, UZ (01.01.2021) 1.xlsx]выплата проц (Д-22)'!$E$18:$F$18</c:f>
              <c:numCache>
                <c:formatCode>_-* #\ ##0.00_р_._-;\-* #\ ##0.00_р_._-;_-* "-"??_р_._-;_-@_-</c:formatCode>
                <c:ptCount val="2"/>
                <c:pt idx="0" formatCode="_-* #\ ##0.0_р_._-;\-* #\ ##0.0_р_._-;_-* &quot;-&quot;??_р_._-;_-@_-">
                  <c:v>68.225749561436302</c:v>
                </c:pt>
                <c:pt idx="1">
                  <c:v>170.321346973809</c:v>
                </c:pt>
              </c:numCache>
            </c:numRef>
          </c:val>
          <c:extLst>
            <c:ext xmlns:c16="http://schemas.microsoft.com/office/drawing/2014/chart" uri="{C3380CC4-5D6E-409C-BE32-E72D297353CC}">
              <c16:uniqueId val="{00000003-3534-43FC-A658-E893176009AD}"/>
            </c:ext>
          </c:extLst>
        </c:ser>
        <c:ser>
          <c:idx val="4"/>
          <c:order val="4"/>
          <c:tx>
            <c:strRef>
              <c:f>'[Диаграммы RU, EN, UZ (01.01.2021) 1.xlsx]выплата проц (Д-22)'!$B$19</c:f>
              <c:strCache>
                <c:ptCount val="1"/>
                <c:pt idx="0">
                  <c:v>Textile sector</c:v>
                </c:pt>
              </c:strCache>
            </c:strRef>
          </c:tx>
          <c:invertIfNegative val="0"/>
          <c:cat>
            <c:strRef>
              <c:f>'[Диаграммы RU, EN, UZ (01.01.2021) 1.xlsx]выплата проц (Д-22)'!$E$12:$F$12</c:f>
              <c:strCache>
                <c:ptCount val="2"/>
                <c:pt idx="0">
                  <c:v>For 2019</c:v>
                </c:pt>
                <c:pt idx="1">
                  <c:v>For 2020</c:v>
                </c:pt>
              </c:strCache>
            </c:strRef>
          </c:cat>
          <c:val>
            <c:numRef>
              <c:f>'[Диаграммы RU, EN, UZ (01.01.2021) 1.xlsx]выплата проц (Д-22)'!$E$19:$F$19</c:f>
              <c:numCache>
                <c:formatCode>_-* #\ ##0.00_р_._-;\-* #\ ##0.00_р_._-;_-* "-"??_р_._-;_-@_-</c:formatCode>
                <c:ptCount val="2"/>
                <c:pt idx="0" formatCode="_-* #\ ##0.0_р_._-;\-* #\ ##0.0_р_._-;_-* &quot;-&quot;??_р_._-;_-@_-">
                  <c:v>7.3302590600000013</c:v>
                </c:pt>
                <c:pt idx="1">
                  <c:v>2.1940604430000001</c:v>
                </c:pt>
              </c:numCache>
            </c:numRef>
          </c:val>
          <c:extLst>
            <c:ext xmlns:c16="http://schemas.microsoft.com/office/drawing/2014/chart" uri="{C3380CC4-5D6E-409C-BE32-E72D297353CC}">
              <c16:uniqueId val="{00000004-3534-43FC-A658-E893176009AD}"/>
            </c:ext>
          </c:extLst>
        </c:ser>
        <c:ser>
          <c:idx val="5"/>
          <c:order val="5"/>
          <c:tx>
            <c:strRef>
              <c:f>'[Диаграммы RU, EN, UZ (01.01.2021) 1.xlsx]выплата проц (Д-22)'!$B$20</c:f>
              <c:strCache>
                <c:ptCount val="1"/>
                <c:pt idx="0">
                  <c:v>Other sectors</c:v>
                </c:pt>
              </c:strCache>
            </c:strRef>
          </c:tx>
          <c:invertIfNegative val="0"/>
          <c:cat>
            <c:strRef>
              <c:f>'[Диаграммы RU, EN, UZ (01.01.2021) 1.xlsx]выплата проц (Д-22)'!$E$12:$F$12</c:f>
              <c:strCache>
                <c:ptCount val="2"/>
                <c:pt idx="0">
                  <c:v>For 2019</c:v>
                </c:pt>
                <c:pt idx="1">
                  <c:v>For 2020</c:v>
                </c:pt>
              </c:strCache>
            </c:strRef>
          </c:cat>
          <c:val>
            <c:numRef>
              <c:f>'[Диаграммы RU, EN, UZ (01.01.2021) 1.xlsx]выплата проц (Д-22)'!$E$20:$F$20</c:f>
              <c:numCache>
                <c:formatCode>_-* #\ ##0.00_р_._-;\-* #\ ##0.00_р_._-;_-* "-"??_р_._-;_-@_-</c:formatCode>
                <c:ptCount val="2"/>
                <c:pt idx="0" formatCode="_-* #\ ##0.0_р_._-;\-* #\ ##0.0_р_._-;_-* &quot;-&quot;??_р_._-;_-@_-">
                  <c:v>11.6612953105338</c:v>
                </c:pt>
                <c:pt idx="1">
                  <c:v>5.7625995026970998</c:v>
                </c:pt>
              </c:numCache>
            </c:numRef>
          </c:val>
          <c:extLst>
            <c:ext xmlns:c16="http://schemas.microsoft.com/office/drawing/2014/chart" uri="{C3380CC4-5D6E-409C-BE32-E72D297353CC}">
              <c16:uniqueId val="{00000005-3534-43FC-A658-E893176009AD}"/>
            </c:ext>
          </c:extLst>
        </c:ser>
        <c:dLbls>
          <c:showLegendKey val="0"/>
          <c:showVal val="0"/>
          <c:showCatName val="0"/>
          <c:showSerName val="0"/>
          <c:showPercent val="0"/>
          <c:showBubbleSize val="0"/>
        </c:dLbls>
        <c:gapWidth val="164"/>
        <c:overlap val="-22"/>
        <c:axId val="101570816"/>
        <c:axId val="101576704"/>
      </c:barChart>
      <c:catAx>
        <c:axId val="101570816"/>
        <c:scaling>
          <c:orientation val="minMax"/>
        </c:scaling>
        <c:delete val="0"/>
        <c:axPos val="b"/>
        <c:numFmt formatCode="General" sourceLinked="1"/>
        <c:majorTickMark val="none"/>
        <c:minorTickMark val="none"/>
        <c:tickLblPos val="nextTo"/>
        <c:txPr>
          <a:bodyPr rot="-60000000" vert="horz"/>
          <a:lstStyle/>
          <a:p>
            <a:pPr>
              <a:defRPr>
                <a:latin typeface="+mn-lt"/>
                <a:cs typeface="Times New Roman" panose="02020603050405020304" pitchFamily="18" charset="0"/>
              </a:defRPr>
            </a:pPr>
            <a:endParaRPr lang="ru-RU"/>
          </a:p>
        </c:txPr>
        <c:crossAx val="101576704"/>
        <c:crosses val="autoZero"/>
        <c:auto val="1"/>
        <c:lblAlgn val="ctr"/>
        <c:lblOffset val="100"/>
        <c:noMultiLvlLbl val="0"/>
      </c:catAx>
      <c:valAx>
        <c:axId val="101576704"/>
        <c:scaling>
          <c:orientation val="minMax"/>
          <c:max val="400"/>
          <c:min val="0"/>
        </c:scaling>
        <c:delete val="0"/>
        <c:axPos val="r"/>
        <c:numFmt formatCode="#,##0" sourceLinked="0"/>
        <c:majorTickMark val="none"/>
        <c:minorTickMark val="none"/>
        <c:tickLblPos val="nextTo"/>
        <c:spPr>
          <a:ln/>
        </c:spPr>
        <c:txPr>
          <a:bodyPr rot="-60000000" vert="horz"/>
          <a:lstStyle/>
          <a:p>
            <a:pPr>
              <a:defRPr>
                <a:latin typeface="+mn-lt"/>
              </a:defRPr>
            </a:pPr>
            <a:endParaRPr lang="ru-RU"/>
          </a:p>
        </c:txPr>
        <c:crossAx val="101570816"/>
        <c:crosses val="max"/>
        <c:crossBetween val="between"/>
        <c:majorUnit val="40"/>
      </c:valAx>
    </c:plotArea>
    <c:legend>
      <c:legendPos val="b"/>
      <c:layout>
        <c:manualLayout>
          <c:xMode val="edge"/>
          <c:yMode val="edge"/>
          <c:x val="2.2709373368739329E-2"/>
          <c:y val="0.83040005247042492"/>
          <c:w val="0.96345285236577161"/>
          <c:h val="0.15458097878054591"/>
        </c:manualLayout>
      </c:layout>
      <c:overlay val="0"/>
      <c:txPr>
        <a:bodyPr rot="0" vert="horz"/>
        <a:lstStyle/>
        <a:p>
          <a:pPr>
            <a:defRPr sz="1000">
              <a:latin typeface="+mn-lt"/>
              <a:cs typeface="Times New Roman" panose="02020603050405020304" pitchFamily="18" charset="0"/>
            </a:defRPr>
          </a:pPr>
          <a:endParaRPr lang="ru-RU"/>
        </a:p>
      </c:txPr>
    </c:legend>
    <c:plotVisOnly val="1"/>
    <c:dispBlanksAs val="gap"/>
    <c:showDLblsOverMax val="0"/>
  </c:chart>
  <c:spPr>
    <a:ln>
      <a:noFill/>
    </a:ln>
  </c:spPr>
  <c:txPr>
    <a:bodyPr/>
    <a:lstStyle/>
    <a:p>
      <a:pPr>
        <a:defRPr>
          <a:latin typeface="Arial" pitchFamily="34" charset="0"/>
          <a:cs typeface="Arial" pitchFamily="34" charset="0"/>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91788930336379"/>
          <c:y val="3.6036036036036036E-2"/>
          <c:w val="0.81708516179642598"/>
          <c:h val="0.69140461864871328"/>
        </c:manualLayout>
      </c:layout>
      <c:barChart>
        <c:barDir val="col"/>
        <c:grouping val="stacked"/>
        <c:varyColors val="0"/>
        <c:ser>
          <c:idx val="0"/>
          <c:order val="0"/>
          <c:tx>
            <c:strRef>
              <c:f>Лист1!$C$60</c:f>
              <c:strCache>
                <c:ptCount val="1"/>
                <c:pt idx="0">
                  <c:v>Other liabilities (Currency and deposits, SDR and oth.)</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Лист1!$D$59:$F$59</c:f>
              <c:numCache>
                <c:formatCode>m/d/yyyy</c:formatCode>
                <c:ptCount val="3"/>
                <c:pt idx="0">
                  <c:v>43466</c:v>
                </c:pt>
                <c:pt idx="1">
                  <c:v>43831</c:v>
                </c:pt>
                <c:pt idx="2">
                  <c:v>44197</c:v>
                </c:pt>
              </c:numCache>
            </c:numRef>
          </c:cat>
          <c:val>
            <c:numRef>
              <c:f>Лист1!$D$60:$F$60</c:f>
              <c:numCache>
                <c:formatCode>_-* #,##0\ _₽_-;\-* #,##0\ _₽_-;_-* "-"??\ _₽_-;_-@_-</c:formatCode>
                <c:ptCount val="3"/>
                <c:pt idx="0">
                  <c:v>2313.2130348409005</c:v>
                </c:pt>
                <c:pt idx="1">
                  <c:v>2583.2448452588906</c:v>
                </c:pt>
                <c:pt idx="2">
                  <c:v>2375.5741379696701</c:v>
                </c:pt>
              </c:numCache>
            </c:numRef>
          </c:val>
          <c:extLst>
            <c:ext xmlns:c16="http://schemas.microsoft.com/office/drawing/2014/chart" uri="{C3380CC4-5D6E-409C-BE32-E72D297353CC}">
              <c16:uniqueId val="{00000000-593D-4F13-84C9-67D06DBFC2DD}"/>
            </c:ext>
          </c:extLst>
        </c:ser>
        <c:ser>
          <c:idx val="1"/>
          <c:order val="1"/>
          <c:tx>
            <c:strRef>
              <c:f>Лист1!$C$61</c:f>
              <c:strCache>
                <c:ptCount val="1"/>
                <c:pt idx="0">
                  <c:v>Торговые кредиты и авансы</c:v>
                </c:pt>
              </c:strCache>
              <c:extLst xmlns:c15="http://schemas.microsoft.com/office/drawing/2012/chart"/>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Лист1!$D$59:$F$59</c:f>
              <c:numCache>
                <c:formatCode>m/d/yyyy</c:formatCode>
                <c:ptCount val="3"/>
                <c:pt idx="0">
                  <c:v>43466</c:v>
                </c:pt>
                <c:pt idx="1">
                  <c:v>43831</c:v>
                </c:pt>
                <c:pt idx="2">
                  <c:v>44197</c:v>
                </c:pt>
              </c:numCache>
              <c:extLst xmlns:c15="http://schemas.microsoft.com/office/drawing/2012/chart"/>
            </c:numRef>
          </c:cat>
          <c:val>
            <c:numRef>
              <c:f>Лист1!$D$61:$F$61</c:f>
              <c:extLst xmlns:c15="http://schemas.microsoft.com/office/drawing/2012/chart"/>
            </c:numRef>
          </c:val>
          <c:extLst xmlns:c15="http://schemas.microsoft.com/office/drawing/2012/chart">
            <c:ext xmlns:c16="http://schemas.microsoft.com/office/drawing/2014/chart" uri="{C3380CC4-5D6E-409C-BE32-E72D297353CC}">
              <c16:uniqueId val="{00000001-593D-4F13-84C9-67D06DBFC2DD}"/>
            </c:ext>
          </c:extLst>
        </c:ser>
        <c:ser>
          <c:idx val="2"/>
          <c:order val="2"/>
          <c:tx>
            <c:strRef>
              <c:f>Лист1!$C$62</c:f>
              <c:strCache>
                <c:ptCount val="1"/>
                <c:pt idx="0">
                  <c:v>Debt securities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Лист1!$D$59:$F$59</c:f>
              <c:numCache>
                <c:formatCode>m/d/yyyy</c:formatCode>
                <c:ptCount val="3"/>
                <c:pt idx="0">
                  <c:v>43466</c:v>
                </c:pt>
                <c:pt idx="1">
                  <c:v>43831</c:v>
                </c:pt>
                <c:pt idx="2">
                  <c:v>44197</c:v>
                </c:pt>
              </c:numCache>
            </c:numRef>
          </c:cat>
          <c:val>
            <c:numRef>
              <c:f>Лист1!$D$62:$F$62</c:f>
              <c:numCache>
                <c:formatCode>_-* #,##0\ _₽_-;\-* #,##0\ _₽_-;_-* "-"??\ _₽_-;_-@_-</c:formatCode>
                <c:ptCount val="3"/>
                <c:pt idx="0">
                  <c:v>0</c:v>
                </c:pt>
                <c:pt idx="1">
                  <c:v>1414.3578333300002</c:v>
                </c:pt>
                <c:pt idx="2">
                  <c:v>2866.8843144064467</c:v>
                </c:pt>
              </c:numCache>
            </c:numRef>
          </c:val>
          <c:extLst>
            <c:ext xmlns:c16="http://schemas.microsoft.com/office/drawing/2014/chart" uri="{C3380CC4-5D6E-409C-BE32-E72D297353CC}">
              <c16:uniqueId val="{00000002-593D-4F13-84C9-67D06DBFC2DD}"/>
            </c:ext>
          </c:extLst>
        </c:ser>
        <c:ser>
          <c:idx val="3"/>
          <c:order val="3"/>
          <c:tx>
            <c:strRef>
              <c:f>Лист1!$C$63</c:f>
              <c:strCache>
                <c:ptCount val="1"/>
                <c:pt idx="0">
                  <c:v>Loans</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Лист1!$D$59:$F$59</c:f>
              <c:numCache>
                <c:formatCode>m/d/yyyy</c:formatCode>
                <c:ptCount val="3"/>
                <c:pt idx="0">
                  <c:v>43466</c:v>
                </c:pt>
                <c:pt idx="1">
                  <c:v>43831</c:v>
                </c:pt>
                <c:pt idx="2">
                  <c:v>44197</c:v>
                </c:pt>
              </c:numCache>
            </c:numRef>
          </c:cat>
          <c:val>
            <c:numRef>
              <c:f>Лист1!$D$63:$F$63</c:f>
              <c:numCache>
                <c:formatCode>_-* #,##0\ _₽_-;\-* #,##0\ _₽_-;_-* "-"??\ _₽_-;_-@_-</c:formatCode>
                <c:ptCount val="3"/>
                <c:pt idx="0">
                  <c:v>16436.387501344878</c:v>
                </c:pt>
                <c:pt idx="1">
                  <c:v>22333.37781957948</c:v>
                </c:pt>
                <c:pt idx="2">
                  <c:v>30974.947716418246</c:v>
                </c:pt>
              </c:numCache>
            </c:numRef>
          </c:val>
          <c:extLst>
            <c:ext xmlns:c16="http://schemas.microsoft.com/office/drawing/2014/chart" uri="{C3380CC4-5D6E-409C-BE32-E72D297353CC}">
              <c16:uniqueId val="{00000003-593D-4F13-84C9-67D06DBFC2DD}"/>
            </c:ext>
          </c:extLst>
        </c:ser>
        <c:dLbls>
          <c:showLegendKey val="0"/>
          <c:showVal val="0"/>
          <c:showCatName val="0"/>
          <c:showSerName val="0"/>
          <c:showPercent val="0"/>
          <c:showBubbleSize val="0"/>
        </c:dLbls>
        <c:gapWidth val="150"/>
        <c:overlap val="100"/>
        <c:axId val="421967919"/>
        <c:axId val="421970415"/>
        <c:extLst/>
      </c:barChart>
      <c:scatterChart>
        <c:scatterStyle val="smoothMarker"/>
        <c:varyColors val="0"/>
        <c:ser>
          <c:idx val="4"/>
          <c:order val="4"/>
          <c:tx>
            <c:strRef>
              <c:f>Лист1!$C$64</c:f>
              <c:strCache>
                <c:ptCount val="1"/>
                <c:pt idx="0">
                  <c:v>External debt to GDP</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Лист1!$D$59:$F$59</c:f>
              <c:numCache>
                <c:formatCode>m/d/yyyy</c:formatCode>
                <c:ptCount val="3"/>
                <c:pt idx="0">
                  <c:v>43466</c:v>
                </c:pt>
                <c:pt idx="1">
                  <c:v>43831</c:v>
                </c:pt>
                <c:pt idx="2">
                  <c:v>44197</c:v>
                </c:pt>
              </c:numCache>
            </c:numRef>
          </c:xVal>
          <c:yVal>
            <c:numRef>
              <c:f>Лист1!$D$64:$F$64</c:f>
              <c:numCache>
                <c:formatCode>0%</c:formatCode>
                <c:ptCount val="3"/>
                <c:pt idx="0">
                  <c:v>0.37204246607539732</c:v>
                </c:pt>
                <c:pt idx="1">
                  <c:v>0.4561329814579041</c:v>
                </c:pt>
                <c:pt idx="2">
                  <c:v>0.62770100035173115</c:v>
                </c:pt>
              </c:numCache>
            </c:numRef>
          </c:yVal>
          <c:smooth val="1"/>
          <c:extLst>
            <c:ext xmlns:c16="http://schemas.microsoft.com/office/drawing/2014/chart" uri="{C3380CC4-5D6E-409C-BE32-E72D297353CC}">
              <c16:uniqueId val="{00000004-593D-4F13-84C9-67D06DBFC2DD}"/>
            </c:ext>
          </c:extLst>
        </c:ser>
        <c:dLbls>
          <c:showLegendKey val="0"/>
          <c:showVal val="0"/>
          <c:showCatName val="0"/>
          <c:showSerName val="0"/>
          <c:showPercent val="0"/>
          <c:showBubbleSize val="0"/>
        </c:dLbls>
        <c:axId val="150553039"/>
        <c:axId val="150561359"/>
      </c:scatterChart>
      <c:dateAx>
        <c:axId val="421967919"/>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421970415"/>
        <c:crosses val="autoZero"/>
        <c:auto val="1"/>
        <c:lblOffset val="100"/>
        <c:baseTimeUnit val="years"/>
      </c:dateAx>
      <c:valAx>
        <c:axId val="421970415"/>
        <c:scaling>
          <c:orientation val="minMax"/>
          <c:max val="400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421967919"/>
        <c:crosses val="autoZero"/>
        <c:crossBetween val="between"/>
      </c:valAx>
      <c:valAx>
        <c:axId val="150561359"/>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50553039"/>
        <c:crosses val="max"/>
        <c:crossBetween val="midCat"/>
      </c:valAx>
      <c:valAx>
        <c:axId val="150553039"/>
        <c:scaling>
          <c:orientation val="minMax"/>
        </c:scaling>
        <c:delete val="1"/>
        <c:axPos val="b"/>
        <c:numFmt formatCode="m/d/yyyy" sourceLinked="1"/>
        <c:majorTickMark val="out"/>
        <c:minorTickMark val="none"/>
        <c:tickLblPos val="nextTo"/>
        <c:crossAx val="150561359"/>
        <c:crosses val="autoZero"/>
        <c:crossBetween val="midCat"/>
      </c:valAx>
      <c:spPr>
        <a:noFill/>
        <a:ln>
          <a:noFill/>
        </a:ln>
        <a:effectLst/>
      </c:spPr>
    </c:plotArea>
    <c:legend>
      <c:legendPos val="b"/>
      <c:layout>
        <c:manualLayout>
          <c:xMode val="edge"/>
          <c:yMode val="edge"/>
          <c:x val="3.4211959409864148E-3"/>
          <c:y val="0.8195894677784441"/>
          <c:w val="0.75183916450793853"/>
          <c:h val="0.1526328619242005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2786529671380754E-2"/>
          <c:y val="8.2305105936923112E-2"/>
          <c:w val="0.88943568033138387"/>
          <c:h val="0.76540240028137019"/>
        </c:manualLayout>
      </c:layout>
      <c:bar3DChart>
        <c:barDir val="col"/>
        <c:grouping val="stacked"/>
        <c:varyColors val="0"/>
        <c:ser>
          <c:idx val="0"/>
          <c:order val="0"/>
          <c:tx>
            <c:strRef>
              <c:f>'[0 Диаграммалар 2016-2020 9 ой.xlsx]Экс. по компонент. 2д'!$D$41</c:f>
              <c:strCache>
                <c:ptCount val="1"/>
                <c:pt idx="0">
                  <c:v>Export FOB</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2.3698840361625643E-3"/>
                  <c:y val="-0.31800936327324292"/>
                </c:manualLayout>
              </c:layout>
              <c:tx>
                <c:rich>
                  <a:bodyPr/>
                  <a:lstStyle/>
                  <a:p>
                    <a:r>
                      <a:rPr lang="en-US"/>
                      <a:t>2 957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56-44D7-B703-92E2C13822AC}"/>
                </c:ext>
              </c:extLst>
            </c:dLbl>
            <c:dLbl>
              <c:idx val="1"/>
              <c:layout>
                <c:manualLayout>
                  <c:x val="1.1849420180812843E-2"/>
                  <c:y val="-0.24124848248314981"/>
                </c:manualLayout>
              </c:layout>
              <c:tx>
                <c:rich>
                  <a:bodyPr/>
                  <a:lstStyle/>
                  <a:p>
                    <a:r>
                      <a:rPr lang="en-US"/>
                      <a:t>2 351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56-44D7-B703-92E2C13822AC}"/>
                </c:ext>
              </c:extLst>
            </c:dLbl>
            <c:dLbl>
              <c:idx val="2"/>
              <c:layout>
                <c:manualLayout>
                  <c:x val="4.7397680723250853E-3"/>
                  <c:y val="-0.17910872184355062"/>
                </c:manualLayout>
              </c:layout>
              <c:tx>
                <c:rich>
                  <a:bodyPr/>
                  <a:lstStyle/>
                  <a:p>
                    <a:r>
                      <a:rPr lang="en-US"/>
                      <a:t>1 977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56-44D7-B703-92E2C13822AC}"/>
                </c:ext>
              </c:extLst>
            </c:dLbl>
            <c:dLbl>
              <c:idx val="3"/>
              <c:layout>
                <c:manualLayout>
                  <c:x val="0"/>
                  <c:y val="-0.3764938438752185"/>
                </c:manualLayout>
              </c:layout>
              <c:tx>
                <c:rich>
                  <a:bodyPr/>
                  <a:lstStyle/>
                  <a:p>
                    <a:r>
                      <a:rPr lang="en-US"/>
                      <a:t>4 101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56-44D7-B703-92E2C13822AC}"/>
                </c:ext>
              </c:extLst>
            </c:dLbl>
            <c:dLbl>
              <c:idx val="4"/>
              <c:layout>
                <c:manualLayout>
                  <c:x val="2.3698840361624776E-3"/>
                  <c:y val="-0.30704352316037237"/>
                </c:manualLayout>
              </c:layout>
              <c:tx>
                <c:rich>
                  <a:bodyPr/>
                  <a:lstStyle/>
                  <a:p>
                    <a:r>
                      <a:rPr lang="en-US"/>
                      <a:t>3 045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856-44D7-B703-92E2C13822AC}"/>
                </c:ext>
              </c:extLst>
            </c:dLbl>
            <c:dLbl>
              <c:idx val="5"/>
              <c:layout>
                <c:manualLayout>
                  <c:x val="4.7397680723251286E-3"/>
                  <c:y val="-0.31069880319799587"/>
                </c:manualLayout>
              </c:layout>
              <c:tx>
                <c:rich>
                  <a:bodyPr/>
                  <a:lstStyle/>
                  <a:p>
                    <a:r>
                      <a:rPr lang="en-US"/>
                      <a:t>3 414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56-44D7-B703-92E2C13822AC}"/>
                </c:ext>
              </c:extLst>
            </c:dLbl>
            <c:dLbl>
              <c:idx val="6"/>
              <c:layout>
                <c:manualLayout>
                  <c:x val="7.1096521084876929E-3"/>
                  <c:y val="-0.41304664425145332"/>
                </c:manualLayout>
              </c:layout>
              <c:tx>
                <c:rich>
                  <a:bodyPr/>
                  <a:lstStyle/>
                  <a:p>
                    <a:r>
                      <a:rPr lang="en-US"/>
                      <a:t>4 147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856-44D7-B703-92E2C13822AC}"/>
                </c:ext>
              </c:extLst>
            </c:dLbl>
            <c:dLbl>
              <c:idx val="7"/>
              <c:layout>
                <c:manualLayout>
                  <c:x val="2.3698840361624776E-3"/>
                  <c:y val="-0.30338824312274898"/>
                </c:manualLayout>
              </c:layout>
              <c:tx>
                <c:rich>
                  <a:bodyPr/>
                  <a:lstStyle/>
                  <a:p>
                    <a:r>
                      <a:rPr lang="en-US"/>
                      <a:t>3 293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856-44D7-B703-92E2C13822AC}"/>
                </c:ext>
              </c:extLst>
            </c:dLbl>
            <c:dLbl>
              <c:idx val="8"/>
              <c:layout>
                <c:manualLayout>
                  <c:x val="4.7397680723250419E-3"/>
                  <c:y val="-0.27780128285938455"/>
                </c:manualLayout>
              </c:layout>
              <c:tx>
                <c:rich>
                  <a:bodyPr/>
                  <a:lstStyle/>
                  <a:p>
                    <a:r>
                      <a:rPr lang="en-US"/>
                      <a:t>2 609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856-44D7-B703-92E2C13822AC}"/>
                </c:ext>
              </c:extLst>
            </c:dLbl>
            <c:dLbl>
              <c:idx val="9"/>
              <c:layout>
                <c:manualLayout>
                  <c:x val="4.7397680723251286E-3"/>
                  <c:y val="-0.2704907227841376"/>
                </c:manualLayout>
              </c:layout>
              <c:tx>
                <c:rich>
                  <a:bodyPr/>
                  <a:lstStyle/>
                  <a:p>
                    <a:r>
                      <a:rPr lang="en-US"/>
                      <a:t>2 579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856-44D7-B703-92E2C13822AC}"/>
                </c:ext>
              </c:extLst>
            </c:dLbl>
            <c:dLbl>
              <c:idx val="10"/>
              <c:layout>
                <c:manualLayout>
                  <c:x val="9.5349018872640922E-3"/>
                  <c:y val="-0.60373872236201342"/>
                </c:manualLayout>
              </c:layout>
              <c:tx>
                <c:rich>
                  <a:bodyPr/>
                  <a:lstStyle/>
                  <a:p>
                    <a:r>
                      <a:rPr lang="en-US"/>
                      <a:t>5 616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856-44D7-B703-92E2C13822AC}"/>
                </c:ext>
              </c:extLst>
            </c:dLbl>
            <c:dLbl>
              <c:idx val="11"/>
              <c:layout>
                <c:manualLayout>
                  <c:x val="7.1096521084876929E-3"/>
                  <c:y val="-0.17545344180592709"/>
                </c:manualLayout>
              </c:layout>
              <c:tx>
                <c:rich>
                  <a:bodyPr/>
                  <a:lstStyle/>
                  <a:p>
                    <a:r>
                      <a:rPr lang="en-US"/>
                      <a:t>2 018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856-44D7-B703-92E2C13822A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'[0 Диаграммалар 2016-2020 9 ой.xlsx]Экс. по компонент. 2д'!$B$42:$C$53</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2018</c:v>
                  </c:pt>
                  <c:pt idx="4">
                    <c:v>2019</c:v>
                  </c:pt>
                  <c:pt idx="8">
                    <c:v>2020</c:v>
                  </c:pt>
                </c:lvl>
              </c:multiLvlStrCache>
            </c:multiLvlStrRef>
          </c:cat>
          <c:val>
            <c:numRef>
              <c:f>'[0 Диаграммалар 2016-2020 9 ой.xlsx]Экс. по компонент. 2д'!$D$42:$D$53</c:f>
              <c:numCache>
                <c:formatCode>_-* #\ ##0_р_._-;\-* #\ ##0_р_._-;_-* "-"??_р_._-;_-@_-</c:formatCode>
                <c:ptCount val="12"/>
                <c:pt idx="0">
                  <c:v>1628.1233097455067</c:v>
                </c:pt>
                <c:pt idx="1">
                  <c:v>2000.187692209769</c:v>
                </c:pt>
                <c:pt idx="2">
                  <c:v>1882.7086237632859</c:v>
                </c:pt>
                <c:pt idx="3">
                  <c:v>2674.8793499999997</c:v>
                </c:pt>
                <c:pt idx="4">
                  <c:v>1771.0445570628999</c:v>
                </c:pt>
                <c:pt idx="5">
                  <c:v>2490.9652815090899</c:v>
                </c:pt>
                <c:pt idx="6">
                  <c:v>2178.2920784482599</c:v>
                </c:pt>
                <c:pt idx="7">
                  <c:v>2305.9905593889798</c:v>
                </c:pt>
                <c:pt idx="8">
                  <c:v>1565.4387769800001</c:v>
                </c:pt>
                <c:pt idx="9">
                  <c:v>1458.8774725685</c:v>
                </c:pt>
                <c:pt idx="10">
                  <c:v>1933.0969166569998</c:v>
                </c:pt>
                <c:pt idx="11">
                  <c:v>2017.36495000012</c:v>
                </c:pt>
              </c:numCache>
            </c:numRef>
          </c:val>
          <c:extLst>
            <c:ext xmlns:c16="http://schemas.microsoft.com/office/drawing/2014/chart" uri="{C3380CC4-5D6E-409C-BE32-E72D297353CC}">
              <c16:uniqueId val="{0000000C-3856-44D7-B703-92E2C13822AC}"/>
            </c:ext>
          </c:extLst>
        </c:ser>
        <c:ser>
          <c:idx val="1"/>
          <c:order val="1"/>
          <c:tx>
            <c:strRef>
              <c:f>'[0 Диаграммалар 2016-2020 9 ой.xlsx]Экс. по компонент. 2д'!$E$41</c:f>
              <c:strCache>
                <c:ptCount val="1"/>
                <c:pt idx="0">
                  <c:v>Shuttle trade</c:v>
                </c:pt>
              </c:strCache>
            </c:strRef>
          </c:tx>
          <c:spPr>
            <a:solidFill>
              <a:srgbClr val="FF0000"/>
            </a:solidFill>
            <a:ln>
              <a:noFill/>
            </a:ln>
            <a:effectLst>
              <a:outerShdw blurRad="57150" dist="19050" dir="5400000" algn="ctr" rotWithShape="0">
                <a:srgbClr val="000000">
                  <a:alpha val="63000"/>
                </a:srgbClr>
              </a:outerShdw>
            </a:effectLst>
            <a:sp3d/>
          </c:spPr>
          <c:invertIfNegative val="0"/>
          <c:cat>
            <c:multiLvlStrRef>
              <c:f>'[0 Диаграммалар 2016-2020 9 ой.xlsx]Экс. по компонент. 2д'!$B$42:$C$53</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2018</c:v>
                  </c:pt>
                  <c:pt idx="4">
                    <c:v>2019</c:v>
                  </c:pt>
                  <c:pt idx="8">
                    <c:v>2020</c:v>
                  </c:pt>
                </c:lvl>
              </c:multiLvlStrCache>
            </c:multiLvlStrRef>
          </c:cat>
          <c:val>
            <c:numRef>
              <c:f>'[0 Диаграммалар 2016-2020 9 ой.xlsx]Экс. по компонент. 2д'!$E$42:$E$53</c:f>
              <c:numCache>
                <c:formatCode>_-* #\ ##0_р_._-;\-* #\ ##0_р_._-;_-* "-"??_р_._-;_-@_-</c:formatCode>
                <c:ptCount val="12"/>
                <c:pt idx="0">
                  <c:v>31.328318779555126</c:v>
                </c:pt>
                <c:pt idx="1">
                  <c:v>56.578929878799698</c:v>
                </c:pt>
                <c:pt idx="2">
                  <c:v>72.000351655847695</c:v>
                </c:pt>
                <c:pt idx="3">
                  <c:v>53.302533438067506</c:v>
                </c:pt>
                <c:pt idx="4">
                  <c:v>27.1452432306037</c:v>
                </c:pt>
                <c:pt idx="5">
                  <c:v>40.363993707289701</c:v>
                </c:pt>
                <c:pt idx="6">
                  <c:v>58.928164452965397</c:v>
                </c:pt>
                <c:pt idx="7">
                  <c:v>31.0683659646363</c:v>
                </c:pt>
                <c:pt idx="8">
                  <c:v>25.698687309530399</c:v>
                </c:pt>
                <c:pt idx="9">
                  <c:v>0</c:v>
                </c:pt>
                <c:pt idx="10">
                  <c:v>0</c:v>
                </c:pt>
                <c:pt idx="11">
                  <c:v>0</c:v>
                </c:pt>
              </c:numCache>
            </c:numRef>
          </c:val>
          <c:extLst>
            <c:ext xmlns:c16="http://schemas.microsoft.com/office/drawing/2014/chart" uri="{C3380CC4-5D6E-409C-BE32-E72D297353CC}">
              <c16:uniqueId val="{0000000D-3856-44D7-B703-92E2C13822AC}"/>
            </c:ext>
          </c:extLst>
        </c:ser>
        <c:ser>
          <c:idx val="2"/>
          <c:order val="2"/>
          <c:tx>
            <c:strRef>
              <c:f>'[0 Диаграммалар 2016-2020 9 ой.xlsx]Экс. по компонент. 2д'!$F$41</c:f>
              <c:strCache>
                <c:ptCount val="1"/>
                <c:pt idx="0">
                  <c:v>Goods in ports</c:v>
                </c:pt>
              </c:strCache>
            </c:strRef>
          </c:tx>
          <c:spPr>
            <a:solidFill>
              <a:schemeClr val="tx1"/>
            </a:solidFill>
            <a:ln>
              <a:noFill/>
            </a:ln>
            <a:effectLst>
              <a:outerShdw blurRad="57150" dist="19050" dir="5400000" algn="ctr" rotWithShape="0">
                <a:srgbClr val="000000">
                  <a:alpha val="63000"/>
                </a:srgbClr>
              </a:outerShdw>
            </a:effectLst>
            <a:sp3d/>
          </c:spPr>
          <c:invertIfNegative val="0"/>
          <c:cat>
            <c:multiLvlStrRef>
              <c:f>'[0 Диаграммалар 2016-2020 9 ой.xlsx]Экс. по компонент. 2д'!$B$42:$C$53</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2018</c:v>
                  </c:pt>
                  <c:pt idx="4">
                    <c:v>2019</c:v>
                  </c:pt>
                  <c:pt idx="8">
                    <c:v>2020</c:v>
                  </c:pt>
                </c:lvl>
              </c:multiLvlStrCache>
            </c:multiLvlStrRef>
          </c:cat>
          <c:val>
            <c:numRef>
              <c:f>'[0 Диаграммалар 2016-2020 9 ой.xlsx]Экс. по компонент. 2д'!$F$42:$F$53</c:f>
              <c:numCache>
                <c:formatCode>_-* #\ ##0_р_._-;\-* #\ ##0_р_._-;_-* "-"??_р_._-;_-@_-</c:formatCode>
                <c:ptCount val="12"/>
                <c:pt idx="0">
                  <c:v>16.638403255757272</c:v>
                </c:pt>
                <c:pt idx="1">
                  <c:v>16.869577502261318</c:v>
                </c:pt>
                <c:pt idx="2">
                  <c:v>21.799127227946762</c:v>
                </c:pt>
                <c:pt idx="3">
                  <c:v>21.692321797251147</c:v>
                </c:pt>
                <c:pt idx="4">
                  <c:v>15.423356128051999</c:v>
                </c:pt>
                <c:pt idx="5">
                  <c:v>19.607492852296954</c:v>
                </c:pt>
                <c:pt idx="6">
                  <c:v>20.957318627906918</c:v>
                </c:pt>
                <c:pt idx="7">
                  <c:v>20.582767429938123</c:v>
                </c:pt>
                <c:pt idx="8">
                  <c:v>12.205860060625502</c:v>
                </c:pt>
                <c:pt idx="9">
                  <c:v>1.6997061214132505</c:v>
                </c:pt>
                <c:pt idx="10">
                  <c:v>3.2347227292197873</c:v>
                </c:pt>
                <c:pt idx="11">
                  <c:v>1.0986852335228292</c:v>
                </c:pt>
              </c:numCache>
            </c:numRef>
          </c:val>
          <c:extLst>
            <c:ext xmlns:c16="http://schemas.microsoft.com/office/drawing/2014/chart" uri="{C3380CC4-5D6E-409C-BE32-E72D297353CC}">
              <c16:uniqueId val="{0000000E-3856-44D7-B703-92E2C13822AC}"/>
            </c:ext>
          </c:extLst>
        </c:ser>
        <c:ser>
          <c:idx val="3"/>
          <c:order val="3"/>
          <c:tx>
            <c:strRef>
              <c:f>'[0 Диаграммалар 2016-2020 9 ой.xlsx]Экс. по компонент. 2д'!$G$41</c:f>
              <c:strCache>
                <c:ptCount val="1"/>
                <c:pt idx="0">
                  <c:v>Non-monetary gold</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multiLvlStrRef>
              <c:f>'[0 Диаграммалар 2016-2020 9 ой.xlsx]Экс. по компонент. 2д'!$B$42:$C$53</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2018</c:v>
                  </c:pt>
                  <c:pt idx="4">
                    <c:v>2019</c:v>
                  </c:pt>
                  <c:pt idx="8">
                    <c:v>2020</c:v>
                  </c:pt>
                </c:lvl>
              </c:multiLvlStrCache>
            </c:multiLvlStrRef>
          </c:cat>
          <c:val>
            <c:numRef>
              <c:f>'[0 Диаграммалар 2016-2020 9 ой.xlsx]Экс. по компонент. 2д'!$G$42:$G$53</c:f>
              <c:numCache>
                <c:formatCode>_-* #\ ##0_р_._-;\-* #\ ##0_р_._-;_-* "-"??_р_._-;_-@_-</c:formatCode>
                <c:ptCount val="12"/>
                <c:pt idx="0">
                  <c:v>1280.9000000000001</c:v>
                </c:pt>
                <c:pt idx="1">
                  <c:v>277.16872999999998</c:v>
                </c:pt>
                <c:pt idx="2">
                  <c:v>0</c:v>
                </c:pt>
                <c:pt idx="3">
                  <c:v>1351.4127889900001</c:v>
                </c:pt>
                <c:pt idx="4">
                  <c:v>1231.4111293999999</c:v>
                </c:pt>
                <c:pt idx="5">
                  <c:v>863.18637918000002</c:v>
                </c:pt>
                <c:pt idx="6">
                  <c:v>1888.4199729000002</c:v>
                </c:pt>
                <c:pt idx="7">
                  <c:v>935.24</c:v>
                </c:pt>
                <c:pt idx="8">
                  <c:v>1005.9446497499999</c:v>
                </c:pt>
                <c:pt idx="9">
                  <c:v>1118.6680120000001</c:v>
                </c:pt>
                <c:pt idx="10">
                  <c:v>3679.8229999999999</c:v>
                </c:pt>
                <c:pt idx="11">
                  <c:v>0</c:v>
                </c:pt>
              </c:numCache>
            </c:numRef>
          </c:val>
          <c:extLst>
            <c:ext xmlns:c16="http://schemas.microsoft.com/office/drawing/2014/chart" uri="{C3380CC4-5D6E-409C-BE32-E72D297353CC}">
              <c16:uniqueId val="{0000000F-3856-44D7-B703-92E2C13822AC}"/>
            </c:ext>
          </c:extLst>
        </c:ser>
        <c:dLbls>
          <c:showLegendKey val="0"/>
          <c:showVal val="0"/>
          <c:showCatName val="0"/>
          <c:showSerName val="0"/>
          <c:showPercent val="0"/>
          <c:showBubbleSize val="0"/>
        </c:dLbls>
        <c:gapWidth val="150"/>
        <c:shape val="box"/>
        <c:axId val="517094832"/>
        <c:axId val="517094416"/>
        <c:axId val="0"/>
      </c:bar3DChart>
      <c:catAx>
        <c:axId val="5170948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517094416"/>
        <c:crossesAt val="0"/>
        <c:auto val="1"/>
        <c:lblAlgn val="ctr"/>
        <c:lblOffset val="1"/>
        <c:noMultiLvlLbl val="0"/>
      </c:catAx>
      <c:valAx>
        <c:axId val="517094416"/>
        <c:scaling>
          <c:orientation val="minMax"/>
          <c:max val="60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17094832"/>
        <c:crosses val="autoZero"/>
        <c:crossBetween val="between"/>
        <c:majorUnit val="500"/>
        <c:minorUnit val="100"/>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946671933461795E-2"/>
          <c:y val="8.2230611584510838E-2"/>
          <c:w val="0.89038509113209552"/>
          <c:h val="0.77675274152374785"/>
        </c:manualLayout>
      </c:layout>
      <c:bar3DChart>
        <c:barDir val="col"/>
        <c:grouping val="stacked"/>
        <c:varyColors val="0"/>
        <c:ser>
          <c:idx val="0"/>
          <c:order val="0"/>
          <c:tx>
            <c:strRef>
              <c:f>'[0 Диаграммалар 2016-2020 9 ой.xlsx]Имп. по компонент. 3д'!$D$34</c:f>
              <c:strCache>
                <c:ptCount val="1"/>
                <c:pt idx="0">
                  <c:v>Import CIF</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0"/>
              <c:layout>
                <c:manualLayout>
                  <c:x val="1.3455401964241475E-2"/>
                  <c:y val="-0.26145943775927205"/>
                </c:manualLayout>
              </c:layout>
              <c:tx>
                <c:rich>
                  <a:bodyPr/>
                  <a:lstStyle/>
                  <a:p>
                    <a:r>
                      <a:rPr lang="en-US"/>
                      <a:t>3 728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F89-42FB-BF07-DC3895190C05}"/>
                </c:ext>
              </c:extLst>
            </c:dLbl>
            <c:dLbl>
              <c:idx val="1"/>
              <c:layout>
                <c:manualLayout>
                  <c:x val="1.3455401964241475E-2"/>
                  <c:y val="-0.29519613940562972"/>
                </c:manualLayout>
              </c:layout>
              <c:tx>
                <c:rich>
                  <a:bodyPr/>
                  <a:lstStyle/>
                  <a:p>
                    <a:r>
                      <a:rPr lang="en-US"/>
                      <a:t>4 520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89-42FB-BF07-DC3895190C05}"/>
                </c:ext>
              </c:extLst>
            </c:dLbl>
            <c:dLbl>
              <c:idx val="2"/>
              <c:layout>
                <c:manualLayout>
                  <c:x val="8.9702679761609824E-3"/>
                  <c:y val="-0.29519613940562972"/>
                </c:manualLayout>
              </c:layout>
              <c:tx>
                <c:rich>
                  <a:bodyPr/>
                  <a:lstStyle/>
                  <a:p>
                    <a:r>
                      <a:rPr lang="en-US"/>
                      <a:t>4 489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F89-42FB-BF07-DC3895190C05}"/>
                </c:ext>
              </c:extLst>
            </c:dLbl>
            <c:dLbl>
              <c:idx val="3"/>
              <c:layout>
                <c:manualLayout>
                  <c:x val="6.7277009821207377E-3"/>
                  <c:y val="-0.35001827958096093"/>
                </c:manualLayout>
              </c:layout>
              <c:tx>
                <c:rich>
                  <a:bodyPr/>
                  <a:lstStyle/>
                  <a:p>
                    <a:r>
                      <a:rPr lang="en-US"/>
                      <a:t>5 516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F89-42FB-BF07-DC3895190C05}"/>
                </c:ext>
              </c:extLst>
            </c:dLbl>
            <c:dLbl>
              <c:idx val="4"/>
              <c:layout>
                <c:manualLayout>
                  <c:x val="8.9702679761609009E-3"/>
                  <c:y val="-0.30363031481721919"/>
                </c:manualLayout>
              </c:layout>
              <c:tx>
                <c:rich>
                  <a:bodyPr/>
                  <a:lstStyle/>
                  <a:p>
                    <a:r>
                      <a:rPr lang="en-US"/>
                      <a:t>4 742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F89-42FB-BF07-DC3895190C05}"/>
                </c:ext>
              </c:extLst>
            </c:dLbl>
            <c:dLbl>
              <c:idx val="5"/>
              <c:layout>
                <c:manualLayout>
                  <c:x val="8.9702679761609824E-3"/>
                  <c:y val="-0.32049866564039797"/>
                </c:manualLayout>
              </c:layout>
              <c:tx>
                <c:rich>
                  <a:bodyPr/>
                  <a:lstStyle/>
                  <a:p>
                    <a:r>
                      <a:rPr lang="en-US"/>
                      <a:t>5 292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F89-42FB-BF07-DC3895190C05}"/>
                </c:ext>
              </c:extLst>
            </c:dLbl>
            <c:dLbl>
              <c:idx val="6"/>
              <c:layout>
                <c:manualLayout>
                  <c:x val="6.7277009821206553E-3"/>
                  <c:y val="-0.34580119187516623"/>
                </c:manualLayout>
              </c:layout>
              <c:tx>
                <c:rich>
                  <a:bodyPr/>
                  <a:lstStyle/>
                  <a:p>
                    <a:r>
                      <a:rPr lang="en-US"/>
                      <a:t>5 529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F89-42FB-BF07-DC3895190C05}"/>
                </c:ext>
              </c:extLst>
            </c:dLbl>
            <c:dLbl>
              <c:idx val="7"/>
              <c:layout>
                <c:manualLayout>
                  <c:x val="1.1212834970201228E-2"/>
                  <c:y val="-0.34158410416937152"/>
                </c:manualLayout>
              </c:layout>
              <c:tx>
                <c:rich>
                  <a:bodyPr/>
                  <a:lstStyle/>
                  <a:p>
                    <a:r>
                      <a:rPr lang="en-US"/>
                      <a:t>5 628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F89-42FB-BF07-DC3895190C05}"/>
                </c:ext>
              </c:extLst>
            </c:dLbl>
            <c:dLbl>
              <c:idx val="8"/>
              <c:layout>
                <c:manualLayout>
                  <c:x val="4.4851339880804912E-3"/>
                  <c:y val="-0.2656765254650667"/>
                </c:manualLayout>
              </c:layout>
              <c:tx>
                <c:rich>
                  <a:bodyPr/>
                  <a:lstStyle/>
                  <a:p>
                    <a:r>
                      <a:rPr lang="en-US"/>
                      <a:t>4 291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F89-42FB-BF07-DC3895190C05}"/>
                </c:ext>
              </c:extLst>
            </c:dLbl>
            <c:dLbl>
              <c:idx val="9"/>
              <c:layout>
                <c:manualLayout>
                  <c:x val="4.4851339880804912E-3"/>
                  <c:y val="-0.25724235005347729"/>
                </c:manualLayout>
              </c:layout>
              <c:tx>
                <c:rich>
                  <a:bodyPr/>
                  <a:lstStyle/>
                  <a:p>
                    <a:r>
                      <a:rPr lang="en-US"/>
                      <a:t>4 290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F89-42FB-BF07-DC3895190C05}"/>
                </c:ext>
              </c:extLst>
            </c:dLbl>
            <c:dLbl>
              <c:idx val="10"/>
              <c:layout>
                <c:manualLayout>
                  <c:x val="4.4851339880804912E-3"/>
                  <c:y val="-0.30784740252301385"/>
                </c:manualLayout>
              </c:layout>
              <c:tx>
                <c:rich>
                  <a:bodyPr/>
                  <a:lstStyle/>
                  <a:p>
                    <a:r>
                      <a:rPr lang="en-US"/>
                      <a:t>4 998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F89-42FB-BF07-DC3895190C05}"/>
                </c:ext>
              </c:extLst>
            </c:dLbl>
            <c:dLbl>
              <c:idx val="11"/>
              <c:layout>
                <c:manualLayout>
                  <c:x val="8.9702679761609824E-3"/>
                  <c:y val="-0.34580119187516628"/>
                </c:manualLayout>
              </c:layout>
              <c:tx>
                <c:rich>
                  <a:bodyPr/>
                  <a:lstStyle/>
                  <a:p>
                    <a:r>
                      <a:rPr lang="en-US"/>
                      <a:t>5 469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F89-42FB-BF07-DC3895190C0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'[0 Диаграммалар 2016-2020 9 ой.xlsx]Имп. по компонент. 3д'!$B$35:$C$46</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2018</c:v>
                  </c:pt>
                  <c:pt idx="4">
                    <c:v>2019</c:v>
                  </c:pt>
                  <c:pt idx="8">
                    <c:v>2020</c:v>
                  </c:pt>
                </c:lvl>
              </c:multiLvlStrCache>
            </c:multiLvlStrRef>
          </c:cat>
          <c:val>
            <c:numRef>
              <c:f>'[0 Диаграммалар 2016-2020 9 ой.xlsx]Имп. по компонент. 3д'!$D$35:$D$46</c:f>
              <c:numCache>
                <c:formatCode>_-* #\ ##0_р_._-;\-* #\ ##0_р_._-;_-* "-"??_р_._-;_-@_-</c:formatCode>
                <c:ptCount val="12"/>
                <c:pt idx="0">
                  <c:v>3893.2315800005599</c:v>
                </c:pt>
                <c:pt idx="1">
                  <c:v>4500.1134200001197</c:v>
                </c:pt>
                <c:pt idx="2">
                  <c:v>4666.8036700000202</c:v>
                </c:pt>
                <c:pt idx="3">
                  <c:v>5828.6728000000003</c:v>
                </c:pt>
                <c:pt idx="4">
                  <c:v>5037.1845169998696</c:v>
                </c:pt>
                <c:pt idx="5">
                  <c:v>5545.2540964999098</c:v>
                </c:pt>
                <c:pt idx="6">
                  <c:v>5857.1907298318201</c:v>
                </c:pt>
                <c:pt idx="7">
                  <c:v>6031.9540944006103</c:v>
                </c:pt>
                <c:pt idx="8">
                  <c:v>4529.4858350001005</c:v>
                </c:pt>
                <c:pt idx="9">
                  <c:v>4641.9608603155239</c:v>
                </c:pt>
                <c:pt idx="10">
                  <c:v>5429.2737496959799</c:v>
                </c:pt>
                <c:pt idx="11">
                  <c:v>5897.2704471445704</c:v>
                </c:pt>
              </c:numCache>
            </c:numRef>
          </c:val>
          <c:extLst>
            <c:ext xmlns:c16="http://schemas.microsoft.com/office/drawing/2014/chart" uri="{C3380CC4-5D6E-409C-BE32-E72D297353CC}">
              <c16:uniqueId val="{0000000C-0F89-42FB-BF07-DC3895190C05}"/>
            </c:ext>
          </c:extLst>
        </c:ser>
        <c:ser>
          <c:idx val="1"/>
          <c:order val="1"/>
          <c:tx>
            <c:strRef>
              <c:f>'[0 Диаграммалар 2016-2020 9 ой.xlsx]Имп. по компонент. 3д'!$E$34</c:f>
              <c:strCache>
                <c:ptCount val="1"/>
                <c:pt idx="0">
                  <c:v>Shuttle trade</c:v>
                </c:pt>
              </c:strCache>
            </c:strRef>
          </c:tx>
          <c:spPr>
            <a:solidFill>
              <a:srgbClr val="FF0000"/>
            </a:solidFill>
            <a:ln>
              <a:noFill/>
            </a:ln>
            <a:effectLst/>
            <a:sp3d/>
          </c:spPr>
          <c:invertIfNegative val="0"/>
          <c:cat>
            <c:multiLvlStrRef>
              <c:f>'[0 Диаграммалар 2016-2020 9 ой.xlsx]Имп. по компонент. 3д'!$B$35:$C$46</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2018</c:v>
                  </c:pt>
                  <c:pt idx="4">
                    <c:v>2019</c:v>
                  </c:pt>
                  <c:pt idx="8">
                    <c:v>2020</c:v>
                  </c:pt>
                </c:lvl>
              </c:multiLvlStrCache>
            </c:multiLvlStrRef>
          </c:cat>
          <c:val>
            <c:numRef>
              <c:f>'[0 Диаграммалар 2016-2020 9 ой.xlsx]Имп. по компонент. 3д'!$E$35:$E$46</c:f>
              <c:numCache>
                <c:formatCode>_-* #\ ##0_р_._-;\-* #\ ##0_р_._-;_-* "-"??_р_._-;_-@_-</c:formatCode>
                <c:ptCount val="12"/>
                <c:pt idx="0">
                  <c:v>212.46</c:v>
                </c:pt>
                <c:pt idx="1">
                  <c:v>307.27999999999997</c:v>
                </c:pt>
                <c:pt idx="2">
                  <c:v>218.08606911734222</c:v>
                </c:pt>
                <c:pt idx="3">
                  <c:v>105.07321382346845</c:v>
                </c:pt>
                <c:pt idx="4">
                  <c:v>70.576836519815004</c:v>
                </c:pt>
                <c:pt idx="5">
                  <c:v>96.154395162270504</c:v>
                </c:pt>
                <c:pt idx="6">
                  <c:v>82.676692866095294</c:v>
                </c:pt>
                <c:pt idx="7">
                  <c:v>67.914027972986901</c:v>
                </c:pt>
                <c:pt idx="8">
                  <c:v>63.291820416515797</c:v>
                </c:pt>
                <c:pt idx="9">
                  <c:v>0</c:v>
                </c:pt>
                <c:pt idx="10">
                  <c:v>0</c:v>
                </c:pt>
                <c:pt idx="11">
                  <c:v>0</c:v>
                </c:pt>
              </c:numCache>
            </c:numRef>
          </c:val>
          <c:extLst>
            <c:ext xmlns:c16="http://schemas.microsoft.com/office/drawing/2014/chart" uri="{C3380CC4-5D6E-409C-BE32-E72D297353CC}">
              <c16:uniqueId val="{0000000D-0F89-42FB-BF07-DC3895190C05}"/>
            </c:ext>
          </c:extLst>
        </c:ser>
        <c:ser>
          <c:idx val="2"/>
          <c:order val="2"/>
          <c:tx>
            <c:strRef>
              <c:f>'[0 Диаграммалар 2016-2020 9 ой.xlsx]Имп. по компонент. 3д'!$F$34</c:f>
              <c:strCache>
                <c:ptCount val="1"/>
                <c:pt idx="0">
                  <c:v>Goods in ports</c:v>
                </c:pt>
              </c:strCache>
            </c:strRef>
          </c:tx>
          <c:spPr>
            <a:solidFill>
              <a:schemeClr val="tx1"/>
            </a:solidFill>
            <a:ln>
              <a:noFill/>
            </a:ln>
            <a:effectLst/>
            <a:sp3d/>
          </c:spPr>
          <c:invertIfNegative val="0"/>
          <c:cat>
            <c:multiLvlStrRef>
              <c:f>'[0 Диаграммалар 2016-2020 9 ой.xlsx]Имп. по компонент. 3д'!$B$35:$C$46</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2018</c:v>
                  </c:pt>
                  <c:pt idx="4">
                    <c:v>2019</c:v>
                  </c:pt>
                  <c:pt idx="8">
                    <c:v>2020</c:v>
                  </c:pt>
                </c:lvl>
              </c:multiLvlStrCache>
            </c:multiLvlStrRef>
          </c:cat>
          <c:val>
            <c:numRef>
              <c:f>'[0 Диаграммалар 2016-2020 9 ой.xlsx]Имп. по компонент. 3д'!$F$35:$F$46</c:f>
              <c:numCache>
                <c:formatCode>_-* #\ ##0_р_._-;\-* #\ ##0_р_._-;_-* "-"??_р_._-;_-@_-</c:formatCode>
                <c:ptCount val="12"/>
                <c:pt idx="0">
                  <c:v>16.635672279614202</c:v>
                </c:pt>
                <c:pt idx="1">
                  <c:v>22.194115735754501</c:v>
                </c:pt>
                <c:pt idx="2">
                  <c:v>27.932888322601457</c:v>
                </c:pt>
                <c:pt idx="3">
                  <c:v>35.679226986746038</c:v>
                </c:pt>
                <c:pt idx="4">
                  <c:v>25.430735515866854</c:v>
                </c:pt>
                <c:pt idx="5">
                  <c:v>28.571629451510173</c:v>
                </c:pt>
                <c:pt idx="6">
                  <c:v>27.916710455924118</c:v>
                </c:pt>
                <c:pt idx="7">
                  <c:v>28.643972107969059</c:v>
                </c:pt>
                <c:pt idx="8">
                  <c:v>22.450073144319866</c:v>
                </c:pt>
                <c:pt idx="9">
                  <c:v>2.1627375455712774</c:v>
                </c:pt>
                <c:pt idx="10">
                  <c:v>3.3254424005478058</c:v>
                </c:pt>
                <c:pt idx="11">
                  <c:v>6.9027065335804796</c:v>
                </c:pt>
              </c:numCache>
            </c:numRef>
          </c:val>
          <c:extLst>
            <c:ext xmlns:c16="http://schemas.microsoft.com/office/drawing/2014/chart" uri="{C3380CC4-5D6E-409C-BE32-E72D297353CC}">
              <c16:uniqueId val="{0000000E-0F89-42FB-BF07-DC3895190C05}"/>
            </c:ext>
          </c:extLst>
        </c:ser>
        <c:ser>
          <c:idx val="3"/>
          <c:order val="3"/>
          <c:tx>
            <c:strRef>
              <c:f>'[0 Диаграммалар 2016-2020 9 ой.xlsx]Имп. по компонент. 3д'!$G$34</c:f>
              <c:strCache>
                <c:ptCount val="1"/>
                <c:pt idx="0">
                  <c:v>Freight</c:v>
                </c:pt>
              </c:strCache>
            </c:strRef>
          </c:tx>
          <c:spPr>
            <a:solidFill>
              <a:schemeClr val="accent3"/>
            </a:solidFill>
            <a:ln>
              <a:noFill/>
            </a:ln>
            <a:effectLst/>
            <a:sp3d/>
          </c:spPr>
          <c:invertIfNegative val="0"/>
          <c:cat>
            <c:multiLvlStrRef>
              <c:f>'[0 Диаграммалар 2016-2020 9 ой.xlsx]Имп. по компонент. 3д'!$B$35:$C$46</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2018</c:v>
                  </c:pt>
                  <c:pt idx="4">
                    <c:v>2019</c:v>
                  </c:pt>
                  <c:pt idx="8">
                    <c:v>2020</c:v>
                  </c:pt>
                </c:lvl>
              </c:multiLvlStrCache>
            </c:multiLvlStrRef>
          </c:cat>
          <c:val>
            <c:numRef>
              <c:f>'[0 Диаграммалар 2016-2020 9 ой.xlsx]Имп. по компонент. 3д'!$G$35:$G$46</c:f>
              <c:numCache>
                <c:formatCode>_-* #\ ##0_р_._-;\-* #\ ##0_р_._-;_-* "-"??_р_._-;_-@_-</c:formatCode>
                <c:ptCount val="12"/>
                <c:pt idx="0">
                  <c:v>-397.12329222674441</c:v>
                </c:pt>
                <c:pt idx="1">
                  <c:v>-309.89488728025935</c:v>
                </c:pt>
                <c:pt idx="2">
                  <c:v>-424.42563478019366</c:v>
                </c:pt>
                <c:pt idx="3">
                  <c:v>-462.24699999999996</c:v>
                </c:pt>
                <c:pt idx="4">
                  <c:v>-395.63521829872127</c:v>
                </c:pt>
                <c:pt idx="5">
                  <c:v>-381.35809007772195</c:v>
                </c:pt>
                <c:pt idx="6">
                  <c:v>-445.82716031051632</c:v>
                </c:pt>
                <c:pt idx="7">
                  <c:v>-502.40000838482433</c:v>
                </c:pt>
                <c:pt idx="8">
                  <c:v>-325.75503326520118</c:v>
                </c:pt>
                <c:pt idx="9">
                  <c:v>-357.58439078158142</c:v>
                </c:pt>
                <c:pt idx="10">
                  <c:v>-446.66283340009358</c:v>
                </c:pt>
                <c:pt idx="11">
                  <c:v>-440.40457614499644</c:v>
                </c:pt>
              </c:numCache>
            </c:numRef>
          </c:val>
          <c:extLst>
            <c:ext xmlns:c16="http://schemas.microsoft.com/office/drawing/2014/chart" uri="{C3380CC4-5D6E-409C-BE32-E72D297353CC}">
              <c16:uniqueId val="{0000000F-0F89-42FB-BF07-DC3895190C05}"/>
            </c:ext>
          </c:extLst>
        </c:ser>
        <c:ser>
          <c:idx val="4"/>
          <c:order val="4"/>
          <c:tx>
            <c:strRef>
              <c:f>'[0 Диаграммалар 2016-2020 9 ой.xlsx]Имп. по компонент. 3д'!$H$34</c:f>
              <c:strCache>
                <c:ptCount val="1"/>
                <c:pt idx="0">
                  <c:v>Non-monetary gold</c:v>
                </c:pt>
              </c:strCache>
            </c:strRef>
          </c:tx>
          <c:spPr>
            <a:solidFill>
              <a:srgbClr val="FFC000"/>
            </a:solidFill>
            <a:ln>
              <a:noFill/>
            </a:ln>
            <a:effectLst/>
            <a:sp3d/>
          </c:spPr>
          <c:invertIfNegative val="0"/>
          <c:cat>
            <c:multiLvlStrRef>
              <c:f>'[0 Диаграммалар 2016-2020 9 ой.xlsx]Имп. по компонент. 3д'!$B$35:$C$46</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2018</c:v>
                  </c:pt>
                  <c:pt idx="4">
                    <c:v>2019</c:v>
                  </c:pt>
                  <c:pt idx="8">
                    <c:v>2020</c:v>
                  </c:pt>
                </c:lvl>
              </c:multiLvlStrCache>
            </c:multiLvlStrRef>
          </c:cat>
          <c:val>
            <c:numRef>
              <c:f>'[0 Диаграммалар 2016-2020 9 ой.xlsx]Имп. по компонент. 3д'!$H$35:$H$46</c:f>
              <c:numCache>
                <c:formatCode>_-* #\ ##0_р_._-;\-* #\ ##0_р_._-;_-* "-"??_р_._-;_-@_-</c:formatCode>
                <c:ptCount val="12"/>
                <c:pt idx="0">
                  <c:v>2.6470669999999998</c:v>
                </c:pt>
                <c:pt idx="1">
                  <c:v>0</c:v>
                </c:pt>
                <c:pt idx="2">
                  <c:v>0.49920999999999999</c:v>
                </c:pt>
                <c:pt idx="3">
                  <c:v>8.8272000000000013</c:v>
                </c:pt>
                <c:pt idx="4">
                  <c:v>4.2110000000000003</c:v>
                </c:pt>
                <c:pt idx="5">
                  <c:v>3.0579999999999998</c:v>
                </c:pt>
                <c:pt idx="6">
                  <c:v>6.6829999999999998</c:v>
                </c:pt>
                <c:pt idx="7">
                  <c:v>1.752</c:v>
                </c:pt>
                <c:pt idx="8">
                  <c:v>1.88418</c:v>
                </c:pt>
                <c:pt idx="9">
                  <c:v>3.58378</c:v>
                </c:pt>
                <c:pt idx="10">
                  <c:v>12.34685</c:v>
                </c:pt>
                <c:pt idx="11">
                  <c:v>4.7830599999999999</c:v>
                </c:pt>
              </c:numCache>
            </c:numRef>
          </c:val>
          <c:extLst>
            <c:ext xmlns:c16="http://schemas.microsoft.com/office/drawing/2014/chart" uri="{C3380CC4-5D6E-409C-BE32-E72D297353CC}">
              <c16:uniqueId val="{00000010-0F89-42FB-BF07-DC3895190C05}"/>
            </c:ext>
          </c:extLst>
        </c:ser>
        <c:dLbls>
          <c:showLegendKey val="0"/>
          <c:showVal val="0"/>
          <c:showCatName val="0"/>
          <c:showSerName val="0"/>
          <c:showPercent val="0"/>
          <c:showBubbleSize val="0"/>
        </c:dLbls>
        <c:gapWidth val="150"/>
        <c:shape val="box"/>
        <c:axId val="548008848"/>
        <c:axId val="548008432"/>
        <c:axId val="0"/>
      </c:bar3DChart>
      <c:catAx>
        <c:axId val="548008848"/>
        <c:scaling>
          <c:orientation val="minMax"/>
        </c:scaling>
        <c:delete val="0"/>
        <c:axPos val="b"/>
        <c:numFmt formatCode="General" sourceLinked="1"/>
        <c:majorTickMark val="none"/>
        <c:minorTickMark val="none"/>
        <c:tickLblPos val="low"/>
        <c:spPr>
          <a:noFill/>
          <a:ln w="9525" cap="flat" cmpd="sng" algn="ctr">
            <a:solidFill>
              <a:schemeClr val="bg1">
                <a:lumMod val="75000"/>
              </a:schemeClr>
            </a:solidFill>
            <a:round/>
          </a:ln>
          <a:effectLst/>
        </c:spPr>
        <c:txPr>
          <a:bodyPr rot="0" spcFirstLastPara="1" vertOverflow="ellipsis" wrap="square" anchor="ctr" anchorCtr="1"/>
          <a:lstStyle/>
          <a:p>
            <a:pPr>
              <a:defRPr sz="1000" b="0" i="0" u="none" strike="noStrike" kern="1200" baseline="0">
                <a:solidFill>
                  <a:sysClr val="windowText" lastClr="000000"/>
                </a:solidFill>
                <a:latin typeface="+mn-lt"/>
                <a:ea typeface="+mn-ea"/>
                <a:cs typeface="+mn-cs"/>
              </a:defRPr>
            </a:pPr>
            <a:endParaRPr lang="ru-RU"/>
          </a:p>
        </c:txPr>
        <c:crossAx val="548008432"/>
        <c:crosses val="autoZero"/>
        <c:auto val="1"/>
        <c:lblAlgn val="ctr"/>
        <c:lblOffset val="100"/>
        <c:tickLblSkip val="1"/>
        <c:tickMarkSkip val="2"/>
        <c:noMultiLvlLbl val="0"/>
      </c:catAx>
      <c:valAx>
        <c:axId val="548008432"/>
        <c:scaling>
          <c:orientation val="minMax"/>
          <c:max val="7000"/>
          <c:min val="-1000"/>
        </c:scaling>
        <c:delete val="0"/>
        <c:axPos val="l"/>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48008848"/>
        <c:crosses val="autoZero"/>
        <c:crossBetween val="between"/>
        <c:majorUnit val="1000"/>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156876282868864E-2"/>
          <c:y val="0.1299102133193254"/>
          <c:w val="0.87849537135802769"/>
          <c:h val="0.75970253857694392"/>
        </c:manualLayout>
      </c:layout>
      <c:barChart>
        <c:barDir val="col"/>
        <c:grouping val="clustered"/>
        <c:varyColors val="0"/>
        <c:ser>
          <c:idx val="0"/>
          <c:order val="0"/>
          <c:tx>
            <c:strRef>
              <c:f>'[0 Диаграммалар 2016-2020 9 ой.xlsx]ЭК по стран 4д (UZ) (без золот)'!$F$5</c:f>
              <c:strCache>
                <c:ptCount val="1"/>
                <c:pt idx="0">
                  <c:v>2018</c:v>
                </c:pt>
              </c:strCache>
            </c:strRef>
          </c:tx>
          <c:spPr>
            <a:solidFill>
              <a:schemeClr val="accent4">
                <a:lumMod val="75000"/>
              </a:schemeClr>
            </a:solidFill>
          </c:spPr>
          <c:invertIfNegative val="0"/>
          <c:dLbls>
            <c:spPr>
              <a:noFill/>
              <a:ln>
                <a:noFill/>
              </a:ln>
              <a:effectLst/>
            </c:spPr>
            <c:txPr>
              <a:bodyPr rot="-5400000" spcFirstLastPara="1" vertOverflow="ellipsis" wrap="square" lIns="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'[0 Диаграммалар 2016-2020 9 ой.xlsx]ЭК по стран 4д (UZ) (без золот)'!$A$8:$A$14</c:f>
              <c:strCache>
                <c:ptCount val="7"/>
                <c:pt idx="0">
                  <c:v>China</c:v>
                </c:pt>
                <c:pt idx="1">
                  <c:v>Russia</c:v>
                </c:pt>
                <c:pt idx="2">
                  <c:v>Kazakhstan</c:v>
                </c:pt>
                <c:pt idx="3">
                  <c:v>Turkey</c:v>
                </c:pt>
                <c:pt idx="4">
                  <c:v>Kyrgyzstan</c:v>
                </c:pt>
                <c:pt idx="5">
                  <c:v>Afganistan</c:v>
                </c:pt>
                <c:pt idx="6">
                  <c:v>Other countries</c:v>
                </c:pt>
              </c:strCache>
            </c:strRef>
          </c:cat>
          <c:val>
            <c:numRef>
              <c:f>'[0 Диаграммалар 2016-2020 9 ой.xlsx]ЭК по стран 4д (UZ) (без золот)'!$F$8:$F$14</c:f>
              <c:numCache>
                <c:formatCode>_-* #\ ##0_р_._-;\-* #\ ##0_р_._-;_-* "-"??_р_._-;_-@_-</c:formatCode>
                <c:ptCount val="7"/>
                <c:pt idx="0">
                  <c:v>2341.0545500000062</c:v>
                </c:pt>
                <c:pt idx="1">
                  <c:v>1852.3010900000027</c:v>
                </c:pt>
                <c:pt idx="2">
                  <c:v>1346.25891000001</c:v>
                </c:pt>
                <c:pt idx="3">
                  <c:v>797.76580622856989</c:v>
                </c:pt>
                <c:pt idx="4">
                  <c:v>253.02939372857145</c:v>
                </c:pt>
                <c:pt idx="5">
                  <c:v>457.91994199999993</c:v>
                </c:pt>
                <c:pt idx="6">
                  <c:v>1137.4664689428569</c:v>
                </c:pt>
              </c:numCache>
            </c:numRef>
          </c:val>
          <c:extLst>
            <c:ext xmlns:c16="http://schemas.microsoft.com/office/drawing/2014/chart" uri="{C3380CC4-5D6E-409C-BE32-E72D297353CC}">
              <c16:uniqueId val="{00000000-F1CB-4E16-92B0-6A950B19AAFA}"/>
            </c:ext>
          </c:extLst>
        </c:ser>
        <c:ser>
          <c:idx val="1"/>
          <c:order val="1"/>
          <c:tx>
            <c:strRef>
              <c:f>'[0 Диаграммалар 2016-2020 9 ой.xlsx]ЭК по стран 4д (UZ) (без золот)'!$G$5</c:f>
              <c:strCache>
                <c:ptCount val="1"/>
                <c:pt idx="0">
                  <c:v>2019</c:v>
                </c:pt>
              </c:strCache>
            </c:strRef>
          </c:tx>
          <c:spPr>
            <a:solidFill>
              <a:schemeClr val="accent5">
                <a:lumMod val="75000"/>
              </a:schemeClr>
            </a:solidFill>
          </c:spPr>
          <c:invertIfNegative val="0"/>
          <c:dLbls>
            <c:spPr>
              <a:noFill/>
              <a:ln>
                <a:noFill/>
              </a:ln>
              <a:effectLst/>
            </c:spPr>
            <c:txPr>
              <a:bodyPr rot="-5400000" spcFirstLastPara="1" vertOverflow="ellipsis" wrap="square" lIns="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'[0 Диаграммалар 2016-2020 9 ой.xlsx]ЭК по стран 4д (UZ) (без золот)'!$A$8:$A$14</c:f>
              <c:strCache>
                <c:ptCount val="7"/>
                <c:pt idx="0">
                  <c:v>China</c:v>
                </c:pt>
                <c:pt idx="1">
                  <c:v>Russia</c:v>
                </c:pt>
                <c:pt idx="2">
                  <c:v>Kazakhstan</c:v>
                </c:pt>
                <c:pt idx="3">
                  <c:v>Turkey</c:v>
                </c:pt>
                <c:pt idx="4">
                  <c:v>Kyrgyzstan</c:v>
                </c:pt>
                <c:pt idx="5">
                  <c:v>Afganistan</c:v>
                </c:pt>
                <c:pt idx="6">
                  <c:v>Other countries</c:v>
                </c:pt>
              </c:strCache>
            </c:strRef>
          </c:cat>
          <c:val>
            <c:numRef>
              <c:f>'[0 Диаграммалар 2016-2020 9 ой.xlsx]ЭК по стран 4д (UZ) (без золот)'!$G$8:$G$14</c:f>
              <c:numCache>
                <c:formatCode>_-* #\ ##0_р_._-;\-* #\ ##0_р_._-;_-* "-"??_р_._-;_-@_-</c:formatCode>
                <c:ptCount val="7"/>
                <c:pt idx="0">
                  <c:v>1829.2088344400022</c:v>
                </c:pt>
                <c:pt idx="1">
                  <c:v>2030.723749440001</c:v>
                </c:pt>
                <c:pt idx="2">
                  <c:v>1233.8546814400011</c:v>
                </c:pt>
                <c:pt idx="3">
                  <c:v>1086.9771406378377</c:v>
                </c:pt>
                <c:pt idx="4">
                  <c:v>636.04010284920003</c:v>
                </c:pt>
                <c:pt idx="5">
                  <c:v>430.7421099999994</c:v>
                </c:pt>
                <c:pt idx="6">
                  <c:v>1498.6760412021613</c:v>
                </c:pt>
              </c:numCache>
            </c:numRef>
          </c:val>
          <c:extLst>
            <c:ext xmlns:c16="http://schemas.microsoft.com/office/drawing/2014/chart" uri="{C3380CC4-5D6E-409C-BE32-E72D297353CC}">
              <c16:uniqueId val="{00000001-F1CB-4E16-92B0-6A950B19AAFA}"/>
            </c:ext>
          </c:extLst>
        </c:ser>
        <c:ser>
          <c:idx val="2"/>
          <c:order val="2"/>
          <c:tx>
            <c:strRef>
              <c:f>'[0 Диаграммалар 2016-2020 9 ой.xlsx]ЭК по стран 4д (UZ) (без золот)'!$H$5</c:f>
              <c:strCache>
                <c:ptCount val="1"/>
                <c:pt idx="0">
                  <c:v>2020</c:v>
                </c:pt>
              </c:strCache>
            </c:strRef>
          </c:tx>
          <c:spPr>
            <a:solidFill>
              <a:schemeClr val="accent6">
                <a:lumMod val="75000"/>
              </a:schemeClr>
            </a:solidFill>
          </c:spPr>
          <c:invertIfNegative val="0"/>
          <c:dLbls>
            <c:dLbl>
              <c:idx val="0"/>
              <c:layout>
                <c:manualLayout>
                  <c:x val="-4.1050153874421687E-17"/>
                  <c:y val="1.02898857984721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1CB-4E16-92B0-6A950B19AAFA}"/>
                </c:ext>
              </c:extLst>
            </c:dLbl>
            <c:spPr>
              <a:noFill/>
              <a:ln>
                <a:noFill/>
              </a:ln>
              <a:effectLst/>
            </c:spPr>
            <c:txPr>
              <a:bodyPr rot="-5400000" spcFirstLastPara="1" vertOverflow="ellipsis" vert="horz" wrap="square" lIns="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'[0 Диаграммалар 2016-2020 9 ой.xlsx]ЭК по стран 4д (UZ) (без золот)'!$A$8:$A$14</c:f>
              <c:strCache>
                <c:ptCount val="7"/>
                <c:pt idx="0">
                  <c:v>China</c:v>
                </c:pt>
                <c:pt idx="1">
                  <c:v>Russia</c:v>
                </c:pt>
                <c:pt idx="2">
                  <c:v>Kazakhstan</c:v>
                </c:pt>
                <c:pt idx="3">
                  <c:v>Turkey</c:v>
                </c:pt>
                <c:pt idx="4">
                  <c:v>Kyrgyzstan</c:v>
                </c:pt>
                <c:pt idx="5">
                  <c:v>Afganistan</c:v>
                </c:pt>
                <c:pt idx="6">
                  <c:v>Other countries</c:v>
                </c:pt>
              </c:strCache>
            </c:strRef>
          </c:cat>
          <c:val>
            <c:numRef>
              <c:f>'[0 Диаграммалар 2016-2020 9 ой.xlsx]ЭК по стран 4д (UZ) (без золот)'!$H$8:$H$14</c:f>
              <c:numCache>
                <c:formatCode>_-* #\ ##0_р_._-;\-* #\ ##0_р_._-;_-* "-"??_р_._-;_-@_-</c:formatCode>
                <c:ptCount val="7"/>
                <c:pt idx="0">
                  <c:v>1341.9121791479986</c:v>
                </c:pt>
                <c:pt idx="1">
                  <c:v>1166.6355580000018</c:v>
                </c:pt>
                <c:pt idx="2">
                  <c:v>729.33831700000019</c:v>
                </c:pt>
                <c:pt idx="3">
                  <c:v>989.51589200000024</c:v>
                </c:pt>
                <c:pt idx="4">
                  <c:v>708.19395918099985</c:v>
                </c:pt>
                <c:pt idx="5">
                  <c:v>444.10398164300011</c:v>
                </c:pt>
                <c:pt idx="6">
                  <c:v>1595.7392472124998</c:v>
                </c:pt>
              </c:numCache>
            </c:numRef>
          </c:val>
          <c:extLst>
            <c:ext xmlns:c16="http://schemas.microsoft.com/office/drawing/2014/chart" uri="{C3380CC4-5D6E-409C-BE32-E72D297353CC}">
              <c16:uniqueId val="{00000003-F1CB-4E16-92B0-6A950B19AAFA}"/>
            </c:ext>
          </c:extLst>
        </c:ser>
        <c:dLbls>
          <c:dLblPos val="outEnd"/>
          <c:showLegendKey val="0"/>
          <c:showVal val="1"/>
          <c:showCatName val="0"/>
          <c:showSerName val="0"/>
          <c:showPercent val="0"/>
          <c:showBubbleSize val="0"/>
        </c:dLbls>
        <c:gapWidth val="130"/>
        <c:overlap val="-40"/>
        <c:axId val="348924624"/>
        <c:axId val="348922960"/>
      </c:barChart>
      <c:catAx>
        <c:axId val="348924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48922960"/>
        <c:crosses val="autoZero"/>
        <c:auto val="1"/>
        <c:lblAlgn val="ctr"/>
        <c:lblOffset val="100"/>
        <c:noMultiLvlLbl val="0"/>
      </c:catAx>
      <c:valAx>
        <c:axId val="348922960"/>
        <c:scaling>
          <c:orientation val="minMax"/>
          <c:max val="2400"/>
        </c:scaling>
        <c:delete val="0"/>
        <c:axPos val="l"/>
        <c:numFmt formatCode="_-* #\ ##0_р_._-;\-* #\ ##0_р_._-;_-* &quot;-&quot;??_р_.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48924624"/>
        <c:crosses val="autoZero"/>
        <c:crossBetween val="between"/>
        <c:majorUnit val="200"/>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504461424904528E-2"/>
          <c:y val="3.7090560173659227E-2"/>
          <c:w val="0.6432720587005184"/>
          <c:h val="0.84049807368153762"/>
        </c:manualLayout>
      </c:layout>
      <c:bar3DChart>
        <c:barDir val="col"/>
        <c:grouping val="percentStacked"/>
        <c:varyColors val="0"/>
        <c:ser>
          <c:idx val="0"/>
          <c:order val="0"/>
          <c:tx>
            <c:strRef>
              <c:f>'ЭК по товар (Тест)'!$A$4</c:f>
              <c:strCache>
                <c:ptCount val="1"/>
                <c:pt idx="0">
                  <c:v>Other groups of goods</c:v>
                </c:pt>
              </c:strCache>
            </c:strRef>
          </c:tx>
          <c:spPr>
            <a:solidFill>
              <a:srgbClr val="00B0F0"/>
            </a:solidFill>
            <a:ln>
              <a:noFill/>
            </a:ln>
            <a:effectLst>
              <a:outerShdw blurRad="50800" dist="50800" dir="3000000" algn="ctr" rotWithShape="0">
                <a:srgbClr val="000000">
                  <a:alpha val="43137"/>
                </a:srgbClr>
              </a:outerShdw>
            </a:effectLst>
            <a:sp3d/>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'ЭК по товар (Тест)'!$AE$1:$AG$1</c:f>
              <c:numCache>
                <c:formatCode>General</c:formatCode>
                <c:ptCount val="3"/>
                <c:pt idx="0">
                  <c:v>2018</c:v>
                </c:pt>
                <c:pt idx="1">
                  <c:v>2019</c:v>
                </c:pt>
                <c:pt idx="2">
                  <c:v>2020</c:v>
                </c:pt>
              </c:numCache>
            </c:numRef>
          </c:cat>
          <c:val>
            <c:numRef>
              <c:f>'ЭК по товар (Тест)'!$AE$4:$AG$4</c:f>
              <c:numCache>
                <c:formatCode>0%</c:formatCode>
                <c:ptCount val="3"/>
                <c:pt idx="0">
                  <c:v>0.13049823223449344</c:v>
                </c:pt>
                <c:pt idx="1">
                  <c:v>8.6337020769733736E-2</c:v>
                </c:pt>
                <c:pt idx="2">
                  <c:v>9.0858462158265665E-2</c:v>
                </c:pt>
              </c:numCache>
            </c:numRef>
          </c:val>
          <c:extLst>
            <c:ext xmlns:c16="http://schemas.microsoft.com/office/drawing/2014/chart" uri="{C3380CC4-5D6E-409C-BE32-E72D297353CC}">
              <c16:uniqueId val="{00000000-55FA-417D-AE1E-1DC4DA464E0F}"/>
            </c:ext>
          </c:extLst>
        </c:ser>
        <c:ser>
          <c:idx val="1"/>
          <c:order val="1"/>
          <c:tx>
            <c:strRef>
              <c:f>'ЭК по товар (Тест)'!$A$5</c:f>
              <c:strCache>
                <c:ptCount val="1"/>
                <c:pt idx="0">
                  <c:v>Products of chemical industry</c:v>
                </c:pt>
              </c:strCache>
            </c:strRef>
          </c:tx>
          <c:spPr>
            <a:solidFill>
              <a:schemeClr val="bg1">
                <a:lumMod val="50000"/>
              </a:schemeClr>
            </a:solidFill>
            <a:ln>
              <a:noFill/>
            </a:ln>
            <a:effectLst/>
            <a:sp3d/>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'ЭК по товар (Тест)'!$AE$1:$AG$1</c:f>
              <c:numCache>
                <c:formatCode>General</c:formatCode>
                <c:ptCount val="3"/>
                <c:pt idx="0">
                  <c:v>2018</c:v>
                </c:pt>
                <c:pt idx="1">
                  <c:v>2019</c:v>
                </c:pt>
                <c:pt idx="2">
                  <c:v>2020</c:v>
                </c:pt>
              </c:numCache>
            </c:numRef>
          </c:cat>
          <c:val>
            <c:numRef>
              <c:f>'ЭК по товар (Тест)'!$AE$5:$AG$5</c:f>
              <c:numCache>
                <c:formatCode>0%</c:formatCode>
                <c:ptCount val="3"/>
                <c:pt idx="0">
                  <c:v>3.8900483873071275E-2</c:v>
                </c:pt>
                <c:pt idx="1">
                  <c:v>3.3293469072413158E-2</c:v>
                </c:pt>
                <c:pt idx="2">
                  <c:v>3.9597722955081745E-2</c:v>
                </c:pt>
              </c:numCache>
            </c:numRef>
          </c:val>
          <c:extLst>
            <c:ext xmlns:c16="http://schemas.microsoft.com/office/drawing/2014/chart" uri="{C3380CC4-5D6E-409C-BE32-E72D297353CC}">
              <c16:uniqueId val="{00000001-55FA-417D-AE1E-1DC4DA464E0F}"/>
            </c:ext>
          </c:extLst>
        </c:ser>
        <c:ser>
          <c:idx val="2"/>
          <c:order val="2"/>
          <c:tx>
            <c:strRef>
              <c:f>'ЭК по товар (Тест)'!$A$6</c:f>
              <c:strCache>
                <c:ptCount val="1"/>
                <c:pt idx="0">
                  <c:v>Nonprecious metals and products of them </c:v>
                </c:pt>
              </c:strCache>
            </c:strRef>
          </c:tx>
          <c:spPr>
            <a:solidFill>
              <a:schemeClr val="accent2"/>
            </a:solidFill>
            <a:ln>
              <a:noFill/>
            </a:ln>
            <a:effectLst/>
            <a:sp3d/>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'ЭК по товар (Тест)'!$AE$1:$AG$1</c:f>
              <c:numCache>
                <c:formatCode>General</c:formatCode>
                <c:ptCount val="3"/>
                <c:pt idx="0">
                  <c:v>2018</c:v>
                </c:pt>
                <c:pt idx="1">
                  <c:v>2019</c:v>
                </c:pt>
                <c:pt idx="2">
                  <c:v>2020</c:v>
                </c:pt>
              </c:numCache>
            </c:numRef>
          </c:cat>
          <c:val>
            <c:numRef>
              <c:f>'ЭК по товар (Тест)'!$AE$6:$AG$6</c:f>
              <c:numCache>
                <c:formatCode>0%</c:formatCode>
                <c:ptCount val="3"/>
                <c:pt idx="0">
                  <c:v>7.2085704530947509E-2</c:v>
                </c:pt>
                <c:pt idx="1">
                  <c:v>8.0035363076479418E-2</c:v>
                </c:pt>
                <c:pt idx="2">
                  <c:v>8.7592613514864137E-2</c:v>
                </c:pt>
              </c:numCache>
            </c:numRef>
          </c:val>
          <c:extLst>
            <c:ext xmlns:c16="http://schemas.microsoft.com/office/drawing/2014/chart" uri="{C3380CC4-5D6E-409C-BE32-E72D297353CC}">
              <c16:uniqueId val="{00000002-55FA-417D-AE1E-1DC4DA464E0F}"/>
            </c:ext>
          </c:extLst>
        </c:ser>
        <c:ser>
          <c:idx val="3"/>
          <c:order val="3"/>
          <c:tx>
            <c:strRef>
              <c:f>'ЭК по товар (Тест)'!$A$7</c:f>
              <c:strCache>
                <c:ptCount val="1"/>
                <c:pt idx="0">
                  <c:v>Vegetable products </c:v>
                </c:pt>
              </c:strCache>
            </c:strRef>
          </c:tx>
          <c:spPr>
            <a:solidFill>
              <a:srgbClr val="92D050"/>
            </a:solidFill>
            <a:ln>
              <a:noFill/>
            </a:ln>
            <a:effectLst/>
            <a:sp3d/>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'ЭК по товар (Тест)'!$AE$1:$AG$1</c:f>
              <c:numCache>
                <c:formatCode>General</c:formatCode>
                <c:ptCount val="3"/>
                <c:pt idx="0">
                  <c:v>2018</c:v>
                </c:pt>
                <c:pt idx="1">
                  <c:v>2019</c:v>
                </c:pt>
                <c:pt idx="2">
                  <c:v>2020</c:v>
                </c:pt>
              </c:numCache>
            </c:numRef>
          </c:cat>
          <c:val>
            <c:numRef>
              <c:f>'ЭК по товар (Тест)'!$AE$7:$AG$7</c:f>
              <c:numCache>
                <c:formatCode>0%</c:formatCode>
                <c:ptCount val="3"/>
                <c:pt idx="0">
                  <c:v>8.8826657226403913E-2</c:v>
                </c:pt>
                <c:pt idx="1">
                  <c:v>0.10035990484526576</c:v>
                </c:pt>
                <c:pt idx="2">
                  <c:v>9.5314895860908258E-2</c:v>
                </c:pt>
              </c:numCache>
            </c:numRef>
          </c:val>
          <c:extLst>
            <c:ext xmlns:c16="http://schemas.microsoft.com/office/drawing/2014/chart" uri="{C3380CC4-5D6E-409C-BE32-E72D297353CC}">
              <c16:uniqueId val="{00000003-55FA-417D-AE1E-1DC4DA464E0F}"/>
            </c:ext>
          </c:extLst>
        </c:ser>
        <c:ser>
          <c:idx val="4"/>
          <c:order val="4"/>
          <c:tx>
            <c:strRef>
              <c:f>'ЭК по товар (Тест)'!$A$8</c:f>
              <c:strCache>
                <c:ptCount val="1"/>
                <c:pt idx="0">
                  <c:v>Mineral products</c:v>
                </c:pt>
              </c:strCache>
            </c:strRef>
          </c:tx>
          <c:spPr>
            <a:solidFill>
              <a:srgbClr val="E6F4E6"/>
            </a:solidFill>
            <a:ln>
              <a:noFill/>
            </a:ln>
            <a:effectLst/>
            <a:sp3d/>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'ЭК по товар (Тест)'!$AE$1:$AG$1</c:f>
              <c:numCache>
                <c:formatCode>General</c:formatCode>
                <c:ptCount val="3"/>
                <c:pt idx="0">
                  <c:v>2018</c:v>
                </c:pt>
                <c:pt idx="1">
                  <c:v>2019</c:v>
                </c:pt>
                <c:pt idx="2">
                  <c:v>2020</c:v>
                </c:pt>
              </c:numCache>
            </c:numRef>
          </c:cat>
          <c:val>
            <c:numRef>
              <c:f>'ЭК по товар (Тест)'!$AE$8:$AG$8</c:f>
              <c:numCache>
                <c:formatCode>0%</c:formatCode>
                <c:ptCount val="3"/>
                <c:pt idx="0">
                  <c:v>0.2597872872746142</c:v>
                </c:pt>
                <c:pt idx="1">
                  <c:v>0.18161067122128016</c:v>
                </c:pt>
                <c:pt idx="2">
                  <c:v>5.5900851168369625E-2</c:v>
                </c:pt>
              </c:numCache>
            </c:numRef>
          </c:val>
          <c:extLst>
            <c:ext xmlns:c16="http://schemas.microsoft.com/office/drawing/2014/chart" uri="{C3380CC4-5D6E-409C-BE32-E72D297353CC}">
              <c16:uniqueId val="{00000004-55FA-417D-AE1E-1DC4DA464E0F}"/>
            </c:ext>
          </c:extLst>
        </c:ser>
        <c:ser>
          <c:idx val="5"/>
          <c:order val="5"/>
          <c:tx>
            <c:strRef>
              <c:f>'ЭК по товар (Тест)'!$A$9</c:f>
              <c:strCache>
                <c:ptCount val="1"/>
                <c:pt idx="0">
                  <c:v>Textiles and textile product </c:v>
                </c:pt>
              </c:strCache>
            </c:strRef>
          </c:tx>
          <c:spPr>
            <a:solidFill>
              <a:schemeClr val="accent5">
                <a:lumMod val="60000"/>
                <a:lumOff val="40000"/>
              </a:schemeClr>
            </a:solidFill>
            <a:ln>
              <a:noFill/>
            </a:ln>
            <a:effectLst/>
            <a:sp3d/>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'ЭК по товар (Тест)'!$AE$1:$AG$1</c:f>
              <c:numCache>
                <c:formatCode>General</c:formatCode>
                <c:ptCount val="3"/>
                <c:pt idx="0">
                  <c:v>2018</c:v>
                </c:pt>
                <c:pt idx="1">
                  <c:v>2019</c:v>
                </c:pt>
                <c:pt idx="2">
                  <c:v>2020</c:v>
                </c:pt>
              </c:numCache>
            </c:numRef>
          </c:cat>
          <c:val>
            <c:numRef>
              <c:f>'ЭК по товар (Тест)'!$AE$9:$AG$9</c:f>
              <c:numCache>
                <c:formatCode>0%</c:formatCode>
                <c:ptCount val="3"/>
                <c:pt idx="0">
                  <c:v>0.13959434746187033</c:v>
                </c:pt>
                <c:pt idx="1">
                  <c:v>0.14517136177680096</c:v>
                </c:pt>
                <c:pt idx="2">
                  <c:v>0.16673705198348859</c:v>
                </c:pt>
              </c:numCache>
            </c:numRef>
          </c:val>
          <c:extLst>
            <c:ext xmlns:c16="http://schemas.microsoft.com/office/drawing/2014/chart" uri="{C3380CC4-5D6E-409C-BE32-E72D297353CC}">
              <c16:uniqueId val="{00000005-55FA-417D-AE1E-1DC4DA464E0F}"/>
            </c:ext>
          </c:extLst>
        </c:ser>
        <c:ser>
          <c:idx val="6"/>
          <c:order val="6"/>
          <c:tx>
            <c:strRef>
              <c:f>'ЭК по товар (Тест)'!$A$10</c:f>
              <c:strCache>
                <c:ptCount val="1"/>
                <c:pt idx="0">
                  <c:v>Precious metals and stones</c:v>
                </c:pt>
              </c:strCache>
            </c:strRef>
          </c:tx>
          <c:spPr>
            <a:solidFill>
              <a:srgbClr val="FFC000"/>
            </a:solidFill>
            <a:ln>
              <a:noFill/>
            </a:ln>
            <a:effectLst/>
            <a:sp3d/>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'ЭК по товар (Тест)'!$AE$1:$AG$1</c:f>
              <c:numCache>
                <c:formatCode>General</c:formatCode>
                <c:ptCount val="3"/>
                <c:pt idx="0">
                  <c:v>2018</c:v>
                </c:pt>
                <c:pt idx="1">
                  <c:v>2019</c:v>
                </c:pt>
                <c:pt idx="2">
                  <c:v>2020</c:v>
                </c:pt>
              </c:numCache>
            </c:numRef>
          </c:cat>
          <c:val>
            <c:numRef>
              <c:f>'ЭК по товар (Тест)'!$AE$10:$AG$10</c:f>
              <c:numCache>
                <c:formatCode>0%</c:formatCode>
                <c:ptCount val="3"/>
                <c:pt idx="0">
                  <c:v>0.27030728739859938</c:v>
                </c:pt>
                <c:pt idx="1">
                  <c:v>0.37319220923802687</c:v>
                </c:pt>
                <c:pt idx="2">
                  <c:v>0.46399840235902201</c:v>
                </c:pt>
              </c:numCache>
            </c:numRef>
          </c:val>
          <c:extLst>
            <c:ext xmlns:c16="http://schemas.microsoft.com/office/drawing/2014/chart" uri="{C3380CC4-5D6E-409C-BE32-E72D297353CC}">
              <c16:uniqueId val="{00000006-55FA-417D-AE1E-1DC4DA464E0F}"/>
            </c:ext>
          </c:extLst>
        </c:ser>
        <c:dLbls>
          <c:showLegendKey val="0"/>
          <c:showVal val="1"/>
          <c:showCatName val="0"/>
          <c:showSerName val="0"/>
          <c:showPercent val="0"/>
          <c:showBubbleSize val="0"/>
        </c:dLbls>
        <c:gapWidth val="70"/>
        <c:shape val="box"/>
        <c:axId val="1265146767"/>
        <c:axId val="1265159247"/>
        <c:axId val="0"/>
      </c:bar3DChart>
      <c:catAx>
        <c:axId val="12651467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1265159247"/>
        <c:crosses val="autoZero"/>
        <c:auto val="1"/>
        <c:lblAlgn val="ctr"/>
        <c:lblOffset val="100"/>
        <c:noMultiLvlLbl val="0"/>
      </c:catAx>
      <c:valAx>
        <c:axId val="1265159247"/>
        <c:scaling>
          <c:orientation val="minMax"/>
        </c:scaling>
        <c:delete val="1"/>
        <c:axPos val="l"/>
        <c:numFmt formatCode="0%" sourceLinked="1"/>
        <c:majorTickMark val="none"/>
        <c:minorTickMark val="none"/>
        <c:tickLblPos val="nextTo"/>
        <c:crossAx val="1265146767"/>
        <c:crosses val="autoZero"/>
        <c:crossBetween val="between"/>
      </c:valAx>
      <c:spPr>
        <a:noFill/>
        <a:ln>
          <a:noFill/>
        </a:ln>
        <a:effectLst/>
      </c:spPr>
    </c:plotArea>
    <c:legend>
      <c:legendPos val="r"/>
      <c:layout>
        <c:manualLayout>
          <c:xMode val="edge"/>
          <c:yMode val="edge"/>
          <c:x val="0.65543625553328666"/>
          <c:y val="8.6798887296869048E-2"/>
          <c:w val="0.33181585489488846"/>
          <c:h val="0.7359287980301338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'[0 Диаграммалар 2016-2020 9 ой.xlsx]Имп. тов по группам 5д'!$AC$32</c:f>
              <c:strCache>
                <c:ptCount val="1"/>
                <c:pt idx="0">
                  <c:v>Other groups of goods</c:v>
                </c:pt>
              </c:strCache>
            </c:strRef>
          </c:tx>
          <c:spPr>
            <a:solidFill>
              <a:srgbClr val="00B0F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 Диаграммалар 2016-2020 9 ой.xlsx]Имп. тов по группам 5д'!$AD$31:$AF$31</c:f>
              <c:numCache>
                <c:formatCode>General</c:formatCode>
                <c:ptCount val="3"/>
                <c:pt idx="0">
                  <c:v>2018</c:v>
                </c:pt>
                <c:pt idx="1">
                  <c:v>2019</c:v>
                </c:pt>
                <c:pt idx="2">
                  <c:v>2020</c:v>
                </c:pt>
              </c:numCache>
            </c:numRef>
          </c:cat>
          <c:val>
            <c:numRef>
              <c:f>'[0 Диаграммалар 2016-2020 9 ой.xlsx]Имп. тов по группам 5д'!$AD$32:$AF$32</c:f>
              <c:numCache>
                <c:formatCode>0.0%</c:formatCode>
                <c:ptCount val="3"/>
                <c:pt idx="0">
                  <c:v>0.2024903214174934</c:v>
                </c:pt>
                <c:pt idx="1">
                  <c:v>0.21994983353286657</c:v>
                </c:pt>
                <c:pt idx="2">
                  <c:v>0.24469188834773345</c:v>
                </c:pt>
              </c:numCache>
            </c:numRef>
          </c:val>
          <c:extLst>
            <c:ext xmlns:c16="http://schemas.microsoft.com/office/drawing/2014/chart" uri="{C3380CC4-5D6E-409C-BE32-E72D297353CC}">
              <c16:uniqueId val="{00000000-B62F-40A0-8C01-47975B89FBEE}"/>
            </c:ext>
          </c:extLst>
        </c:ser>
        <c:ser>
          <c:idx val="1"/>
          <c:order val="1"/>
          <c:tx>
            <c:strRef>
              <c:f>'[0 Диаграммалар 2016-2020 9 ой.xlsx]Имп. тов по группам 5д'!$AC$33</c:f>
              <c:strCache>
                <c:ptCount val="1"/>
                <c:pt idx="0">
                  <c:v>Plastic materials and products</c:v>
                </c:pt>
              </c:strCache>
            </c:strRef>
          </c:tx>
          <c:spPr>
            <a:solidFill>
              <a:schemeClr val="bg1">
                <a:lumMod val="5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 Диаграммалар 2016-2020 9 ой.xlsx]Имп. тов по группам 5д'!$AD$31:$AF$31</c:f>
              <c:numCache>
                <c:formatCode>General</c:formatCode>
                <c:ptCount val="3"/>
                <c:pt idx="0">
                  <c:v>2018</c:v>
                </c:pt>
                <c:pt idx="1">
                  <c:v>2019</c:v>
                </c:pt>
                <c:pt idx="2">
                  <c:v>2020</c:v>
                </c:pt>
              </c:numCache>
            </c:numRef>
          </c:cat>
          <c:val>
            <c:numRef>
              <c:f>'[0 Диаграммалар 2016-2020 9 ой.xlsx]Имп. тов по группам 5д'!$AD$33:$AF$33</c:f>
              <c:numCache>
                <c:formatCode>0.0%</c:formatCode>
                <c:ptCount val="3"/>
                <c:pt idx="0">
                  <c:v>5.4240041863683953E-2</c:v>
                </c:pt>
                <c:pt idx="1">
                  <c:v>5.425998018080655E-2</c:v>
                </c:pt>
                <c:pt idx="2">
                  <c:v>5.2631338881757417E-2</c:v>
                </c:pt>
              </c:numCache>
            </c:numRef>
          </c:val>
          <c:extLst>
            <c:ext xmlns:c16="http://schemas.microsoft.com/office/drawing/2014/chart" uri="{C3380CC4-5D6E-409C-BE32-E72D297353CC}">
              <c16:uniqueId val="{00000001-B62F-40A0-8C01-47975B89FBEE}"/>
            </c:ext>
          </c:extLst>
        </c:ser>
        <c:ser>
          <c:idx val="2"/>
          <c:order val="2"/>
          <c:tx>
            <c:strRef>
              <c:f>'[0 Диаграммалар 2016-2020 9 ой.xlsx]Имп. тов по группам 5д'!$AC$34</c:f>
              <c:strCache>
                <c:ptCount val="1"/>
                <c:pt idx="0">
                  <c:v>Mineral products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 Диаграммалар 2016-2020 9 ой.xlsx]Имп. тов по группам 5д'!$AD$31:$AF$31</c:f>
              <c:numCache>
                <c:formatCode>General</c:formatCode>
                <c:ptCount val="3"/>
                <c:pt idx="0">
                  <c:v>2018</c:v>
                </c:pt>
                <c:pt idx="1">
                  <c:v>2019</c:v>
                </c:pt>
                <c:pt idx="2">
                  <c:v>2020</c:v>
                </c:pt>
              </c:numCache>
            </c:numRef>
          </c:cat>
          <c:val>
            <c:numRef>
              <c:f>'[0 Диаграммалар 2016-2020 9 ой.xlsx]Имп. тов по группам 5д'!$AD$34:$AF$34</c:f>
              <c:numCache>
                <c:formatCode>0.0%</c:formatCode>
                <c:ptCount val="3"/>
                <c:pt idx="0">
                  <c:v>5.8342391883126683E-2</c:v>
                </c:pt>
                <c:pt idx="1">
                  <c:v>6.5886045297716536E-2</c:v>
                </c:pt>
                <c:pt idx="2">
                  <c:v>6.3624751178373892E-2</c:v>
                </c:pt>
              </c:numCache>
            </c:numRef>
          </c:val>
          <c:extLst>
            <c:ext xmlns:c16="http://schemas.microsoft.com/office/drawing/2014/chart" uri="{C3380CC4-5D6E-409C-BE32-E72D297353CC}">
              <c16:uniqueId val="{00000002-B62F-40A0-8C01-47975B89FBEE}"/>
            </c:ext>
          </c:extLst>
        </c:ser>
        <c:ser>
          <c:idx val="3"/>
          <c:order val="3"/>
          <c:tx>
            <c:strRef>
              <c:f>'[0 Диаграммалар 2016-2020 9 ой.xlsx]Имп. тов по группам 5д'!$AC$35</c:f>
              <c:strCache>
                <c:ptCount val="1"/>
                <c:pt idx="0">
                  <c:v>Products of chemical industry</c:v>
                </c:pt>
              </c:strCache>
            </c:strRef>
          </c:tx>
          <c:spPr>
            <a:solidFill>
              <a:srgbClr val="92D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 Диаграммалар 2016-2020 9 ой.xlsx]Имп. тов по группам 5д'!$AD$31:$AF$31</c:f>
              <c:numCache>
                <c:formatCode>General</c:formatCode>
                <c:ptCount val="3"/>
                <c:pt idx="0">
                  <c:v>2018</c:v>
                </c:pt>
                <c:pt idx="1">
                  <c:v>2019</c:v>
                </c:pt>
                <c:pt idx="2">
                  <c:v>2020</c:v>
                </c:pt>
              </c:numCache>
            </c:numRef>
          </c:cat>
          <c:val>
            <c:numRef>
              <c:f>'[0 Диаграммалар 2016-2020 9 ой.xlsx]Имп. тов по группам 5д'!$AD$35:$AF$35</c:f>
              <c:numCache>
                <c:formatCode>0.0%</c:formatCode>
                <c:ptCount val="3"/>
                <c:pt idx="0">
                  <c:v>8.7614285140891535E-2</c:v>
                </c:pt>
                <c:pt idx="1">
                  <c:v>9.2867342717075266E-2</c:v>
                </c:pt>
                <c:pt idx="2">
                  <c:v>0.11802309506146168</c:v>
                </c:pt>
              </c:numCache>
            </c:numRef>
          </c:val>
          <c:extLst>
            <c:ext xmlns:c16="http://schemas.microsoft.com/office/drawing/2014/chart" uri="{C3380CC4-5D6E-409C-BE32-E72D297353CC}">
              <c16:uniqueId val="{00000003-B62F-40A0-8C01-47975B89FBEE}"/>
            </c:ext>
          </c:extLst>
        </c:ser>
        <c:ser>
          <c:idx val="4"/>
          <c:order val="4"/>
          <c:tx>
            <c:strRef>
              <c:f>'[0 Диаграммалар 2016-2020 9 ой.xlsx]Имп. тов по группам 5д'!$AC$36</c:f>
              <c:strCache>
                <c:ptCount val="1"/>
                <c:pt idx="0">
                  <c:v>Resources of unearthly, air and water transports</c:v>
                </c:pt>
              </c:strCache>
            </c:strRef>
          </c:tx>
          <c:spPr>
            <a:solidFill>
              <a:schemeClr val="bg2"/>
            </a:solidFill>
            <a:ln>
              <a:noFill/>
            </a:ln>
            <a:effectLst/>
            <a:sp3d/>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 Диаграммалар 2016-2020 9 ой.xlsx]Имп. тов по группам 5д'!$AD$31:$AF$31</c:f>
              <c:numCache>
                <c:formatCode>General</c:formatCode>
                <c:ptCount val="3"/>
                <c:pt idx="0">
                  <c:v>2018</c:v>
                </c:pt>
                <c:pt idx="1">
                  <c:v>2019</c:v>
                </c:pt>
                <c:pt idx="2">
                  <c:v>2020</c:v>
                </c:pt>
              </c:numCache>
            </c:numRef>
          </c:cat>
          <c:val>
            <c:numRef>
              <c:f>'[0 Диаграммалар 2016-2020 9 ой.xlsx]Имп. тов по группам 5д'!$AD$36:$AF$36</c:f>
              <c:numCache>
                <c:formatCode>0.0%</c:formatCode>
                <c:ptCount val="3"/>
                <c:pt idx="0">
                  <c:v>0.13836583569451155</c:v>
                </c:pt>
                <c:pt idx="1">
                  <c:v>0.12447380783722768</c:v>
                </c:pt>
                <c:pt idx="2">
                  <c:v>0.10869740747640814</c:v>
                </c:pt>
              </c:numCache>
            </c:numRef>
          </c:val>
          <c:extLst>
            <c:ext xmlns:c16="http://schemas.microsoft.com/office/drawing/2014/chart" uri="{C3380CC4-5D6E-409C-BE32-E72D297353CC}">
              <c16:uniqueId val="{00000004-B62F-40A0-8C01-47975B89FBEE}"/>
            </c:ext>
          </c:extLst>
        </c:ser>
        <c:ser>
          <c:idx val="5"/>
          <c:order val="5"/>
          <c:tx>
            <c:strRef>
              <c:f>'[0 Диаграммалар 2016-2020 9 ой.xlsx]Имп. тов по группам 5д'!$AC$37</c:f>
              <c:strCache>
                <c:ptCount val="1"/>
                <c:pt idx="0">
                  <c:v>Nonprecious metals and products of them</c:v>
                </c:pt>
              </c:strCache>
            </c:strRef>
          </c:tx>
          <c:spPr>
            <a:solidFill>
              <a:schemeClr val="accent5"/>
            </a:solidFill>
            <a:ln>
              <a:noFill/>
            </a:ln>
            <a:effectLst/>
            <a:sp3d/>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 Диаграммалар 2016-2020 9 ой.xlsx]Имп. тов по группам 5д'!$AD$31:$AF$31</c:f>
              <c:numCache>
                <c:formatCode>General</c:formatCode>
                <c:ptCount val="3"/>
                <c:pt idx="0">
                  <c:v>2018</c:v>
                </c:pt>
                <c:pt idx="1">
                  <c:v>2019</c:v>
                </c:pt>
                <c:pt idx="2">
                  <c:v>2020</c:v>
                </c:pt>
              </c:numCache>
            </c:numRef>
          </c:cat>
          <c:val>
            <c:numRef>
              <c:f>'[0 Диаграммалар 2016-2020 9 ой.xlsx]Имп. тов по группам 5д'!$AD$37:$AF$37</c:f>
              <c:numCache>
                <c:formatCode>0.0%</c:formatCode>
                <c:ptCount val="3"/>
                <c:pt idx="0">
                  <c:v>0.12826358023771822</c:v>
                </c:pt>
                <c:pt idx="1">
                  <c:v>0.12875818698263611</c:v>
                </c:pt>
                <c:pt idx="2">
                  <c:v>0.11847067624929504</c:v>
                </c:pt>
              </c:numCache>
            </c:numRef>
          </c:val>
          <c:extLst>
            <c:ext xmlns:c16="http://schemas.microsoft.com/office/drawing/2014/chart" uri="{C3380CC4-5D6E-409C-BE32-E72D297353CC}">
              <c16:uniqueId val="{00000005-B62F-40A0-8C01-47975B89FBEE}"/>
            </c:ext>
          </c:extLst>
        </c:ser>
        <c:ser>
          <c:idx val="6"/>
          <c:order val="6"/>
          <c:tx>
            <c:strRef>
              <c:f>'[0 Диаграммалар 2016-2020 9 ой.xlsx]Имп. тов по группам 5д'!$AC$38</c:f>
              <c:strCache>
                <c:ptCount val="1"/>
                <c:pt idx="0">
                  <c:v>Machinery, equipment and mechanism</c:v>
                </c:pt>
              </c:strCache>
            </c:strRef>
          </c:tx>
          <c:spPr>
            <a:solidFill>
              <a:schemeClr val="accent4"/>
            </a:solidFill>
            <a:ln>
              <a:noFill/>
            </a:ln>
            <a:effectLst/>
            <a:sp3d/>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 Диаграммалар 2016-2020 9 ой.xlsx]Имп. тов по группам 5д'!$AD$31:$AF$31</c:f>
              <c:numCache>
                <c:formatCode>General</c:formatCode>
                <c:ptCount val="3"/>
                <c:pt idx="0">
                  <c:v>2018</c:v>
                </c:pt>
                <c:pt idx="1">
                  <c:v>2019</c:v>
                </c:pt>
                <c:pt idx="2">
                  <c:v>2020</c:v>
                </c:pt>
              </c:numCache>
            </c:numRef>
          </c:cat>
          <c:val>
            <c:numRef>
              <c:f>'[0 Диаграммалар 2016-2020 9 ой.xlsx]Имп. тов по группам 5д'!$AD$38:$AF$38</c:f>
              <c:numCache>
                <c:formatCode>0.0%</c:formatCode>
                <c:ptCount val="3"/>
                <c:pt idx="0">
                  <c:v>0.33068354376257447</c:v>
                </c:pt>
                <c:pt idx="1">
                  <c:v>0.31380480345167144</c:v>
                </c:pt>
                <c:pt idx="2">
                  <c:v>0.29386084280497043</c:v>
                </c:pt>
              </c:numCache>
            </c:numRef>
          </c:val>
          <c:extLst>
            <c:ext xmlns:c16="http://schemas.microsoft.com/office/drawing/2014/chart" uri="{C3380CC4-5D6E-409C-BE32-E72D297353CC}">
              <c16:uniqueId val="{00000006-B62F-40A0-8C01-47975B89FBEE}"/>
            </c:ext>
          </c:extLst>
        </c:ser>
        <c:dLbls>
          <c:showLegendKey val="0"/>
          <c:showVal val="0"/>
          <c:showCatName val="0"/>
          <c:showSerName val="0"/>
          <c:showPercent val="0"/>
          <c:showBubbleSize val="0"/>
        </c:dLbls>
        <c:gapWidth val="70"/>
        <c:shape val="box"/>
        <c:axId val="996655056"/>
        <c:axId val="996640912"/>
        <c:axId val="0"/>
      </c:bar3DChart>
      <c:catAx>
        <c:axId val="996655056"/>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996640912"/>
        <c:crosses val="autoZero"/>
        <c:auto val="1"/>
        <c:lblAlgn val="ctr"/>
        <c:lblOffset val="100"/>
        <c:noMultiLvlLbl val="0"/>
      </c:catAx>
      <c:valAx>
        <c:axId val="996640912"/>
        <c:scaling>
          <c:orientation val="minMax"/>
        </c:scaling>
        <c:delete val="1"/>
        <c:axPos val="l"/>
        <c:numFmt formatCode="0%" sourceLinked="1"/>
        <c:majorTickMark val="none"/>
        <c:minorTickMark val="none"/>
        <c:tickLblPos val="nextTo"/>
        <c:crossAx val="996655056"/>
        <c:crosses val="autoZero"/>
        <c:crossBetween val="between"/>
      </c:valAx>
      <c:spPr>
        <a:noFill/>
        <a:ln>
          <a:noFill/>
        </a:ln>
        <a:effectLst>
          <a:glow rad="203200">
            <a:schemeClr val="accent1">
              <a:alpha val="40000"/>
            </a:schemeClr>
          </a:glow>
        </a:effectLst>
      </c:spPr>
    </c:plotArea>
    <c:legend>
      <c:legendPos val="r"/>
      <c:layout>
        <c:manualLayout>
          <c:xMode val="edge"/>
          <c:yMode val="edge"/>
          <c:x val="0.61819086351125774"/>
          <c:y val="8.2940978925175046E-2"/>
          <c:w val="0.36823628447272855"/>
          <c:h val="0.784689170795932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'[0 Диаграммалар 2016-2020 9 ой.xlsx]Импорт по стран'!$Z$1</c:f>
              <c:strCache>
                <c:ptCount val="1"/>
                <c:pt idx="0">
                  <c:v>2018</c:v>
                </c:pt>
              </c:strCache>
            </c:strRef>
          </c:tx>
          <c:spPr>
            <a:solidFill>
              <a:schemeClr val="accent4">
                <a:lumMod val="7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 Диаграммалар 2016-2020 9 ой.xlsx]Импорт по стран'!$A$5:$A$11</c:f>
              <c:strCache>
                <c:ptCount val="7"/>
                <c:pt idx="0">
                  <c:v>China</c:v>
                </c:pt>
                <c:pt idx="1">
                  <c:v>Russia</c:v>
                </c:pt>
                <c:pt idx="2">
                  <c:v>Republic of Korea</c:v>
                </c:pt>
                <c:pt idx="3">
                  <c:v>Kazakhstan</c:v>
                </c:pt>
                <c:pt idx="4">
                  <c:v>Turkey</c:v>
                </c:pt>
                <c:pt idx="5">
                  <c:v>Germany</c:v>
                </c:pt>
                <c:pt idx="6">
                  <c:v>Other countries</c:v>
                </c:pt>
              </c:strCache>
            </c:strRef>
          </c:cat>
          <c:val>
            <c:numRef>
              <c:f>'[0 Диаграммалар 2016-2020 9 ой.xlsx]Импорт по стран'!$Z$5:$Z$11</c:f>
              <c:numCache>
                <c:formatCode>_-* #\ ##0_р_._-;\-* #\ ##0_р_._-;_-* "-"??_р_._-;_-@_-</c:formatCode>
                <c:ptCount val="7"/>
                <c:pt idx="0">
                  <c:v>3765.9436600000163</c:v>
                </c:pt>
                <c:pt idx="1">
                  <c:v>3419.2715300000027</c:v>
                </c:pt>
                <c:pt idx="2">
                  <c:v>2116.4290899999983</c:v>
                </c:pt>
                <c:pt idx="3">
                  <c:v>1641.9636169999999</c:v>
                </c:pt>
                <c:pt idx="4">
                  <c:v>1122.7028199999995</c:v>
                </c:pt>
                <c:pt idx="5">
                  <c:v>852.19930999999997</c:v>
                </c:pt>
                <c:pt idx="6">
                  <c:v>6064.1816699999999</c:v>
                </c:pt>
              </c:numCache>
            </c:numRef>
          </c:val>
          <c:extLst>
            <c:ext xmlns:c16="http://schemas.microsoft.com/office/drawing/2014/chart" uri="{C3380CC4-5D6E-409C-BE32-E72D297353CC}">
              <c16:uniqueId val="{00000000-53E4-45DB-9479-33B9AA5B8A22}"/>
            </c:ext>
          </c:extLst>
        </c:ser>
        <c:ser>
          <c:idx val="1"/>
          <c:order val="1"/>
          <c:tx>
            <c:strRef>
              <c:f>'[0 Диаграммалар 2016-2020 9 ой.xlsx]Импорт по стран'!$AA$1</c:f>
              <c:strCache>
                <c:ptCount val="1"/>
                <c:pt idx="0">
                  <c:v> 2 019   </c:v>
                </c:pt>
              </c:strCache>
            </c:strRef>
          </c:tx>
          <c:spPr>
            <a:solidFill>
              <a:schemeClr val="accent5">
                <a:lumMod val="7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 Диаграммалар 2016-2020 9 ой.xlsx]Импорт по стран'!$A$5:$A$11</c:f>
              <c:strCache>
                <c:ptCount val="7"/>
                <c:pt idx="0">
                  <c:v>China</c:v>
                </c:pt>
                <c:pt idx="1">
                  <c:v>Russia</c:v>
                </c:pt>
                <c:pt idx="2">
                  <c:v>Republic of Korea</c:v>
                </c:pt>
                <c:pt idx="3">
                  <c:v>Kazakhstan</c:v>
                </c:pt>
                <c:pt idx="4">
                  <c:v>Turkey</c:v>
                </c:pt>
                <c:pt idx="5">
                  <c:v>Germany</c:v>
                </c:pt>
                <c:pt idx="6">
                  <c:v>Other countries</c:v>
                </c:pt>
              </c:strCache>
            </c:strRef>
          </c:cat>
          <c:val>
            <c:numRef>
              <c:f>'[0 Диаграммалар 2016-2020 9 ой.xlsx]Импорт по стран'!$AA$5:$AA$11</c:f>
              <c:numCache>
                <c:formatCode>_-* #\ ##0_р_._-;\-* #\ ##0_р_._-;_-* "-"??_р_._-;_-@_-</c:formatCode>
                <c:ptCount val="7"/>
                <c:pt idx="0">
                  <c:v>5023.7770940104656</c:v>
                </c:pt>
                <c:pt idx="1">
                  <c:v>4159.8088770781796</c:v>
                </c:pt>
                <c:pt idx="2">
                  <c:v>2725.4508584000323</c:v>
                </c:pt>
                <c:pt idx="3">
                  <c:v>2104.2940799999969</c:v>
                </c:pt>
                <c:pt idx="4">
                  <c:v>1322.7034119099999</c:v>
                </c:pt>
                <c:pt idx="5">
                  <c:v>815.65899799410056</c:v>
                </c:pt>
                <c:pt idx="6">
                  <c:v>6420.691263339656</c:v>
                </c:pt>
              </c:numCache>
            </c:numRef>
          </c:val>
          <c:extLst>
            <c:ext xmlns:c16="http://schemas.microsoft.com/office/drawing/2014/chart" uri="{C3380CC4-5D6E-409C-BE32-E72D297353CC}">
              <c16:uniqueId val="{00000001-53E4-45DB-9479-33B9AA5B8A22}"/>
            </c:ext>
          </c:extLst>
        </c:ser>
        <c:ser>
          <c:idx val="2"/>
          <c:order val="2"/>
          <c:tx>
            <c:strRef>
              <c:f>'[0 Диаграммалар 2016-2020 9 ой.xlsx]Импорт по стран'!$AB$1</c:f>
              <c:strCache>
                <c:ptCount val="1"/>
                <c:pt idx="0">
                  <c:v>2020</c:v>
                </c:pt>
              </c:strCache>
            </c:strRef>
          </c:tx>
          <c:spPr>
            <a:solidFill>
              <a:schemeClr val="accent6">
                <a:lumMod val="7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 Диаграммалар 2016-2020 9 ой.xlsx]Импорт по стран'!$A$5:$A$11</c:f>
              <c:strCache>
                <c:ptCount val="7"/>
                <c:pt idx="0">
                  <c:v>China</c:v>
                </c:pt>
                <c:pt idx="1">
                  <c:v>Russia</c:v>
                </c:pt>
                <c:pt idx="2">
                  <c:v>Republic of Korea</c:v>
                </c:pt>
                <c:pt idx="3">
                  <c:v>Kazakhstan</c:v>
                </c:pt>
                <c:pt idx="4">
                  <c:v>Turkey</c:v>
                </c:pt>
                <c:pt idx="5">
                  <c:v>Germany</c:v>
                </c:pt>
                <c:pt idx="6">
                  <c:v>Other countries</c:v>
                </c:pt>
              </c:strCache>
            </c:strRef>
          </c:cat>
          <c:val>
            <c:numRef>
              <c:f>'[0 Диаграммалар 2016-2020 9 ой.xlsx]Импорт по стран'!$AB$5:$AB$11</c:f>
              <c:numCache>
                <c:formatCode>_-* #\ ##0_р_._-;\-* #\ ##0_р_._-;_-* "-"??_р_._-;_-@_-</c:formatCode>
                <c:ptCount val="7"/>
                <c:pt idx="0">
                  <c:v>4369.7118556015012</c:v>
                </c:pt>
                <c:pt idx="1">
                  <c:v>4341.1224100665067</c:v>
                </c:pt>
                <c:pt idx="2">
                  <c:v>1846.8442600000035</c:v>
                </c:pt>
                <c:pt idx="3">
                  <c:v>2126.9968700001996</c:v>
                </c:pt>
                <c:pt idx="4">
                  <c:v>1147.2111999999981</c:v>
                </c:pt>
                <c:pt idx="5">
                  <c:v>692.53878646441319</c:v>
                </c:pt>
                <c:pt idx="6">
                  <c:v>5996.1632953329809</c:v>
                </c:pt>
              </c:numCache>
            </c:numRef>
          </c:val>
          <c:extLst>
            <c:ext xmlns:c16="http://schemas.microsoft.com/office/drawing/2014/chart" uri="{C3380CC4-5D6E-409C-BE32-E72D297353CC}">
              <c16:uniqueId val="{00000002-53E4-45DB-9479-33B9AA5B8A22}"/>
            </c:ext>
          </c:extLst>
        </c:ser>
        <c:dLbls>
          <c:showLegendKey val="0"/>
          <c:showVal val="0"/>
          <c:showCatName val="0"/>
          <c:showSerName val="0"/>
          <c:showPercent val="0"/>
          <c:showBubbleSize val="0"/>
        </c:dLbls>
        <c:gapWidth val="219"/>
        <c:overlap val="-27"/>
        <c:axId val="202979359"/>
        <c:axId val="202968543"/>
      </c:barChart>
      <c:catAx>
        <c:axId val="202979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202968543"/>
        <c:crosses val="autoZero"/>
        <c:auto val="1"/>
        <c:lblAlgn val="ctr"/>
        <c:lblOffset val="100"/>
        <c:noMultiLvlLbl val="0"/>
      </c:catAx>
      <c:valAx>
        <c:axId val="202968543"/>
        <c:scaling>
          <c:orientation val="minMax"/>
        </c:scaling>
        <c:delete val="0"/>
        <c:axPos val="l"/>
        <c:majorGridlines>
          <c:spPr>
            <a:ln w="9525" cap="flat" cmpd="sng" algn="ctr">
              <a:solidFill>
                <a:schemeClr val="tx1">
                  <a:lumMod val="15000"/>
                  <a:lumOff val="85000"/>
                </a:schemeClr>
              </a:solidFill>
              <a:round/>
            </a:ln>
            <a:effectLst/>
          </c:spPr>
        </c:majorGridlines>
        <c:numFmt formatCode="_-* #\ ##0_р_._-;\-* #\ ##0_р_._-;_-* &quot;-&quot;??_р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0297935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
      <c:rotY val="15"/>
      <c:depthPercent val="100"/>
      <c:rAngAx val="0"/>
    </c:view3D>
    <c:floor>
      <c:thickness val="0"/>
      <c:spPr>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solidFill>
            <a:schemeClr val="dk1"/>
          </a:solidFill>
          <a:prstDash val="solid"/>
          <a:miter lim="800000"/>
        </a:ln>
        <a:effectLst/>
        <a:sp3d contourW="6350">
          <a:contourClr>
            <a:schemeClr val="dk1"/>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165460682700413E-2"/>
          <c:y val="6.1226171972673542E-2"/>
          <c:w val="0.91895692506232318"/>
          <c:h val="0.80743448274128959"/>
        </c:manualLayout>
      </c:layout>
      <c:bar3DChart>
        <c:barDir val="col"/>
        <c:grouping val="stacked"/>
        <c:varyColors val="0"/>
        <c:ser>
          <c:idx val="0"/>
          <c:order val="0"/>
          <c:tx>
            <c:strRef>
              <c:f>'[0 Диаграммалар 2016-2020 9 ой.xlsx]Услуг ЭК и ИМ 6-7д'!$A$8</c:f>
              <c:strCache>
                <c:ptCount val="1"/>
                <c:pt idx="0">
                  <c:v>Other services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a:scene3d>
              <a:camera prst="orthographicFront"/>
              <a:lightRig rig="threePt" dir="t"/>
            </a:scene3d>
            <a:sp3d contourW="6350">
              <a:contourClr>
                <a:schemeClr val="accent1"/>
              </a:contourClr>
            </a:sp3d>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'[0 Диаграммалар 2016-2020 9 ой.xlsx]Услуг ЭК и ИМ 6-7д'!$AF$6:$AQ$7</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2018</c:v>
                  </c:pt>
                  <c:pt idx="4">
                    <c:v>2019</c:v>
                  </c:pt>
                  <c:pt idx="8">
                    <c:v>2020</c:v>
                  </c:pt>
                </c:lvl>
              </c:multiLvlStrCache>
            </c:multiLvlStrRef>
          </c:cat>
          <c:val>
            <c:numRef>
              <c:f>'[0 Диаграммалар 2016-2020 9 ой.xlsx]Услуг ЭК и ИМ 6-7д'!$AF$8:$AQ$8</c:f>
              <c:numCache>
                <c:formatCode>_-* #\ ##0_р_._-;\-* #\ ##0_р_._-;_-* "-"??_р_._-;_-@_-</c:formatCode>
                <c:ptCount val="12"/>
                <c:pt idx="0">
                  <c:v>81.665689286544648</c:v>
                </c:pt>
                <c:pt idx="1">
                  <c:v>90.139108536218771</c:v>
                </c:pt>
                <c:pt idx="2">
                  <c:v>91.177338995653884</c:v>
                </c:pt>
                <c:pt idx="3">
                  <c:v>87.99426743166805</c:v>
                </c:pt>
                <c:pt idx="4">
                  <c:v>68.080299878274104</c:v>
                </c:pt>
                <c:pt idx="5">
                  <c:v>97.592622709122054</c:v>
                </c:pt>
                <c:pt idx="6">
                  <c:v>103.10875397352038</c:v>
                </c:pt>
                <c:pt idx="7">
                  <c:v>93.557276390684365</c:v>
                </c:pt>
                <c:pt idx="8">
                  <c:v>72.847174210453716</c:v>
                </c:pt>
                <c:pt idx="9">
                  <c:v>84.067434578335451</c:v>
                </c:pt>
                <c:pt idx="10">
                  <c:v>94.844183945219811</c:v>
                </c:pt>
                <c:pt idx="11">
                  <c:v>103.19713017839626</c:v>
                </c:pt>
              </c:numCache>
            </c:numRef>
          </c:val>
          <c:extLst>
            <c:ext xmlns:c16="http://schemas.microsoft.com/office/drawing/2014/chart" uri="{C3380CC4-5D6E-409C-BE32-E72D297353CC}">
              <c16:uniqueId val="{00000000-710B-4B61-955F-07AEB87FC6EA}"/>
            </c:ext>
          </c:extLst>
        </c:ser>
        <c:ser>
          <c:idx val="1"/>
          <c:order val="1"/>
          <c:tx>
            <c:strRef>
              <c:f>'[0 Диаграммалар 2016-2020 9 ой.xlsx]Услуг ЭК и ИМ 6-7д'!$A$9</c:f>
              <c:strCache>
                <c:ptCount val="1"/>
                <c:pt idx="0">
                  <c:v>Travel related services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6350" cap="flat" cmpd="sng" algn="ctr">
              <a:solidFill>
                <a:schemeClr val="accent2"/>
              </a:solidFill>
              <a:prstDash val="solid"/>
              <a:miter lim="800000"/>
            </a:ln>
            <a:effectLst/>
            <a:sp3d contourW="6350">
              <a:contourClr>
                <a:schemeClr val="accent2"/>
              </a:contourClr>
            </a:sp3d>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'[0 Диаграммалар 2016-2020 9 ой.xlsx]Услуг ЭК и ИМ 6-7д'!$AF$6:$AQ$7</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2018</c:v>
                  </c:pt>
                  <c:pt idx="4">
                    <c:v>2019</c:v>
                  </c:pt>
                  <c:pt idx="8">
                    <c:v>2020</c:v>
                  </c:pt>
                </c:lvl>
              </c:multiLvlStrCache>
            </c:multiLvlStrRef>
          </c:cat>
          <c:val>
            <c:numRef>
              <c:f>'[0 Диаграммалар 2016-2020 9 ой.xlsx]Услуг ЭК и ИМ 6-7д'!$AF$9:$AQ$9</c:f>
              <c:numCache>
                <c:formatCode>_-* #\ ##0_р_._-;\-* #\ ##0_р_._-;_-* "-"??_р_._-;_-@_-</c:formatCode>
                <c:ptCount val="12"/>
                <c:pt idx="0">
                  <c:v>183.99881747557021</c:v>
                </c:pt>
                <c:pt idx="1">
                  <c:v>294.85680327283023</c:v>
                </c:pt>
                <c:pt idx="2">
                  <c:v>359.67184589560014</c:v>
                </c:pt>
                <c:pt idx="3">
                  <c:v>305.87045856260022</c:v>
                </c:pt>
                <c:pt idx="4">
                  <c:v>275.02545910710012</c:v>
                </c:pt>
                <c:pt idx="5">
                  <c:v>384.08250482390014</c:v>
                </c:pt>
                <c:pt idx="6">
                  <c:v>450.5328784309001</c:v>
                </c:pt>
                <c:pt idx="7">
                  <c:v>370.96587307400023</c:v>
                </c:pt>
                <c:pt idx="8">
                  <c:v>238.61181467400021</c:v>
                </c:pt>
                <c:pt idx="9">
                  <c:v>17.105409880325006</c:v>
                </c:pt>
                <c:pt idx="10">
                  <c:v>32.396541307325009</c:v>
                </c:pt>
                <c:pt idx="11">
                  <c:v>56.93448523332998</c:v>
                </c:pt>
              </c:numCache>
            </c:numRef>
          </c:val>
          <c:extLst>
            <c:ext xmlns:c16="http://schemas.microsoft.com/office/drawing/2014/chart" uri="{C3380CC4-5D6E-409C-BE32-E72D297353CC}">
              <c16:uniqueId val="{00000001-710B-4B61-955F-07AEB87FC6EA}"/>
            </c:ext>
          </c:extLst>
        </c:ser>
        <c:ser>
          <c:idx val="2"/>
          <c:order val="2"/>
          <c:tx>
            <c:strRef>
              <c:f>'[0 Диаграммалар 2016-2020 9 ой.xlsx]Услуг ЭК и ИМ 6-7д'!$A$10</c:f>
              <c:strCache>
                <c:ptCount val="1"/>
                <c:pt idx="0">
                  <c:v>Transport services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cap="flat" cmpd="sng" algn="ctr">
              <a:solidFill>
                <a:schemeClr val="accent3"/>
              </a:solidFill>
              <a:prstDash val="solid"/>
              <a:miter lim="800000"/>
            </a:ln>
            <a:effectLst/>
            <a:sp3d contourW="6350">
              <a:contourClr>
                <a:schemeClr val="accent3"/>
              </a:contourClr>
            </a:sp3d>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'[0 Диаграммалар 2016-2020 9 ой.xlsx]Услуг ЭК и ИМ 6-7д'!$AF$6:$AQ$7</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2018</c:v>
                  </c:pt>
                  <c:pt idx="4">
                    <c:v>2019</c:v>
                  </c:pt>
                  <c:pt idx="8">
                    <c:v>2020</c:v>
                  </c:pt>
                </c:lvl>
              </c:multiLvlStrCache>
            </c:multiLvlStrRef>
          </c:cat>
          <c:val>
            <c:numRef>
              <c:f>'[0 Диаграммалар 2016-2020 9 ой.xlsx]Услуг ЭК и ИМ 6-7д'!$AF$10:$AQ$10</c:f>
              <c:numCache>
                <c:formatCode>_-* #\ ##0_р_._-;\-* #\ ##0_р_._-;_-* "-"??_р_._-;_-@_-</c:formatCode>
                <c:ptCount val="12"/>
                <c:pt idx="0">
                  <c:v>307.12591435835151</c:v>
                </c:pt>
                <c:pt idx="1">
                  <c:v>302.49448948859509</c:v>
                </c:pt>
                <c:pt idx="2">
                  <c:v>299.94548471848975</c:v>
                </c:pt>
                <c:pt idx="3">
                  <c:v>344.6070120669558</c:v>
                </c:pt>
                <c:pt idx="4">
                  <c:v>293.01290194085993</c:v>
                </c:pt>
                <c:pt idx="5">
                  <c:v>306.97474905013803</c:v>
                </c:pt>
                <c:pt idx="6">
                  <c:v>295.96291012569753</c:v>
                </c:pt>
                <c:pt idx="7">
                  <c:v>355.91519661806558</c:v>
                </c:pt>
                <c:pt idx="8">
                  <c:v>295.3200391367198</c:v>
                </c:pt>
                <c:pt idx="9">
                  <c:v>213.84879578818914</c:v>
                </c:pt>
                <c:pt idx="10">
                  <c:v>221.35664833561373</c:v>
                </c:pt>
                <c:pt idx="11">
                  <c:v>269.00226776274974</c:v>
                </c:pt>
              </c:numCache>
            </c:numRef>
          </c:val>
          <c:extLst>
            <c:ext xmlns:c16="http://schemas.microsoft.com/office/drawing/2014/chart" uri="{C3380CC4-5D6E-409C-BE32-E72D297353CC}">
              <c16:uniqueId val="{00000002-710B-4B61-955F-07AEB87FC6EA}"/>
            </c:ext>
          </c:extLst>
        </c:ser>
        <c:dLbls>
          <c:showLegendKey val="0"/>
          <c:showVal val="1"/>
          <c:showCatName val="0"/>
          <c:showSerName val="0"/>
          <c:showPercent val="0"/>
          <c:showBubbleSize val="0"/>
        </c:dLbls>
        <c:gapWidth val="79"/>
        <c:shape val="box"/>
        <c:axId val="864205215"/>
        <c:axId val="864206463"/>
        <c:axId val="0"/>
      </c:bar3DChart>
      <c:catAx>
        <c:axId val="86420521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all" spc="0" normalizeH="0" baseline="0">
                <a:solidFill>
                  <a:sysClr val="windowText" lastClr="000000"/>
                </a:solidFill>
                <a:latin typeface="+mj-lt"/>
                <a:ea typeface="+mn-ea"/>
                <a:cs typeface="+mn-cs"/>
              </a:defRPr>
            </a:pPr>
            <a:endParaRPr lang="ru-RU"/>
          </a:p>
        </c:txPr>
        <c:crossAx val="864206463"/>
        <c:crosses val="autoZero"/>
        <c:auto val="1"/>
        <c:lblAlgn val="ctr"/>
        <c:lblOffset val="100"/>
        <c:noMultiLvlLbl val="0"/>
      </c:catAx>
      <c:valAx>
        <c:axId val="864206463"/>
        <c:scaling>
          <c:orientation val="minMax"/>
        </c:scaling>
        <c:delete val="0"/>
        <c:axPos val="l"/>
        <c:majorGridlines>
          <c:spPr>
            <a:ln w="9525" cap="flat" cmpd="sng" algn="ctr">
              <a:solidFill>
                <a:schemeClr val="tx1">
                  <a:lumMod val="15000"/>
                  <a:lumOff val="85000"/>
                </a:schemeClr>
              </a:solidFill>
              <a:round/>
            </a:ln>
            <a:effectLst/>
          </c:spPr>
        </c:majorGridlines>
        <c:numFmt formatCode="_-* #\ ##0_р_._-;\-* #\ ##0_р_._-;_-* &quot;-&quot;??_р_._-;_-@_-"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864205215"/>
        <c:crosses val="autoZero"/>
        <c:crossBetween val="between"/>
      </c:valAx>
      <c:spPr>
        <a:noFill/>
        <a:ln>
          <a:noFill/>
        </a:ln>
        <a:effectLst>
          <a:outerShdw sx="2000" sy="2000" algn="ctr" rotWithShape="0">
            <a:srgbClr val="000000"/>
          </a:outerShdw>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2.xml><?xml version="1.0" encoding="utf-8"?>
<cs:chartStyle xmlns:cs="http://schemas.microsoft.com/office/drawing/2012/chartStyle" xmlns:a="http://schemas.openxmlformats.org/drawingml/2006/main" id="277">
  <cs:axisTitle>
    <cs:lnRef idx="0"/>
    <cs:fillRef idx="0"/>
    <cs:effectRef idx="0"/>
    <cs:fontRef idx="minor">
      <a:schemeClr val="lt1">
        <a:lumMod val="85000"/>
      </a:schemeClr>
    </cs:fontRef>
    <cs:defRPr sz="900" kern="1200"/>
  </cs:axisTitle>
  <cs:categoryAxis>
    <cs:lnRef idx="0"/>
    <cs:fillRef idx="0"/>
    <cs:effectRef idx="0"/>
    <cs:fontRef idx="minor">
      <a:schemeClr val="lt1">
        <a:lumMod val="85000"/>
      </a:schemeClr>
    </cs:fontRef>
    <cs:spPr>
      <a:ln w="9575" cap="flat" cmpd="sng" algn="ctr">
        <a:solidFill>
          <a:schemeClr val="lt1">
            <a:lumMod val="75000"/>
          </a:schemeClr>
        </a:solidFill>
        <a:round/>
        <a:headEnd type="none" w="sm" len="sm"/>
        <a:tailEnd type="none" w="sm" len="sm"/>
      </a:ln>
    </cs:spPr>
    <cs:defRPr sz="900" b="1" kern="1200" cap="all" baseline="0"/>
  </cs:categoryAxis>
  <cs:chartArea>
    <cs:lnRef idx="0"/>
    <cs:fillRef idx="0"/>
    <cs:effectRef idx="0"/>
    <cs:fontRef idx="minor">
      <a:schemeClr val="dk1"/>
    </cs:fontRef>
    <cs:spPr>
      <a:solidFill>
        <a:schemeClr val="dk1">
          <a:lumMod val="75000"/>
          <a:lumOff val="25000"/>
        </a:schemeClr>
      </a:solidFill>
      <a:ln w="9525" cap="flat" cmpd="sng" algn="ctr">
        <a:solidFill>
          <a:schemeClr val="lt1">
            <a:lumMod val="75000"/>
          </a:schemeClr>
        </a:solidFill>
        <a:round/>
      </a:ln>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lt1">
        <a:lumMod val="85000"/>
      </a:schemeClr>
    </cs:fontRef>
    <cs:spPr>
      <a:solidFill>
        <a:schemeClr val="dk1">
          <a:lumMod val="65000"/>
          <a:lumOff val="35000"/>
        </a:schemeClr>
      </a:solidFill>
      <a:ln>
        <a:solidFill>
          <a:schemeClr val="lt1">
            <a:lumMod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a:gsLst>
          <a:gs pos="100000">
            <a:schemeClr val="phClr"/>
          </a:gs>
          <a:gs pos="0">
            <a:schemeClr val="phClr">
              <a:lumMod val="75000"/>
            </a:schemeClr>
          </a:gs>
        </a:gsLst>
        <a:lin ang="0" scaled="1"/>
      </a:gradFill>
      <a:effectLst>
        <a:innerShdw dist="12700" dir="16200000">
          <a:schemeClr val="lt1">
            <a:alpha val="75000"/>
          </a:schemeClr>
        </a:innerShdw>
      </a:effectLst>
    </cs:spPr>
  </cs:dataPoint>
  <cs:dataPoint3D>
    <cs:lnRef idx="0"/>
    <cs:fillRef idx="0">
      <cs:styleClr val="auto"/>
    </cs:fillRef>
    <cs:effectRef idx="0"/>
    <cs:fontRef idx="minor">
      <a:schemeClr val="dk1"/>
    </cs:fontRef>
    <cs:spPr>
      <a:gradFill>
        <a:gsLst>
          <a:gs pos="100000">
            <a:schemeClr val="phClr"/>
          </a:gs>
          <a:gs pos="0">
            <a:schemeClr val="phClr">
              <a:lumMod val="75000"/>
            </a:schemeClr>
          </a:gs>
        </a:gsLst>
        <a:lin ang="0" scaled="1"/>
      </a:gradFill>
      <a:effectLst>
        <a:innerShdw dist="12700" dir="16200000">
          <a:schemeClr val="lt1">
            <a:alpha val="75000"/>
          </a:schemeClr>
        </a:innerShdw>
      </a:effectLst>
    </cs:spPr>
  </cs:dataPoint3D>
  <cs:dataPointLine>
    <cs:lnRef idx="0">
      <cs:styleClr val="auto"/>
    </cs:lnRef>
    <cs:fillRef idx="0"/>
    <cs:effectRef idx="0"/>
    <cs:fontRef idx="minor">
      <a:schemeClr val="dk1"/>
    </cs:fontRef>
    <cs:spPr>
      <a:ln w="25400"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50000"/>
      </a:schemeClr>
    </cs:fontRef>
    <cs:spPr>
      <a:ln w="9525">
        <a:solidFill>
          <a:schemeClr val="lt1">
            <a:lumMod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cap="flat" cmpd="sng" algn="ctr">
        <a:solidFill>
          <a:schemeClr val="lt1">
            <a:alpha val="40000"/>
          </a:schemeClr>
        </a:solidFill>
        <a:round/>
      </a:ln>
    </cs:spPr>
  </cs:dropLine>
  <cs:errorBar>
    <cs:lnRef idx="0"/>
    <cs:fillRef idx="0"/>
    <cs:effectRef idx="0"/>
    <cs:fontRef idx="minor">
      <a:schemeClr val="dk1"/>
    </cs:fontRef>
    <cs:spPr>
      <a:ln w="9525" cap="flat" cmpd="sng" algn="ctr">
        <a:solidFill>
          <a:schemeClr val="lt1">
            <a:alpha val="4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ysDot"/>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65000"/>
                <a:alpha val="36000"/>
              </a:schemeClr>
            </a:gs>
          </a:gsLst>
          <a:lin ang="5400000" scaled="0"/>
        </a:gra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8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bg1">
        <a:lumMod val="85000"/>
      </a:schemeClr>
    </cs:fontRef>
    <cs:spPr>
      <a:ln w="19050" cap="flat" cmpd="sng" algn="ctr">
        <a:solidFill>
          <a:schemeClr val="bg1">
            <a:lumMod val="85000"/>
          </a:schemeClr>
        </a:solidFill>
        <a:round/>
        <a:headEnd type="none" w="sm" len="sm"/>
        <a:tailEnd type="none" w="sm" len="sm"/>
      </a:ln>
    </cs:spPr>
    <cs:defRPr sz="900" b="1"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ajor">
      <a:schemeClr val="lt1">
        <a:lumMod val="85000"/>
      </a:schemeClr>
    </cs:fontRef>
    <cs:defRPr sz="1800" b="1" kern="1200"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6.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8.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0.36848</cdr:x>
      <cdr:y>0.01625</cdr:y>
    </cdr:from>
    <cdr:to>
      <cdr:x>0.36848</cdr:x>
      <cdr:y>0.85083</cdr:y>
    </cdr:to>
    <cdr:cxnSp macro="">
      <cdr:nvCxnSpPr>
        <cdr:cNvPr id="2" name="Прямая соединительная линия 1"/>
        <cdr:cNvCxnSpPr/>
      </cdr:nvCxnSpPr>
      <cdr:spPr>
        <a:xfrm xmlns:a="http://schemas.openxmlformats.org/drawingml/2006/main" flipV="1">
          <a:off x="2355294" y="64053"/>
          <a:ext cx="0" cy="3289981"/>
        </a:xfrm>
        <a:prstGeom xmlns:a="http://schemas.openxmlformats.org/drawingml/2006/main" prst="line">
          <a:avLst/>
        </a:prstGeom>
        <a:ln xmlns:a="http://schemas.openxmlformats.org/drawingml/2006/main" w="28575">
          <a:solidFill>
            <a:schemeClr val="accent1">
              <a:lumMod val="40000"/>
              <a:lumOff val="60000"/>
            </a:schemeClr>
          </a:solidFill>
          <a:prstDash val="sysDot"/>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0.64548</cdr:x>
      <cdr:y>0.39805</cdr:y>
    </cdr:from>
    <cdr:to>
      <cdr:x>0.89639</cdr:x>
      <cdr:y>0.53216</cdr:y>
    </cdr:to>
    <cdr:sp macro="" textlink="">
      <cdr:nvSpPr>
        <cdr:cNvPr id="2" name="Прямоугольник 1"/>
        <cdr:cNvSpPr/>
      </cdr:nvSpPr>
      <cdr:spPr>
        <a:xfrm xmlns:a="http://schemas.openxmlformats.org/drawingml/2006/main">
          <a:off x="4082415" y="1296670"/>
          <a:ext cx="1586865" cy="436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ctr">
            <a:spcAft>
              <a:spcPts val="0"/>
            </a:spcAft>
          </a:pPr>
          <a:r>
            <a:rPr lang="en-US" sz="900" b="1" i="1">
              <a:solidFill>
                <a:srgbClr val="000000"/>
              </a:solidFill>
              <a:effectLst/>
              <a:ea typeface="Times New Roman" panose="02020603050405020304" pitchFamily="18" charset="0"/>
              <a:cs typeface="Calibri" panose="020F0502020204030204" pitchFamily="34" charset="0"/>
            </a:rPr>
            <a:t>Growth at the beginning</a:t>
          </a:r>
          <a:r>
            <a:rPr lang="en-US" sz="900" b="1" i="1" baseline="0">
              <a:solidFill>
                <a:srgbClr val="000000"/>
              </a:solidFill>
              <a:effectLst/>
              <a:ea typeface="Times New Roman" panose="02020603050405020304" pitchFamily="18" charset="0"/>
              <a:cs typeface="Calibri" panose="020F0502020204030204" pitchFamily="34" charset="0"/>
            </a:rPr>
            <a:t> of the year</a:t>
          </a:r>
          <a:r>
            <a:rPr lang="ru-RU" sz="900" b="1" i="1">
              <a:solidFill>
                <a:srgbClr val="000000"/>
              </a:solidFill>
              <a:effectLst/>
              <a:ea typeface="Times New Roman" panose="02020603050405020304" pitchFamily="18" charset="0"/>
              <a:cs typeface="Calibri" panose="020F0502020204030204" pitchFamily="34" charset="0"/>
            </a:rPr>
            <a:t> 25%</a:t>
          </a:r>
          <a:endParaRPr lang="ru-RU" sz="900">
            <a:effectLst/>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0.05534</cdr:x>
      <cdr:y>0.67936</cdr:y>
    </cdr:from>
    <cdr:to>
      <cdr:x>0.13215</cdr:x>
      <cdr:y>0.75207</cdr:y>
    </cdr:to>
    <cdr:sp macro="" textlink="">
      <cdr:nvSpPr>
        <cdr:cNvPr id="3" name="Прямоугольник 2"/>
        <cdr:cNvSpPr/>
      </cdr:nvSpPr>
      <cdr:spPr>
        <a:xfrm xmlns:a="http://schemas.openxmlformats.org/drawingml/2006/main">
          <a:off x="350033" y="2213043"/>
          <a:ext cx="485788" cy="23686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spcAft>
              <a:spcPts val="0"/>
            </a:spcAft>
          </a:pPr>
          <a:r>
            <a:rPr lang="uz-Cyrl-UZ" sz="1000" b="1" i="1">
              <a:solidFill>
                <a:srgbClr val="000000"/>
              </a:solidFill>
              <a:effectLst/>
              <a:ea typeface="Times New Roman" panose="02020603050405020304" pitchFamily="18" charset="0"/>
              <a:cs typeface="Calibri" panose="020F0502020204030204" pitchFamily="34" charset="0"/>
            </a:rPr>
            <a:t>1512</a:t>
          </a:r>
          <a:endParaRPr lang="ru-RU" sz="1200">
            <a:effectLst/>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0.23519</cdr:x>
      <cdr:y>0.71279</cdr:y>
    </cdr:from>
    <cdr:to>
      <cdr:x>0.31199</cdr:x>
      <cdr:y>0.7855</cdr:y>
    </cdr:to>
    <cdr:sp macro="" textlink="">
      <cdr:nvSpPr>
        <cdr:cNvPr id="4" name="Прямоугольник 3"/>
        <cdr:cNvSpPr/>
      </cdr:nvSpPr>
      <cdr:spPr>
        <a:xfrm xmlns:a="http://schemas.openxmlformats.org/drawingml/2006/main">
          <a:off x="1487457" y="2321955"/>
          <a:ext cx="485775" cy="23685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ctr">
            <a:spcAft>
              <a:spcPts val="0"/>
            </a:spcAft>
          </a:pPr>
          <a:r>
            <a:rPr lang="uz-Cyrl-UZ" sz="1000" b="1" i="1">
              <a:solidFill>
                <a:srgbClr val="000000"/>
              </a:solidFill>
              <a:effectLst/>
              <a:ea typeface="Times New Roman" panose="02020603050405020304" pitchFamily="18" charset="0"/>
              <a:cs typeface="Calibri" panose="020F0502020204030204" pitchFamily="34" charset="0"/>
            </a:rPr>
            <a:t>1472</a:t>
          </a:r>
          <a:endParaRPr lang="ru-RU" sz="1200">
            <a:effectLst/>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0.5899</cdr:x>
      <cdr:y>0.01104</cdr:y>
    </cdr:from>
    <cdr:to>
      <cdr:x>0.6667</cdr:x>
      <cdr:y>0.08375</cdr:y>
    </cdr:to>
    <cdr:sp macro="" textlink="">
      <cdr:nvSpPr>
        <cdr:cNvPr id="5" name="Прямоугольник 4"/>
        <cdr:cNvSpPr/>
      </cdr:nvSpPr>
      <cdr:spPr>
        <a:xfrm xmlns:a="http://schemas.openxmlformats.org/drawingml/2006/main">
          <a:off x="3730864" y="35955"/>
          <a:ext cx="485775" cy="23685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ctr">
            <a:spcAft>
              <a:spcPts val="0"/>
            </a:spcAft>
          </a:pPr>
          <a:r>
            <a:rPr lang="uz-Cyrl-UZ" sz="1000" b="1" i="1">
              <a:solidFill>
                <a:srgbClr val="000000"/>
              </a:solidFill>
              <a:effectLst/>
              <a:ea typeface="Times New Roman" panose="02020603050405020304" pitchFamily="18" charset="0"/>
              <a:cs typeface="Calibri" panose="020F0502020204030204" pitchFamily="34" charset="0"/>
            </a:rPr>
            <a:t>2049</a:t>
          </a:r>
          <a:endParaRPr lang="ru-RU" sz="1200">
            <a:effectLst/>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38FD3-4217-4CEC-8B67-599C3FC5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7821</TotalTime>
  <Pages>89</Pages>
  <Words>23080</Words>
  <Characters>131558</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154330</CharactersWithSpaces>
  <SharedDoc>false</SharedDoc>
  <HLinks>
    <vt:vector size="234" baseType="variant">
      <vt:variant>
        <vt:i4>1835065</vt:i4>
      </vt:variant>
      <vt:variant>
        <vt:i4>215</vt:i4>
      </vt:variant>
      <vt:variant>
        <vt:i4>0</vt:i4>
      </vt:variant>
      <vt:variant>
        <vt:i4>5</vt:i4>
      </vt:variant>
      <vt:variant>
        <vt:lpwstr/>
      </vt:variant>
      <vt:variant>
        <vt:lpwstr>_Toc19961206</vt:lpwstr>
      </vt:variant>
      <vt:variant>
        <vt:i4>2031673</vt:i4>
      </vt:variant>
      <vt:variant>
        <vt:i4>209</vt:i4>
      </vt:variant>
      <vt:variant>
        <vt:i4>0</vt:i4>
      </vt:variant>
      <vt:variant>
        <vt:i4>5</vt:i4>
      </vt:variant>
      <vt:variant>
        <vt:lpwstr/>
      </vt:variant>
      <vt:variant>
        <vt:lpwstr>_Toc19961205</vt:lpwstr>
      </vt:variant>
      <vt:variant>
        <vt:i4>1966137</vt:i4>
      </vt:variant>
      <vt:variant>
        <vt:i4>203</vt:i4>
      </vt:variant>
      <vt:variant>
        <vt:i4>0</vt:i4>
      </vt:variant>
      <vt:variant>
        <vt:i4>5</vt:i4>
      </vt:variant>
      <vt:variant>
        <vt:lpwstr/>
      </vt:variant>
      <vt:variant>
        <vt:lpwstr>_Toc19961204</vt:lpwstr>
      </vt:variant>
      <vt:variant>
        <vt:i4>1638457</vt:i4>
      </vt:variant>
      <vt:variant>
        <vt:i4>197</vt:i4>
      </vt:variant>
      <vt:variant>
        <vt:i4>0</vt:i4>
      </vt:variant>
      <vt:variant>
        <vt:i4>5</vt:i4>
      </vt:variant>
      <vt:variant>
        <vt:lpwstr/>
      </vt:variant>
      <vt:variant>
        <vt:lpwstr>_Toc19961203</vt:lpwstr>
      </vt:variant>
      <vt:variant>
        <vt:i4>1572921</vt:i4>
      </vt:variant>
      <vt:variant>
        <vt:i4>191</vt:i4>
      </vt:variant>
      <vt:variant>
        <vt:i4>0</vt:i4>
      </vt:variant>
      <vt:variant>
        <vt:i4>5</vt:i4>
      </vt:variant>
      <vt:variant>
        <vt:lpwstr/>
      </vt:variant>
      <vt:variant>
        <vt:lpwstr>_Toc19961202</vt:lpwstr>
      </vt:variant>
      <vt:variant>
        <vt:i4>1769529</vt:i4>
      </vt:variant>
      <vt:variant>
        <vt:i4>185</vt:i4>
      </vt:variant>
      <vt:variant>
        <vt:i4>0</vt:i4>
      </vt:variant>
      <vt:variant>
        <vt:i4>5</vt:i4>
      </vt:variant>
      <vt:variant>
        <vt:lpwstr/>
      </vt:variant>
      <vt:variant>
        <vt:lpwstr>_Toc19961201</vt:lpwstr>
      </vt:variant>
      <vt:variant>
        <vt:i4>1703993</vt:i4>
      </vt:variant>
      <vt:variant>
        <vt:i4>179</vt:i4>
      </vt:variant>
      <vt:variant>
        <vt:i4>0</vt:i4>
      </vt:variant>
      <vt:variant>
        <vt:i4>5</vt:i4>
      </vt:variant>
      <vt:variant>
        <vt:lpwstr/>
      </vt:variant>
      <vt:variant>
        <vt:lpwstr>_Toc19961200</vt:lpwstr>
      </vt:variant>
      <vt:variant>
        <vt:i4>1048624</vt:i4>
      </vt:variant>
      <vt:variant>
        <vt:i4>173</vt:i4>
      </vt:variant>
      <vt:variant>
        <vt:i4>0</vt:i4>
      </vt:variant>
      <vt:variant>
        <vt:i4>5</vt:i4>
      </vt:variant>
      <vt:variant>
        <vt:lpwstr/>
      </vt:variant>
      <vt:variant>
        <vt:lpwstr>_Toc19961199</vt:lpwstr>
      </vt:variant>
      <vt:variant>
        <vt:i4>1114160</vt:i4>
      </vt:variant>
      <vt:variant>
        <vt:i4>167</vt:i4>
      </vt:variant>
      <vt:variant>
        <vt:i4>0</vt:i4>
      </vt:variant>
      <vt:variant>
        <vt:i4>5</vt:i4>
      </vt:variant>
      <vt:variant>
        <vt:lpwstr/>
      </vt:variant>
      <vt:variant>
        <vt:lpwstr>_Toc19961198</vt:lpwstr>
      </vt:variant>
      <vt:variant>
        <vt:i4>1966128</vt:i4>
      </vt:variant>
      <vt:variant>
        <vt:i4>161</vt:i4>
      </vt:variant>
      <vt:variant>
        <vt:i4>0</vt:i4>
      </vt:variant>
      <vt:variant>
        <vt:i4>5</vt:i4>
      </vt:variant>
      <vt:variant>
        <vt:lpwstr/>
      </vt:variant>
      <vt:variant>
        <vt:lpwstr>_Toc19961197</vt:lpwstr>
      </vt:variant>
      <vt:variant>
        <vt:i4>2031664</vt:i4>
      </vt:variant>
      <vt:variant>
        <vt:i4>155</vt:i4>
      </vt:variant>
      <vt:variant>
        <vt:i4>0</vt:i4>
      </vt:variant>
      <vt:variant>
        <vt:i4>5</vt:i4>
      </vt:variant>
      <vt:variant>
        <vt:lpwstr/>
      </vt:variant>
      <vt:variant>
        <vt:lpwstr>_Toc19961196</vt:lpwstr>
      </vt:variant>
      <vt:variant>
        <vt:i4>1835056</vt:i4>
      </vt:variant>
      <vt:variant>
        <vt:i4>149</vt:i4>
      </vt:variant>
      <vt:variant>
        <vt:i4>0</vt:i4>
      </vt:variant>
      <vt:variant>
        <vt:i4>5</vt:i4>
      </vt:variant>
      <vt:variant>
        <vt:lpwstr/>
      </vt:variant>
      <vt:variant>
        <vt:lpwstr>_Toc19961195</vt:lpwstr>
      </vt:variant>
      <vt:variant>
        <vt:i4>1900592</vt:i4>
      </vt:variant>
      <vt:variant>
        <vt:i4>143</vt:i4>
      </vt:variant>
      <vt:variant>
        <vt:i4>0</vt:i4>
      </vt:variant>
      <vt:variant>
        <vt:i4>5</vt:i4>
      </vt:variant>
      <vt:variant>
        <vt:lpwstr/>
      </vt:variant>
      <vt:variant>
        <vt:lpwstr>_Toc19961194</vt:lpwstr>
      </vt:variant>
      <vt:variant>
        <vt:i4>1703984</vt:i4>
      </vt:variant>
      <vt:variant>
        <vt:i4>137</vt:i4>
      </vt:variant>
      <vt:variant>
        <vt:i4>0</vt:i4>
      </vt:variant>
      <vt:variant>
        <vt:i4>5</vt:i4>
      </vt:variant>
      <vt:variant>
        <vt:lpwstr/>
      </vt:variant>
      <vt:variant>
        <vt:lpwstr>_Toc19961193</vt:lpwstr>
      </vt:variant>
      <vt:variant>
        <vt:i4>1769520</vt:i4>
      </vt:variant>
      <vt:variant>
        <vt:i4>131</vt:i4>
      </vt:variant>
      <vt:variant>
        <vt:i4>0</vt:i4>
      </vt:variant>
      <vt:variant>
        <vt:i4>5</vt:i4>
      </vt:variant>
      <vt:variant>
        <vt:lpwstr/>
      </vt:variant>
      <vt:variant>
        <vt:lpwstr>_Toc19961192</vt:lpwstr>
      </vt:variant>
      <vt:variant>
        <vt:i4>1572912</vt:i4>
      </vt:variant>
      <vt:variant>
        <vt:i4>125</vt:i4>
      </vt:variant>
      <vt:variant>
        <vt:i4>0</vt:i4>
      </vt:variant>
      <vt:variant>
        <vt:i4>5</vt:i4>
      </vt:variant>
      <vt:variant>
        <vt:lpwstr/>
      </vt:variant>
      <vt:variant>
        <vt:lpwstr>_Toc19961191</vt:lpwstr>
      </vt:variant>
      <vt:variant>
        <vt:i4>1638448</vt:i4>
      </vt:variant>
      <vt:variant>
        <vt:i4>119</vt:i4>
      </vt:variant>
      <vt:variant>
        <vt:i4>0</vt:i4>
      </vt:variant>
      <vt:variant>
        <vt:i4>5</vt:i4>
      </vt:variant>
      <vt:variant>
        <vt:lpwstr/>
      </vt:variant>
      <vt:variant>
        <vt:lpwstr>_Toc19961190</vt:lpwstr>
      </vt:variant>
      <vt:variant>
        <vt:i4>1048625</vt:i4>
      </vt:variant>
      <vt:variant>
        <vt:i4>113</vt:i4>
      </vt:variant>
      <vt:variant>
        <vt:i4>0</vt:i4>
      </vt:variant>
      <vt:variant>
        <vt:i4>5</vt:i4>
      </vt:variant>
      <vt:variant>
        <vt:lpwstr/>
      </vt:variant>
      <vt:variant>
        <vt:lpwstr>_Toc19961189</vt:lpwstr>
      </vt:variant>
      <vt:variant>
        <vt:i4>1114161</vt:i4>
      </vt:variant>
      <vt:variant>
        <vt:i4>107</vt:i4>
      </vt:variant>
      <vt:variant>
        <vt:i4>0</vt:i4>
      </vt:variant>
      <vt:variant>
        <vt:i4>5</vt:i4>
      </vt:variant>
      <vt:variant>
        <vt:lpwstr/>
      </vt:variant>
      <vt:variant>
        <vt:lpwstr>_Toc19961188</vt:lpwstr>
      </vt:variant>
      <vt:variant>
        <vt:i4>1966129</vt:i4>
      </vt:variant>
      <vt:variant>
        <vt:i4>101</vt:i4>
      </vt:variant>
      <vt:variant>
        <vt:i4>0</vt:i4>
      </vt:variant>
      <vt:variant>
        <vt:i4>5</vt:i4>
      </vt:variant>
      <vt:variant>
        <vt:lpwstr/>
      </vt:variant>
      <vt:variant>
        <vt:lpwstr>_Toc19961187</vt:lpwstr>
      </vt:variant>
      <vt:variant>
        <vt:i4>2031665</vt:i4>
      </vt:variant>
      <vt:variant>
        <vt:i4>95</vt:i4>
      </vt:variant>
      <vt:variant>
        <vt:i4>0</vt:i4>
      </vt:variant>
      <vt:variant>
        <vt:i4>5</vt:i4>
      </vt:variant>
      <vt:variant>
        <vt:lpwstr/>
      </vt:variant>
      <vt:variant>
        <vt:lpwstr>_Toc19961186</vt:lpwstr>
      </vt:variant>
      <vt:variant>
        <vt:i4>1835057</vt:i4>
      </vt:variant>
      <vt:variant>
        <vt:i4>89</vt:i4>
      </vt:variant>
      <vt:variant>
        <vt:i4>0</vt:i4>
      </vt:variant>
      <vt:variant>
        <vt:i4>5</vt:i4>
      </vt:variant>
      <vt:variant>
        <vt:lpwstr/>
      </vt:variant>
      <vt:variant>
        <vt:lpwstr>_Toc19961185</vt:lpwstr>
      </vt:variant>
      <vt:variant>
        <vt:i4>1900593</vt:i4>
      </vt:variant>
      <vt:variant>
        <vt:i4>83</vt:i4>
      </vt:variant>
      <vt:variant>
        <vt:i4>0</vt:i4>
      </vt:variant>
      <vt:variant>
        <vt:i4>5</vt:i4>
      </vt:variant>
      <vt:variant>
        <vt:lpwstr/>
      </vt:variant>
      <vt:variant>
        <vt:lpwstr>_Toc19961184</vt:lpwstr>
      </vt:variant>
      <vt:variant>
        <vt:i4>1703985</vt:i4>
      </vt:variant>
      <vt:variant>
        <vt:i4>77</vt:i4>
      </vt:variant>
      <vt:variant>
        <vt:i4>0</vt:i4>
      </vt:variant>
      <vt:variant>
        <vt:i4>5</vt:i4>
      </vt:variant>
      <vt:variant>
        <vt:lpwstr/>
      </vt:variant>
      <vt:variant>
        <vt:lpwstr>_Toc19961183</vt:lpwstr>
      </vt:variant>
      <vt:variant>
        <vt:i4>1769521</vt:i4>
      </vt:variant>
      <vt:variant>
        <vt:i4>71</vt:i4>
      </vt:variant>
      <vt:variant>
        <vt:i4>0</vt:i4>
      </vt:variant>
      <vt:variant>
        <vt:i4>5</vt:i4>
      </vt:variant>
      <vt:variant>
        <vt:lpwstr/>
      </vt:variant>
      <vt:variant>
        <vt:lpwstr>_Toc19961182</vt:lpwstr>
      </vt:variant>
      <vt:variant>
        <vt:i4>1572913</vt:i4>
      </vt:variant>
      <vt:variant>
        <vt:i4>65</vt:i4>
      </vt:variant>
      <vt:variant>
        <vt:i4>0</vt:i4>
      </vt:variant>
      <vt:variant>
        <vt:i4>5</vt:i4>
      </vt:variant>
      <vt:variant>
        <vt:lpwstr/>
      </vt:variant>
      <vt:variant>
        <vt:lpwstr>_Toc19961181</vt:lpwstr>
      </vt:variant>
      <vt:variant>
        <vt:i4>1638449</vt:i4>
      </vt:variant>
      <vt:variant>
        <vt:i4>59</vt:i4>
      </vt:variant>
      <vt:variant>
        <vt:i4>0</vt:i4>
      </vt:variant>
      <vt:variant>
        <vt:i4>5</vt:i4>
      </vt:variant>
      <vt:variant>
        <vt:lpwstr/>
      </vt:variant>
      <vt:variant>
        <vt:lpwstr>_Toc19961180</vt:lpwstr>
      </vt:variant>
      <vt:variant>
        <vt:i4>1048638</vt:i4>
      </vt:variant>
      <vt:variant>
        <vt:i4>53</vt:i4>
      </vt:variant>
      <vt:variant>
        <vt:i4>0</vt:i4>
      </vt:variant>
      <vt:variant>
        <vt:i4>5</vt:i4>
      </vt:variant>
      <vt:variant>
        <vt:lpwstr/>
      </vt:variant>
      <vt:variant>
        <vt:lpwstr>_Toc19961179</vt:lpwstr>
      </vt:variant>
      <vt:variant>
        <vt:i4>1114174</vt:i4>
      </vt:variant>
      <vt:variant>
        <vt:i4>47</vt:i4>
      </vt:variant>
      <vt:variant>
        <vt:i4>0</vt:i4>
      </vt:variant>
      <vt:variant>
        <vt:i4>5</vt:i4>
      </vt:variant>
      <vt:variant>
        <vt:lpwstr/>
      </vt:variant>
      <vt:variant>
        <vt:lpwstr>_Toc19961178</vt:lpwstr>
      </vt:variant>
      <vt:variant>
        <vt:i4>1966142</vt:i4>
      </vt:variant>
      <vt:variant>
        <vt:i4>41</vt:i4>
      </vt:variant>
      <vt:variant>
        <vt:i4>0</vt:i4>
      </vt:variant>
      <vt:variant>
        <vt:i4>5</vt:i4>
      </vt:variant>
      <vt:variant>
        <vt:lpwstr/>
      </vt:variant>
      <vt:variant>
        <vt:lpwstr>_Toc19961177</vt:lpwstr>
      </vt:variant>
      <vt:variant>
        <vt:i4>2031678</vt:i4>
      </vt:variant>
      <vt:variant>
        <vt:i4>35</vt:i4>
      </vt:variant>
      <vt:variant>
        <vt:i4>0</vt:i4>
      </vt:variant>
      <vt:variant>
        <vt:i4>5</vt:i4>
      </vt:variant>
      <vt:variant>
        <vt:lpwstr/>
      </vt:variant>
      <vt:variant>
        <vt:lpwstr>_Toc19961176</vt:lpwstr>
      </vt:variant>
      <vt:variant>
        <vt:i4>1835070</vt:i4>
      </vt:variant>
      <vt:variant>
        <vt:i4>29</vt:i4>
      </vt:variant>
      <vt:variant>
        <vt:i4>0</vt:i4>
      </vt:variant>
      <vt:variant>
        <vt:i4>5</vt:i4>
      </vt:variant>
      <vt:variant>
        <vt:lpwstr/>
      </vt:variant>
      <vt:variant>
        <vt:lpwstr>_Toc19961175</vt:lpwstr>
      </vt:variant>
      <vt:variant>
        <vt:i4>1900606</vt:i4>
      </vt:variant>
      <vt:variant>
        <vt:i4>23</vt:i4>
      </vt:variant>
      <vt:variant>
        <vt:i4>0</vt:i4>
      </vt:variant>
      <vt:variant>
        <vt:i4>5</vt:i4>
      </vt:variant>
      <vt:variant>
        <vt:lpwstr/>
      </vt:variant>
      <vt:variant>
        <vt:lpwstr>_Toc19961174</vt:lpwstr>
      </vt:variant>
      <vt:variant>
        <vt:i4>1703998</vt:i4>
      </vt:variant>
      <vt:variant>
        <vt:i4>17</vt:i4>
      </vt:variant>
      <vt:variant>
        <vt:i4>0</vt:i4>
      </vt:variant>
      <vt:variant>
        <vt:i4>5</vt:i4>
      </vt:variant>
      <vt:variant>
        <vt:lpwstr/>
      </vt:variant>
      <vt:variant>
        <vt:lpwstr>_Toc19961173</vt:lpwstr>
      </vt:variant>
      <vt:variant>
        <vt:i4>1769511</vt:i4>
      </vt:variant>
      <vt:variant>
        <vt:i4>12</vt:i4>
      </vt:variant>
      <vt:variant>
        <vt:i4>0</vt:i4>
      </vt:variant>
      <vt:variant>
        <vt:i4>5</vt:i4>
      </vt:variant>
      <vt:variant>
        <vt:lpwstr>mailto:val@cbu.uz</vt:lpwstr>
      </vt:variant>
      <vt:variant>
        <vt:lpwstr/>
      </vt:variant>
      <vt:variant>
        <vt:i4>7995402</vt:i4>
      </vt:variant>
      <vt:variant>
        <vt:i4>9</vt:i4>
      </vt:variant>
      <vt:variant>
        <vt:i4>0</vt:i4>
      </vt:variant>
      <vt:variant>
        <vt:i4>5</vt:i4>
      </vt:variant>
      <vt:variant>
        <vt:lpwstr>mailto:r.mirzaahmedov@cbu.uz</vt:lpwstr>
      </vt:variant>
      <vt:variant>
        <vt:lpwstr/>
      </vt:variant>
      <vt:variant>
        <vt:i4>786552</vt:i4>
      </vt:variant>
      <vt:variant>
        <vt:i4>6</vt:i4>
      </vt:variant>
      <vt:variant>
        <vt:i4>0</vt:i4>
      </vt:variant>
      <vt:variant>
        <vt:i4>5</vt:i4>
      </vt:variant>
      <vt:variant>
        <vt:lpwstr>mailto:abdurakhmanov.d@cbu.uz</vt:lpwstr>
      </vt:variant>
      <vt:variant>
        <vt:lpwstr/>
      </vt:variant>
      <vt:variant>
        <vt:i4>720910</vt:i4>
      </vt:variant>
      <vt:variant>
        <vt:i4>3</vt:i4>
      </vt:variant>
      <vt:variant>
        <vt:i4>0</vt:i4>
      </vt:variant>
      <vt:variant>
        <vt:i4>5</vt:i4>
      </vt:variant>
      <vt:variant>
        <vt:lpwstr>http://data.imf.org/</vt:lpwstr>
      </vt:variant>
      <vt:variant>
        <vt:lpwstr/>
      </vt:variant>
      <vt:variant>
        <vt:i4>6750310</vt:i4>
      </vt:variant>
      <vt:variant>
        <vt:i4>0</vt:i4>
      </vt:variant>
      <vt:variant>
        <vt:i4>0</vt:i4>
      </vt:variant>
      <vt:variant>
        <vt:i4>5</vt:i4>
      </vt:variant>
      <vt:variant>
        <vt:lpwstr>http://www.cbu.uz/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Valyutchik</dc:creator>
  <cp:keywords/>
  <dc:description/>
  <cp:lastModifiedBy>Rashid Mirzaaxmedov</cp:lastModifiedBy>
  <cp:revision>104</cp:revision>
  <cp:lastPrinted>2021-03-25T10:12:00Z</cp:lastPrinted>
  <dcterms:created xsi:type="dcterms:W3CDTF">2020-03-25T09:10:00Z</dcterms:created>
  <dcterms:modified xsi:type="dcterms:W3CDTF">2021-03-25T10:13:00Z</dcterms:modified>
</cp:coreProperties>
</file>