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theme/themeOverride1.xml" ContentType="application/vnd.openxmlformats-officedocument.themeOverride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6E" w:rsidRPr="00AA376E" w:rsidRDefault="008034D0" w:rsidP="00AA376E">
      <w:pPr>
        <w:tabs>
          <w:tab w:val="left" w:pos="11057"/>
        </w:tabs>
        <w:rPr>
          <w:rFonts w:cs="Calibri"/>
        </w:rPr>
      </w:pPr>
      <w:r w:rsidRPr="00AA376E">
        <w:rPr>
          <w:rFonts w:cs="Calibri"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136525</wp:posOffset>
            </wp:positionV>
            <wp:extent cx="1179195" cy="1179195"/>
            <wp:effectExtent l="0" t="0" r="0" b="0"/>
            <wp:wrapNone/>
            <wp:docPr id="125" name="Рисунок 125" descr="CBU_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BU_Log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B26DD1" w:rsidRPr="00B26DD1">
        <w:rPr>
          <w:noProof/>
        </w:rPr>
        <w:pict>
          <v:rect id="Прямоугольник 3" o:spid="_x0000_s1026" style="position:absolute;margin-left:-3.4pt;margin-top:-20.85pt;width:612pt;height:155.25pt;z-index:-251662848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" fillcolor="#d0cece" strokecolor="window" strokeweight="1.5pt">
            <v:path arrowok="t"/>
            <v:textbox>
              <w:txbxContent>
                <w:p w:rsidR="00B36DE8" w:rsidRPr="00AA376E" w:rsidRDefault="00B36DE8" w:rsidP="00AA376E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32"/>
                      <w:lang w:val="uz-Cyrl-UZ"/>
                    </w:rPr>
                  </w:pPr>
                </w:p>
                <w:p w:rsidR="00B36DE8" w:rsidRPr="00576A80" w:rsidRDefault="00B36DE8" w:rsidP="00B8605D">
                  <w:pPr>
                    <w:ind w:firstLine="2268"/>
                    <w:jc w:val="center"/>
                    <w:rPr>
                      <w:rFonts w:cs="Calibri"/>
                      <w:b/>
                      <w:sz w:val="32"/>
                    </w:rPr>
                  </w:pPr>
                  <w:r w:rsidRPr="00576A80">
                    <w:rPr>
                      <w:rFonts w:cs="Calibri"/>
                      <w:b/>
                      <w:color w:val="000000"/>
                      <w:sz w:val="32"/>
                    </w:rPr>
                    <w:t>ЦЕНТРАЛЬНЫЙ БАНК РЕСПУБЛИКИ УЗБЕКИСТАН</w:t>
                  </w:r>
                </w:p>
                <w:p w:rsidR="00B36DE8" w:rsidRDefault="00B36DE8" w:rsidP="00084A80">
                  <w:pPr>
                    <w:tabs>
                      <w:tab w:val="left" w:pos="567"/>
                    </w:tabs>
                    <w:jc w:val="center"/>
                  </w:pPr>
                </w:p>
              </w:txbxContent>
            </v:textbox>
            <w10:wrap anchorx="page"/>
          </v:rect>
        </w:pict>
      </w:r>
    </w:p>
    <w:p w:rsidR="00AA376E" w:rsidRPr="00AA376E" w:rsidRDefault="00AA376E" w:rsidP="00AA376E">
      <w:pPr>
        <w:rPr>
          <w:rFonts w:cs="Calibri"/>
        </w:rPr>
      </w:pPr>
    </w:p>
    <w:p w:rsidR="00AA376E" w:rsidRPr="00AA376E" w:rsidRDefault="00AA376E" w:rsidP="00AA376E">
      <w:pPr>
        <w:rPr>
          <w:rFonts w:cs="Calibri"/>
        </w:rPr>
      </w:pPr>
    </w:p>
    <w:p w:rsidR="00AA376E" w:rsidRPr="00AA376E" w:rsidRDefault="00AA376E" w:rsidP="00AA376E">
      <w:pPr>
        <w:rPr>
          <w:rFonts w:cs="Calibri"/>
        </w:rPr>
      </w:pPr>
    </w:p>
    <w:p w:rsidR="00AA376E" w:rsidRPr="00AA376E" w:rsidRDefault="00AA376E" w:rsidP="00AA376E">
      <w:pPr>
        <w:rPr>
          <w:rFonts w:cs="Calibri"/>
        </w:rPr>
      </w:pPr>
    </w:p>
    <w:p w:rsidR="00AA376E" w:rsidRPr="00AA376E" w:rsidRDefault="00AA376E" w:rsidP="00AA376E">
      <w:pPr>
        <w:rPr>
          <w:rFonts w:cs="Calibri"/>
        </w:rPr>
      </w:pPr>
    </w:p>
    <w:p w:rsidR="00AA376E" w:rsidRPr="00AA376E" w:rsidRDefault="00AA376E" w:rsidP="00AA376E">
      <w:pPr>
        <w:tabs>
          <w:tab w:val="left" w:pos="4365"/>
        </w:tabs>
        <w:rPr>
          <w:rFonts w:cs="Calibri"/>
          <w:b/>
        </w:rPr>
      </w:pPr>
    </w:p>
    <w:p w:rsidR="00084A80" w:rsidRDefault="00084A80" w:rsidP="00AA376E">
      <w:pPr>
        <w:tabs>
          <w:tab w:val="left" w:pos="4365"/>
        </w:tabs>
        <w:ind w:left="1843"/>
        <w:rPr>
          <w:rFonts w:cs="Calibri"/>
          <w:b/>
          <w:sz w:val="32"/>
          <w:szCs w:val="32"/>
        </w:rPr>
      </w:pPr>
    </w:p>
    <w:p w:rsidR="00084A80" w:rsidRDefault="00084A80" w:rsidP="00AA376E">
      <w:pPr>
        <w:tabs>
          <w:tab w:val="left" w:pos="4365"/>
        </w:tabs>
        <w:ind w:left="1843"/>
        <w:rPr>
          <w:rFonts w:cs="Calibri"/>
          <w:b/>
          <w:sz w:val="32"/>
          <w:szCs w:val="32"/>
        </w:rPr>
      </w:pPr>
    </w:p>
    <w:p w:rsidR="00084A80" w:rsidRDefault="00084A80" w:rsidP="00AA376E">
      <w:pPr>
        <w:tabs>
          <w:tab w:val="left" w:pos="4365"/>
        </w:tabs>
        <w:ind w:left="1843"/>
        <w:rPr>
          <w:rFonts w:cs="Calibri"/>
          <w:b/>
          <w:sz w:val="32"/>
          <w:szCs w:val="32"/>
        </w:rPr>
      </w:pPr>
    </w:p>
    <w:p w:rsidR="00034B8C" w:rsidRDefault="00034B8C" w:rsidP="00AA376E">
      <w:pPr>
        <w:tabs>
          <w:tab w:val="left" w:pos="4365"/>
        </w:tabs>
        <w:ind w:left="1843"/>
        <w:rPr>
          <w:rFonts w:cs="Calibri"/>
          <w:b/>
          <w:sz w:val="32"/>
          <w:szCs w:val="32"/>
        </w:rPr>
      </w:pPr>
    </w:p>
    <w:p w:rsidR="00AA376E" w:rsidRPr="00AA376E" w:rsidRDefault="00AA376E" w:rsidP="00AA376E">
      <w:pPr>
        <w:tabs>
          <w:tab w:val="left" w:pos="4365"/>
        </w:tabs>
        <w:ind w:left="1843"/>
        <w:rPr>
          <w:rFonts w:cs="Calibri"/>
          <w:b/>
          <w:sz w:val="32"/>
          <w:szCs w:val="32"/>
        </w:rPr>
      </w:pPr>
      <w:r w:rsidRPr="00AA376E">
        <w:rPr>
          <w:rFonts w:cs="Calibri"/>
          <w:b/>
          <w:sz w:val="32"/>
          <w:szCs w:val="32"/>
        </w:rPr>
        <w:t>ПЛАТ</w:t>
      </w:r>
      <w:r w:rsidR="00B8605D">
        <w:rPr>
          <w:rFonts w:cs="Calibri"/>
          <w:b/>
          <w:sz w:val="32"/>
          <w:szCs w:val="32"/>
        </w:rPr>
        <w:t>Ё</w:t>
      </w:r>
      <w:r w:rsidRPr="00AA376E">
        <w:rPr>
          <w:rFonts w:cs="Calibri"/>
          <w:b/>
          <w:sz w:val="32"/>
          <w:szCs w:val="32"/>
        </w:rPr>
        <w:t xml:space="preserve">ЖНЫЙ БАЛАНС, </w:t>
      </w:r>
    </w:p>
    <w:p w:rsidR="00AA376E" w:rsidRPr="00AA376E" w:rsidRDefault="00AA376E" w:rsidP="00AA376E">
      <w:pPr>
        <w:tabs>
          <w:tab w:val="left" w:pos="4365"/>
        </w:tabs>
        <w:ind w:left="1843"/>
        <w:rPr>
          <w:rFonts w:cs="Calibri"/>
          <w:b/>
          <w:sz w:val="32"/>
          <w:szCs w:val="32"/>
        </w:rPr>
      </w:pPr>
      <w:r w:rsidRPr="00AA376E">
        <w:rPr>
          <w:rFonts w:cs="Calibri"/>
          <w:b/>
          <w:sz w:val="32"/>
          <w:szCs w:val="32"/>
        </w:rPr>
        <w:t>МЕЖДУНАРОДНАЯ ИНВЕСТИЦИОННАЯ ПОЗИЦИЯ</w:t>
      </w:r>
    </w:p>
    <w:p w:rsidR="00AA376E" w:rsidRPr="00AA376E" w:rsidRDefault="00AA376E" w:rsidP="00AA376E">
      <w:pPr>
        <w:tabs>
          <w:tab w:val="left" w:pos="4365"/>
        </w:tabs>
        <w:ind w:left="1843"/>
        <w:rPr>
          <w:rFonts w:cs="Calibri"/>
          <w:b/>
          <w:sz w:val="32"/>
          <w:szCs w:val="32"/>
        </w:rPr>
      </w:pPr>
      <w:r w:rsidRPr="00AA376E">
        <w:rPr>
          <w:rFonts w:cs="Calibri"/>
          <w:b/>
          <w:sz w:val="32"/>
          <w:szCs w:val="32"/>
        </w:rPr>
        <w:t>И ВНЕШНИЙ ДОЛГ РЕСПУБЛИКИ УЗБЕКИСТАН</w:t>
      </w:r>
    </w:p>
    <w:p w:rsidR="00AA376E" w:rsidRPr="00AA376E" w:rsidRDefault="00AA376E" w:rsidP="00AA376E">
      <w:pPr>
        <w:tabs>
          <w:tab w:val="left" w:pos="4365"/>
        </w:tabs>
        <w:ind w:left="1843"/>
        <w:rPr>
          <w:rFonts w:cs="Calibri"/>
          <w:b/>
          <w:sz w:val="28"/>
        </w:rPr>
      </w:pPr>
    </w:p>
    <w:p w:rsidR="00AA376E" w:rsidRPr="00AA376E" w:rsidRDefault="00AA376E" w:rsidP="00AA376E">
      <w:pPr>
        <w:tabs>
          <w:tab w:val="left" w:pos="4365"/>
        </w:tabs>
        <w:ind w:left="1843"/>
        <w:rPr>
          <w:rFonts w:cs="Calibri"/>
          <w:b/>
          <w:sz w:val="28"/>
          <w:lang w:val="uz-Cyrl-UZ"/>
        </w:rPr>
      </w:pPr>
      <w:r w:rsidRPr="00AA376E">
        <w:rPr>
          <w:rFonts w:cs="Calibri"/>
          <w:b/>
          <w:sz w:val="28"/>
        </w:rPr>
        <w:t xml:space="preserve">за </w:t>
      </w:r>
      <w:r w:rsidR="00890494">
        <w:rPr>
          <w:rFonts w:cs="Calibri"/>
          <w:b/>
          <w:sz w:val="28"/>
          <w:lang w:val="uz-Cyrl-UZ"/>
        </w:rPr>
        <w:t>2019 год</w:t>
      </w:r>
    </w:p>
    <w:p w:rsidR="00AA376E" w:rsidRDefault="00AA376E" w:rsidP="00AA376E">
      <w:pPr>
        <w:tabs>
          <w:tab w:val="left" w:pos="4365"/>
        </w:tabs>
        <w:ind w:left="1843"/>
        <w:rPr>
          <w:rFonts w:cs="Calibri"/>
          <w:b/>
          <w:sz w:val="28"/>
          <w:lang w:val="uz-Cyrl-UZ"/>
        </w:rPr>
      </w:pPr>
    </w:p>
    <w:p w:rsidR="00034B8C" w:rsidRPr="00AA376E" w:rsidRDefault="00034B8C" w:rsidP="00AA376E">
      <w:pPr>
        <w:tabs>
          <w:tab w:val="left" w:pos="4365"/>
        </w:tabs>
        <w:ind w:left="1843"/>
        <w:rPr>
          <w:rFonts w:cs="Calibri"/>
          <w:b/>
          <w:sz w:val="28"/>
          <w:lang w:val="uz-Cyrl-UZ"/>
        </w:rPr>
      </w:pPr>
    </w:p>
    <w:p w:rsidR="00AA376E" w:rsidRPr="00AA376E" w:rsidRDefault="00B26DD1" w:rsidP="00AA376E">
      <w:pPr>
        <w:jc w:val="both"/>
        <w:rPr>
          <w:rFonts w:cs="Calibri"/>
        </w:rPr>
      </w:pPr>
      <w:r w:rsidRPr="00B26DD1">
        <w:rPr>
          <w:noProof/>
        </w:rPr>
        <w:pict>
          <v:rect id="Прямоугольник 2" o:spid="_x0000_s1037" style="position:absolute;left:0;text-align:left;margin-left:-14.95pt;margin-top:401.85pt;width:662.95pt;height:173.4pt;z-index:-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" fillcolor="#d0cece" strokecolor="window" strokeweight="1.5pt">
            <v:path arrowok="t"/>
          </v:rect>
        </w:pict>
      </w:r>
      <w:r w:rsidR="008034D0">
        <w:rPr>
          <w:rFonts w:cs="Calibri"/>
          <w:noProof/>
        </w:rPr>
        <w:drawing>
          <wp:inline distT="0" distB="0" distL="0" distR="0">
            <wp:extent cx="7562850" cy="4686300"/>
            <wp:effectExtent l="0" t="0" r="0" b="0"/>
            <wp:docPr id="31" name="Рисунок 1" descr="1534404878_3bee9a183abab45c1e54a2115a4e7b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34404878_3bee9a183abab45c1e54a2115a4e7b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76E" w:rsidRPr="00AA376E" w:rsidRDefault="00AA376E" w:rsidP="00AA376E">
      <w:pPr>
        <w:jc w:val="center"/>
        <w:rPr>
          <w:rFonts w:cs="Calibri"/>
          <w:b/>
          <w:sz w:val="28"/>
          <w:lang w:val="uz-Cyrl-UZ"/>
        </w:rPr>
      </w:pPr>
    </w:p>
    <w:p w:rsidR="00AA376E" w:rsidRDefault="00AA376E" w:rsidP="00AA376E">
      <w:pPr>
        <w:jc w:val="center"/>
        <w:rPr>
          <w:rFonts w:cs="Calibri"/>
          <w:b/>
          <w:sz w:val="28"/>
          <w:lang w:val="uz-Cyrl-UZ"/>
        </w:rPr>
      </w:pPr>
    </w:p>
    <w:p w:rsidR="00084A80" w:rsidRDefault="00084A80" w:rsidP="00AA376E">
      <w:pPr>
        <w:jc w:val="center"/>
        <w:rPr>
          <w:rFonts w:cs="Calibri"/>
          <w:b/>
          <w:sz w:val="28"/>
          <w:lang w:val="uz-Cyrl-UZ"/>
        </w:rPr>
      </w:pPr>
    </w:p>
    <w:p w:rsidR="00AA376E" w:rsidRPr="00AA376E" w:rsidRDefault="00890494" w:rsidP="00084A80">
      <w:pPr>
        <w:tabs>
          <w:tab w:val="left" w:pos="10348"/>
        </w:tabs>
        <w:jc w:val="center"/>
        <w:rPr>
          <w:rFonts w:cs="Calibri"/>
          <w:b/>
          <w:color w:val="000000"/>
          <w:sz w:val="28"/>
          <w:lang w:val="uz-Cyrl-UZ"/>
        </w:rPr>
      </w:pPr>
      <w:r>
        <w:rPr>
          <w:rFonts w:cs="Calibri"/>
          <w:b/>
          <w:color w:val="000000"/>
          <w:sz w:val="28"/>
          <w:lang w:val="uz-Cyrl-UZ"/>
        </w:rPr>
        <w:t>Март</w:t>
      </w:r>
      <w:r w:rsidR="00AA376E" w:rsidRPr="00AA376E">
        <w:rPr>
          <w:rFonts w:cs="Calibri"/>
          <w:b/>
          <w:color w:val="000000"/>
          <w:sz w:val="28"/>
          <w:lang w:val="uz-Cyrl-UZ"/>
        </w:rPr>
        <w:t xml:space="preserve"> 20</w:t>
      </w:r>
      <w:r>
        <w:rPr>
          <w:rFonts w:cs="Calibri"/>
          <w:b/>
          <w:color w:val="000000"/>
          <w:sz w:val="28"/>
          <w:lang w:val="uz-Cyrl-UZ"/>
        </w:rPr>
        <w:t>20</w:t>
      </w:r>
    </w:p>
    <w:p w:rsidR="00AA376E" w:rsidRPr="00084A80" w:rsidRDefault="00084A80" w:rsidP="00084A80">
      <w:pPr>
        <w:jc w:val="center"/>
        <w:rPr>
          <w:rFonts w:cs="Calibri"/>
          <w:b/>
          <w:color w:val="000000"/>
          <w:sz w:val="28"/>
          <w:lang w:val="uz-Cyrl-UZ"/>
        </w:rPr>
      </w:pPr>
      <w:r>
        <w:rPr>
          <w:rFonts w:cs="Calibri"/>
          <w:b/>
          <w:color w:val="000000"/>
          <w:sz w:val="28"/>
          <w:lang w:val="uz-Cyrl-UZ"/>
        </w:rPr>
        <w:t>Ташкент</w:t>
      </w:r>
    </w:p>
    <w:p w:rsidR="00084A80" w:rsidRDefault="00084A80" w:rsidP="00961BD0">
      <w:pPr>
        <w:jc w:val="center"/>
        <w:rPr>
          <w:noProof/>
        </w:rPr>
        <w:sectPr w:rsidR="00084A80" w:rsidSect="00084A80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0" w:right="0" w:bottom="0" w:left="0" w:header="0" w:footer="0" w:gutter="0"/>
          <w:cols w:space="708"/>
          <w:titlePg/>
          <w:docGrid w:linePitch="360"/>
        </w:sectPr>
      </w:pPr>
    </w:p>
    <w:p w:rsidR="003B6EF4" w:rsidRPr="00954B3F" w:rsidRDefault="00961BD0" w:rsidP="00E27341">
      <w:pPr>
        <w:ind w:firstLine="708"/>
        <w:rPr>
          <w:b/>
          <w:sz w:val="26"/>
          <w:szCs w:val="26"/>
        </w:rPr>
      </w:pPr>
      <w:r w:rsidRPr="00954B3F">
        <w:rPr>
          <w:b/>
          <w:sz w:val="26"/>
          <w:szCs w:val="26"/>
        </w:rPr>
        <w:lastRenderedPageBreak/>
        <w:t>ВВЕДЕНИЕ</w:t>
      </w:r>
    </w:p>
    <w:p w:rsidR="00BD7BEF" w:rsidRPr="00954B3F" w:rsidRDefault="00BD7BEF" w:rsidP="004A6C68">
      <w:pPr>
        <w:spacing w:before="120" w:line="288" w:lineRule="auto"/>
        <w:ind w:firstLine="709"/>
        <w:jc w:val="both"/>
        <w:rPr>
          <w:rFonts w:cs="Calibri"/>
          <w:sz w:val="26"/>
          <w:szCs w:val="26"/>
        </w:rPr>
      </w:pPr>
    </w:p>
    <w:p w:rsidR="00D54C61" w:rsidRDefault="00D54C61" w:rsidP="00B8605D">
      <w:pPr>
        <w:spacing w:before="60" w:line="288" w:lineRule="auto"/>
        <w:ind w:firstLine="709"/>
        <w:jc w:val="both"/>
        <w:rPr>
          <w:rFonts w:cs="Calibri"/>
          <w:sz w:val="26"/>
          <w:szCs w:val="26"/>
        </w:rPr>
      </w:pPr>
      <w:r w:rsidRPr="00954B3F">
        <w:rPr>
          <w:rFonts w:cs="Calibri"/>
          <w:sz w:val="26"/>
          <w:szCs w:val="26"/>
        </w:rPr>
        <w:t>Настоящ</w:t>
      </w:r>
      <w:r w:rsidR="00A07D7B" w:rsidRPr="00954B3F">
        <w:rPr>
          <w:rFonts w:cs="Calibri"/>
          <w:sz w:val="26"/>
          <w:szCs w:val="26"/>
        </w:rPr>
        <w:t>ая</w:t>
      </w:r>
      <w:r w:rsidRPr="00954B3F">
        <w:rPr>
          <w:rFonts w:cs="Calibri"/>
          <w:sz w:val="26"/>
          <w:szCs w:val="26"/>
        </w:rPr>
        <w:t xml:space="preserve"> </w:t>
      </w:r>
      <w:r w:rsidR="00A07D7B" w:rsidRPr="00954B3F">
        <w:rPr>
          <w:rFonts w:cs="Calibri"/>
          <w:sz w:val="26"/>
          <w:szCs w:val="26"/>
        </w:rPr>
        <w:t>публикация</w:t>
      </w:r>
      <w:r w:rsidRPr="00954B3F">
        <w:rPr>
          <w:rFonts w:cs="Calibri"/>
          <w:sz w:val="26"/>
          <w:szCs w:val="26"/>
        </w:rPr>
        <w:t xml:space="preserve"> подготовлен</w:t>
      </w:r>
      <w:r w:rsidR="00A07D7B" w:rsidRPr="00954B3F">
        <w:rPr>
          <w:rFonts w:cs="Calibri"/>
          <w:sz w:val="26"/>
          <w:szCs w:val="26"/>
        </w:rPr>
        <w:t>а</w:t>
      </w:r>
      <w:r w:rsidRPr="00954B3F">
        <w:rPr>
          <w:rFonts w:cs="Calibri"/>
          <w:sz w:val="26"/>
          <w:szCs w:val="26"/>
        </w:rPr>
        <w:t xml:space="preserve"> Департаментом валютного регулирования и</w:t>
      </w:r>
      <w:r w:rsidR="009C6DD5" w:rsidRPr="00954B3F">
        <w:rPr>
          <w:rFonts w:cs="Calibri"/>
          <w:sz w:val="26"/>
          <w:szCs w:val="26"/>
        </w:rPr>
        <w:t xml:space="preserve"> </w:t>
      </w:r>
      <w:r w:rsidRPr="00954B3F">
        <w:rPr>
          <w:rFonts w:cs="Calibri"/>
          <w:sz w:val="26"/>
          <w:szCs w:val="26"/>
        </w:rPr>
        <w:t>плат</w:t>
      </w:r>
      <w:r w:rsidR="007D2136" w:rsidRPr="00954B3F">
        <w:rPr>
          <w:rFonts w:cs="Calibri"/>
          <w:sz w:val="26"/>
          <w:szCs w:val="26"/>
        </w:rPr>
        <w:t>ё</w:t>
      </w:r>
      <w:r w:rsidRPr="00954B3F">
        <w:rPr>
          <w:rFonts w:cs="Calibri"/>
          <w:sz w:val="26"/>
          <w:szCs w:val="26"/>
        </w:rPr>
        <w:t>жного баланса Центрального банка</w:t>
      </w:r>
      <w:r w:rsidR="00A07D7B" w:rsidRPr="00954B3F">
        <w:rPr>
          <w:rFonts w:cs="Calibri"/>
          <w:sz w:val="26"/>
          <w:szCs w:val="26"/>
        </w:rPr>
        <w:t xml:space="preserve"> Республики Узбекистан</w:t>
      </w:r>
      <w:r w:rsidRPr="00954B3F">
        <w:rPr>
          <w:rFonts w:cs="Calibri"/>
          <w:sz w:val="26"/>
          <w:szCs w:val="26"/>
        </w:rPr>
        <w:t xml:space="preserve">. </w:t>
      </w:r>
      <w:r w:rsidR="00954B3F">
        <w:rPr>
          <w:rFonts w:cs="Calibri"/>
          <w:sz w:val="26"/>
          <w:szCs w:val="26"/>
        </w:rPr>
        <w:br/>
      </w:r>
      <w:r w:rsidRPr="00954B3F">
        <w:rPr>
          <w:rFonts w:cs="Calibri"/>
          <w:sz w:val="26"/>
          <w:szCs w:val="26"/>
        </w:rPr>
        <w:t xml:space="preserve">В </w:t>
      </w:r>
      <w:r w:rsidR="00A07D7B" w:rsidRPr="00954B3F">
        <w:rPr>
          <w:rFonts w:cs="Calibri"/>
          <w:sz w:val="26"/>
          <w:szCs w:val="26"/>
        </w:rPr>
        <w:t>публикации</w:t>
      </w:r>
      <w:r w:rsidRPr="00954B3F">
        <w:rPr>
          <w:rFonts w:cs="Calibri"/>
          <w:sz w:val="26"/>
          <w:szCs w:val="26"/>
        </w:rPr>
        <w:t xml:space="preserve"> излагаются сведения по</w:t>
      </w:r>
      <w:r w:rsidR="009C6DD5" w:rsidRPr="00954B3F">
        <w:rPr>
          <w:rFonts w:cs="Calibri"/>
          <w:sz w:val="26"/>
          <w:szCs w:val="26"/>
        </w:rPr>
        <w:t xml:space="preserve"> </w:t>
      </w:r>
      <w:r w:rsidRPr="00954B3F">
        <w:rPr>
          <w:rFonts w:cs="Calibri"/>
          <w:sz w:val="26"/>
          <w:szCs w:val="26"/>
        </w:rPr>
        <w:t>плат</w:t>
      </w:r>
      <w:r w:rsidR="007D2136" w:rsidRPr="00954B3F">
        <w:rPr>
          <w:rFonts w:cs="Calibri"/>
          <w:sz w:val="26"/>
          <w:szCs w:val="26"/>
        </w:rPr>
        <w:t>ё</w:t>
      </w:r>
      <w:r w:rsidRPr="00954B3F">
        <w:rPr>
          <w:rFonts w:cs="Calibri"/>
          <w:sz w:val="26"/>
          <w:szCs w:val="26"/>
        </w:rPr>
        <w:t>жно</w:t>
      </w:r>
      <w:r w:rsidR="00D25CF1" w:rsidRPr="00954B3F">
        <w:rPr>
          <w:rFonts w:cs="Calibri"/>
          <w:sz w:val="26"/>
          <w:szCs w:val="26"/>
        </w:rPr>
        <w:t>му</w:t>
      </w:r>
      <w:r w:rsidRPr="00954B3F">
        <w:rPr>
          <w:rFonts w:cs="Calibri"/>
          <w:sz w:val="26"/>
          <w:szCs w:val="26"/>
        </w:rPr>
        <w:t xml:space="preserve"> баланс</w:t>
      </w:r>
      <w:r w:rsidR="00D25CF1" w:rsidRPr="00954B3F">
        <w:rPr>
          <w:rFonts w:cs="Calibri"/>
          <w:sz w:val="26"/>
          <w:szCs w:val="26"/>
        </w:rPr>
        <w:t>у</w:t>
      </w:r>
      <w:r w:rsidRPr="00954B3F">
        <w:rPr>
          <w:rFonts w:cs="Calibri"/>
          <w:sz w:val="26"/>
          <w:szCs w:val="26"/>
        </w:rPr>
        <w:t xml:space="preserve"> и международной инвестиционной позиции</w:t>
      </w:r>
      <w:r w:rsidR="00A07D7B" w:rsidRPr="00954B3F">
        <w:rPr>
          <w:rFonts w:cs="Calibri"/>
          <w:sz w:val="26"/>
          <w:szCs w:val="26"/>
        </w:rPr>
        <w:t>, а также совокупному внешнему долгу</w:t>
      </w:r>
      <w:r w:rsidRPr="00954B3F">
        <w:rPr>
          <w:rFonts w:cs="Calibri"/>
          <w:sz w:val="26"/>
          <w:szCs w:val="26"/>
        </w:rPr>
        <w:t xml:space="preserve"> </w:t>
      </w:r>
      <w:r w:rsidR="009A48BE" w:rsidRPr="00954B3F">
        <w:rPr>
          <w:rFonts w:cs="Calibri"/>
          <w:sz w:val="26"/>
          <w:szCs w:val="26"/>
        </w:rPr>
        <w:t>за 2019 год</w:t>
      </w:r>
      <w:r w:rsidR="00775852" w:rsidRPr="00954B3F">
        <w:rPr>
          <w:rFonts w:cs="Calibri"/>
          <w:sz w:val="26"/>
          <w:szCs w:val="26"/>
        </w:rPr>
        <w:t>,</w:t>
      </w:r>
      <w:r w:rsidR="00926697" w:rsidRPr="00954B3F">
        <w:rPr>
          <w:rFonts w:cs="Calibri"/>
          <w:sz w:val="26"/>
          <w:szCs w:val="26"/>
        </w:rPr>
        <w:t xml:space="preserve"> </w:t>
      </w:r>
      <w:r w:rsidRPr="00954B3F">
        <w:rPr>
          <w:rFonts w:cs="Calibri"/>
          <w:sz w:val="26"/>
          <w:szCs w:val="26"/>
        </w:rPr>
        <w:t>которые составлены в</w:t>
      </w:r>
      <w:r w:rsidR="009C6DD5" w:rsidRPr="00954B3F">
        <w:rPr>
          <w:rFonts w:cs="Calibri"/>
          <w:sz w:val="26"/>
          <w:szCs w:val="26"/>
        </w:rPr>
        <w:t xml:space="preserve"> </w:t>
      </w:r>
      <w:r w:rsidRPr="00954B3F">
        <w:rPr>
          <w:rFonts w:cs="Calibri"/>
          <w:sz w:val="26"/>
          <w:szCs w:val="26"/>
        </w:rPr>
        <w:t>соответствии с шестым изданием Руководства по плат</w:t>
      </w:r>
      <w:r w:rsidR="007D2136" w:rsidRPr="00954B3F">
        <w:rPr>
          <w:rFonts w:cs="Calibri"/>
          <w:sz w:val="26"/>
          <w:szCs w:val="26"/>
        </w:rPr>
        <w:t>ё</w:t>
      </w:r>
      <w:r w:rsidRPr="00954B3F">
        <w:rPr>
          <w:rFonts w:cs="Calibri"/>
          <w:sz w:val="26"/>
          <w:szCs w:val="26"/>
        </w:rPr>
        <w:t xml:space="preserve">жному балансу </w:t>
      </w:r>
      <w:r w:rsidR="00D15996">
        <w:rPr>
          <w:rFonts w:cs="Calibri"/>
          <w:sz w:val="26"/>
          <w:szCs w:val="26"/>
        </w:rPr>
        <w:br/>
      </w:r>
      <w:r w:rsidRPr="00954B3F">
        <w:rPr>
          <w:rFonts w:cs="Calibri"/>
          <w:sz w:val="26"/>
          <w:szCs w:val="26"/>
        </w:rPr>
        <w:t>и</w:t>
      </w:r>
      <w:r w:rsidR="009C6DD5" w:rsidRPr="00954B3F">
        <w:rPr>
          <w:rFonts w:cs="Calibri"/>
          <w:sz w:val="26"/>
          <w:szCs w:val="26"/>
        </w:rPr>
        <w:t xml:space="preserve"> </w:t>
      </w:r>
      <w:r w:rsidRPr="00954B3F">
        <w:rPr>
          <w:rFonts w:cs="Calibri"/>
          <w:sz w:val="26"/>
          <w:szCs w:val="26"/>
        </w:rPr>
        <w:t>международной инвестиционной</w:t>
      </w:r>
      <w:r w:rsidR="00A07D7B" w:rsidRPr="00954B3F">
        <w:rPr>
          <w:rFonts w:cs="Calibri"/>
          <w:sz w:val="26"/>
          <w:szCs w:val="26"/>
        </w:rPr>
        <w:t xml:space="preserve"> позиции (РПБ6.</w:t>
      </w:r>
      <w:r w:rsidR="009C6DD5" w:rsidRPr="00954B3F">
        <w:rPr>
          <w:rFonts w:cs="Calibri"/>
          <w:sz w:val="26"/>
          <w:szCs w:val="26"/>
        </w:rPr>
        <w:t> </w:t>
      </w:r>
      <w:r w:rsidR="00A07D7B" w:rsidRPr="00954B3F">
        <w:rPr>
          <w:rFonts w:cs="Calibri"/>
          <w:sz w:val="26"/>
          <w:szCs w:val="26"/>
        </w:rPr>
        <w:t xml:space="preserve">МВФ, </w:t>
      </w:r>
      <w:smartTag w:uri="urn:schemas-microsoft-com:office:smarttags" w:element="metricconverter">
        <w:smartTagPr>
          <w:attr w:name="ProductID" w:val="2009 г"/>
        </w:smartTagPr>
        <w:r w:rsidR="00A07D7B" w:rsidRPr="00954B3F">
          <w:rPr>
            <w:rFonts w:cs="Calibri"/>
            <w:sz w:val="26"/>
            <w:szCs w:val="26"/>
          </w:rPr>
          <w:t>2009 г</w:t>
        </w:r>
      </w:smartTag>
      <w:r w:rsidR="00A07D7B" w:rsidRPr="00954B3F">
        <w:rPr>
          <w:rFonts w:cs="Calibri"/>
          <w:sz w:val="26"/>
          <w:szCs w:val="26"/>
        </w:rPr>
        <w:t>.).</w:t>
      </w:r>
    </w:p>
    <w:p w:rsidR="00D15996" w:rsidRPr="00954B3F" w:rsidRDefault="00C14AF4" w:rsidP="00B8605D">
      <w:pPr>
        <w:spacing w:before="60" w:line="288" w:lineRule="auto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При этом</w:t>
      </w:r>
      <w:r w:rsidR="008B518F">
        <w:rPr>
          <w:rFonts w:cs="Calibri"/>
          <w:sz w:val="26"/>
          <w:szCs w:val="26"/>
        </w:rPr>
        <w:t>,</w:t>
      </w:r>
      <w:r>
        <w:rPr>
          <w:rFonts w:cs="Calibri"/>
          <w:sz w:val="26"/>
          <w:szCs w:val="26"/>
        </w:rPr>
        <w:t xml:space="preserve"> исходя из рекомендаций миссии технического содействия были вновь составлены показатели статистики внешнего сектора</w:t>
      </w:r>
      <w:r w:rsidR="00D15996" w:rsidRPr="00D15996">
        <w:rPr>
          <w:rFonts w:cs="Calibri"/>
          <w:sz w:val="26"/>
          <w:szCs w:val="26"/>
        </w:rPr>
        <w:t xml:space="preserve"> за 201</w:t>
      </w:r>
      <w:r w:rsidR="00D15996">
        <w:rPr>
          <w:rFonts w:cs="Calibri"/>
          <w:sz w:val="26"/>
          <w:szCs w:val="26"/>
        </w:rPr>
        <w:t>4 - </w:t>
      </w:r>
      <w:r w:rsidR="00D15996" w:rsidRPr="00D15996">
        <w:rPr>
          <w:rFonts w:cs="Calibri"/>
          <w:sz w:val="26"/>
          <w:szCs w:val="26"/>
        </w:rPr>
        <w:t>201</w:t>
      </w:r>
      <w:r w:rsidR="00D15996">
        <w:rPr>
          <w:rFonts w:cs="Calibri"/>
          <w:sz w:val="26"/>
          <w:szCs w:val="26"/>
        </w:rPr>
        <w:t>5</w:t>
      </w:r>
      <w:r w:rsidR="00D15996" w:rsidRPr="00D15996">
        <w:rPr>
          <w:rFonts w:cs="Calibri"/>
          <w:sz w:val="26"/>
          <w:szCs w:val="26"/>
        </w:rPr>
        <w:t xml:space="preserve"> годы в соответствии </w:t>
      </w:r>
      <w:r w:rsidR="00A83200">
        <w:rPr>
          <w:rFonts w:cs="Calibri"/>
          <w:sz w:val="26"/>
          <w:szCs w:val="26"/>
        </w:rPr>
        <w:br/>
      </w:r>
      <w:r w:rsidR="00D15996" w:rsidRPr="00D15996">
        <w:rPr>
          <w:rFonts w:cs="Calibri"/>
          <w:sz w:val="26"/>
          <w:szCs w:val="26"/>
        </w:rPr>
        <w:t xml:space="preserve">с методологией РПБ6. </w:t>
      </w:r>
      <w:r w:rsidR="00D15996">
        <w:rPr>
          <w:rFonts w:cs="Calibri"/>
          <w:sz w:val="26"/>
          <w:szCs w:val="26"/>
        </w:rPr>
        <w:t>П</w:t>
      </w:r>
      <w:r>
        <w:rPr>
          <w:rFonts w:cs="Calibri"/>
          <w:sz w:val="26"/>
          <w:szCs w:val="26"/>
        </w:rPr>
        <w:t>ри составлении статистических показателей были использованы данные министерств, ведомств и предприятий, а также применены ретроспективные оценки</w:t>
      </w:r>
      <w:r w:rsidR="00D15996" w:rsidRPr="00D15996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на основе</w:t>
      </w:r>
      <w:r w:rsidR="00D15996" w:rsidRPr="00D15996">
        <w:rPr>
          <w:rFonts w:cs="Calibri"/>
          <w:sz w:val="26"/>
          <w:szCs w:val="26"/>
        </w:rPr>
        <w:t xml:space="preserve"> основных индикаторов общеэкономической ситуации.</w:t>
      </w:r>
    </w:p>
    <w:p w:rsidR="0002749F" w:rsidRPr="00954B3F" w:rsidRDefault="005D7633" w:rsidP="00B8605D">
      <w:pPr>
        <w:shd w:val="clear" w:color="auto" w:fill="FFFFFF"/>
        <w:spacing w:before="60" w:line="288" w:lineRule="auto"/>
        <w:ind w:firstLine="709"/>
        <w:jc w:val="both"/>
        <w:rPr>
          <w:sz w:val="26"/>
          <w:szCs w:val="26"/>
        </w:rPr>
      </w:pPr>
      <w:r w:rsidRPr="00954B3F">
        <w:rPr>
          <w:sz w:val="26"/>
          <w:szCs w:val="26"/>
        </w:rPr>
        <w:t>П</w:t>
      </w:r>
      <w:r w:rsidR="006951BF" w:rsidRPr="00954B3F">
        <w:rPr>
          <w:sz w:val="26"/>
          <w:szCs w:val="26"/>
        </w:rPr>
        <w:t xml:space="preserve">ри </w:t>
      </w:r>
      <w:r w:rsidR="009D0569" w:rsidRPr="00954B3F">
        <w:rPr>
          <w:sz w:val="26"/>
          <w:szCs w:val="26"/>
        </w:rPr>
        <w:t>изложении</w:t>
      </w:r>
      <w:r w:rsidR="006951BF" w:rsidRPr="00954B3F">
        <w:rPr>
          <w:sz w:val="26"/>
          <w:szCs w:val="26"/>
        </w:rPr>
        <w:t xml:space="preserve"> сравнительного анализа приводятся некоторые относительные показатели, а также </w:t>
      </w:r>
      <w:r w:rsidRPr="00954B3F">
        <w:rPr>
          <w:sz w:val="26"/>
          <w:szCs w:val="26"/>
        </w:rPr>
        <w:t>представляется</w:t>
      </w:r>
      <w:r w:rsidR="006951BF" w:rsidRPr="00954B3F">
        <w:rPr>
          <w:sz w:val="26"/>
          <w:szCs w:val="26"/>
        </w:rPr>
        <w:t xml:space="preserve"> экспертн</w:t>
      </w:r>
      <w:r w:rsidR="00C208A2" w:rsidRPr="00954B3F">
        <w:rPr>
          <w:sz w:val="26"/>
          <w:szCs w:val="26"/>
        </w:rPr>
        <w:t xml:space="preserve">ое мнение по </w:t>
      </w:r>
      <w:r w:rsidR="00926697" w:rsidRPr="00954B3F">
        <w:rPr>
          <w:sz w:val="26"/>
          <w:szCs w:val="26"/>
        </w:rPr>
        <w:t xml:space="preserve">наблюдаемым </w:t>
      </w:r>
      <w:r w:rsidR="00C208A2" w:rsidRPr="00954B3F">
        <w:rPr>
          <w:sz w:val="26"/>
          <w:szCs w:val="26"/>
        </w:rPr>
        <w:t xml:space="preserve">изменениям </w:t>
      </w:r>
      <w:r w:rsidR="006951BF" w:rsidRPr="00954B3F">
        <w:rPr>
          <w:sz w:val="26"/>
          <w:szCs w:val="26"/>
        </w:rPr>
        <w:t xml:space="preserve">для облегчения их понимания </w:t>
      </w:r>
      <w:r w:rsidR="005410A9" w:rsidRPr="00954B3F">
        <w:rPr>
          <w:sz w:val="26"/>
          <w:szCs w:val="26"/>
        </w:rPr>
        <w:t>в контексте развития общеэкономической ситуации</w:t>
      </w:r>
      <w:r w:rsidR="006951BF" w:rsidRPr="00954B3F">
        <w:rPr>
          <w:sz w:val="26"/>
          <w:szCs w:val="26"/>
        </w:rPr>
        <w:t xml:space="preserve">. </w:t>
      </w:r>
      <w:r w:rsidR="0002749F" w:rsidRPr="00954B3F">
        <w:rPr>
          <w:sz w:val="26"/>
          <w:szCs w:val="26"/>
        </w:rPr>
        <w:t>Методологически</w:t>
      </w:r>
      <w:r w:rsidR="002A6BCB" w:rsidRPr="00954B3F">
        <w:rPr>
          <w:sz w:val="26"/>
          <w:szCs w:val="26"/>
        </w:rPr>
        <w:t>й</w:t>
      </w:r>
      <w:r w:rsidR="0002749F" w:rsidRPr="00954B3F">
        <w:rPr>
          <w:sz w:val="26"/>
          <w:szCs w:val="26"/>
        </w:rPr>
        <w:t xml:space="preserve"> комментарий</w:t>
      </w:r>
      <w:r w:rsidR="002A6BCB" w:rsidRPr="00954B3F">
        <w:rPr>
          <w:sz w:val="26"/>
          <w:szCs w:val="26"/>
        </w:rPr>
        <w:t xml:space="preserve"> к платёжному балансу, а также источники </w:t>
      </w:r>
      <w:r w:rsidR="009D0569" w:rsidRPr="00954B3F">
        <w:rPr>
          <w:sz w:val="26"/>
          <w:szCs w:val="26"/>
        </w:rPr>
        <w:t xml:space="preserve">информации </w:t>
      </w:r>
      <w:r w:rsidR="002A6BCB" w:rsidRPr="00954B3F">
        <w:rPr>
          <w:sz w:val="26"/>
          <w:szCs w:val="26"/>
        </w:rPr>
        <w:t>и пояснения к составленным данным</w:t>
      </w:r>
      <w:r w:rsidR="002B4A40" w:rsidRPr="00954B3F">
        <w:rPr>
          <w:sz w:val="26"/>
          <w:szCs w:val="26"/>
        </w:rPr>
        <w:t xml:space="preserve"> привод</w:t>
      </w:r>
      <w:r w:rsidR="00775852" w:rsidRPr="00954B3F">
        <w:rPr>
          <w:sz w:val="26"/>
          <w:szCs w:val="26"/>
        </w:rPr>
        <w:t>я</w:t>
      </w:r>
      <w:r w:rsidR="002B4A40" w:rsidRPr="00954B3F">
        <w:rPr>
          <w:sz w:val="26"/>
          <w:szCs w:val="26"/>
        </w:rPr>
        <w:t>тся в отдельн</w:t>
      </w:r>
      <w:r w:rsidR="002A6BCB" w:rsidRPr="00954B3F">
        <w:rPr>
          <w:sz w:val="26"/>
          <w:szCs w:val="26"/>
        </w:rPr>
        <w:t xml:space="preserve">ом разделе </w:t>
      </w:r>
      <w:r w:rsidR="00E305FF">
        <w:rPr>
          <w:sz w:val="26"/>
          <w:szCs w:val="26"/>
        </w:rPr>
        <w:br/>
      </w:r>
      <w:r w:rsidR="002A6BCB" w:rsidRPr="00954B3F">
        <w:rPr>
          <w:sz w:val="26"/>
          <w:szCs w:val="26"/>
        </w:rPr>
        <w:t>в начале публикации.</w:t>
      </w:r>
    </w:p>
    <w:p w:rsidR="00AD3EE8" w:rsidRPr="00954B3F" w:rsidRDefault="00AD3EE8" w:rsidP="00B8605D">
      <w:pPr>
        <w:shd w:val="clear" w:color="auto" w:fill="FFFFFF"/>
        <w:spacing w:before="60" w:line="288" w:lineRule="auto"/>
        <w:ind w:firstLine="709"/>
        <w:jc w:val="both"/>
        <w:rPr>
          <w:rFonts w:cs="Arial"/>
          <w:sz w:val="26"/>
          <w:szCs w:val="26"/>
        </w:rPr>
      </w:pPr>
      <w:r w:rsidRPr="00954B3F">
        <w:rPr>
          <w:rFonts w:cs="Arial"/>
          <w:sz w:val="26"/>
          <w:szCs w:val="26"/>
        </w:rPr>
        <w:t>Корректировки ранее опубликованных исторических рядов осуществляются при изменении методологии учёта и получении дополнительных данных. При этом, источниками уточнения ранее опубликованных рядов являются отчёты, получаемые по операциям между резидент</w:t>
      </w:r>
      <w:r w:rsidR="008F6F66" w:rsidRPr="00954B3F">
        <w:rPr>
          <w:rFonts w:cs="Arial"/>
          <w:sz w:val="26"/>
          <w:szCs w:val="26"/>
        </w:rPr>
        <w:t xml:space="preserve">ами и нерезидентами, </w:t>
      </w:r>
      <w:r w:rsidR="00961BD0" w:rsidRPr="00954B3F">
        <w:rPr>
          <w:rFonts w:cs="Arial"/>
          <w:sz w:val="26"/>
          <w:szCs w:val="26"/>
        </w:rPr>
        <w:t>информация,</w:t>
      </w:r>
      <w:r w:rsidRPr="00954B3F">
        <w:rPr>
          <w:rFonts w:cs="Arial"/>
          <w:sz w:val="26"/>
          <w:szCs w:val="26"/>
        </w:rPr>
        <w:t xml:space="preserve"> представляемая хозяйствующими субъектами, выявленные статистические расхождения, а также уточнение данных внешней торговли.</w:t>
      </w:r>
    </w:p>
    <w:p w:rsidR="00C208A2" w:rsidRPr="00954B3F" w:rsidRDefault="00C208A2" w:rsidP="00B8605D">
      <w:pPr>
        <w:shd w:val="clear" w:color="auto" w:fill="FFFFFF"/>
        <w:spacing w:before="60" w:line="288" w:lineRule="auto"/>
        <w:ind w:firstLine="709"/>
        <w:jc w:val="both"/>
        <w:rPr>
          <w:rFonts w:cs="Arial"/>
          <w:sz w:val="26"/>
          <w:szCs w:val="26"/>
        </w:rPr>
      </w:pPr>
      <w:r w:rsidRPr="00E305FF">
        <w:rPr>
          <w:rFonts w:cs="Arial"/>
          <w:sz w:val="26"/>
          <w:szCs w:val="26"/>
        </w:rPr>
        <w:t>Статистические данные</w:t>
      </w:r>
      <w:r w:rsidR="00775852" w:rsidRPr="00E305FF">
        <w:rPr>
          <w:rFonts w:cs="Arial"/>
          <w:sz w:val="26"/>
          <w:szCs w:val="26"/>
        </w:rPr>
        <w:t>,</w:t>
      </w:r>
      <w:r w:rsidRPr="00E305FF">
        <w:rPr>
          <w:rFonts w:cs="Arial"/>
          <w:sz w:val="26"/>
          <w:szCs w:val="26"/>
        </w:rPr>
        <w:t xml:space="preserve"> </w:t>
      </w:r>
      <w:r w:rsidR="00160A51" w:rsidRPr="00E305FF">
        <w:rPr>
          <w:rFonts w:cs="Arial"/>
          <w:sz w:val="26"/>
          <w:szCs w:val="26"/>
        </w:rPr>
        <w:t>приведённые</w:t>
      </w:r>
      <w:r w:rsidRPr="00E305FF">
        <w:rPr>
          <w:rFonts w:cs="Arial"/>
          <w:sz w:val="26"/>
          <w:szCs w:val="26"/>
        </w:rPr>
        <w:t xml:space="preserve"> в публикации</w:t>
      </w:r>
      <w:r w:rsidR="00775852" w:rsidRPr="00E305FF">
        <w:rPr>
          <w:rFonts w:cs="Arial"/>
          <w:sz w:val="26"/>
          <w:szCs w:val="26"/>
        </w:rPr>
        <w:t>,</w:t>
      </w:r>
      <w:r w:rsidRPr="00E305FF">
        <w:rPr>
          <w:rFonts w:cs="Arial"/>
          <w:sz w:val="26"/>
          <w:szCs w:val="26"/>
        </w:rPr>
        <w:t xml:space="preserve"> </w:t>
      </w:r>
      <w:r w:rsidR="004A6C68" w:rsidRPr="00E305FF">
        <w:rPr>
          <w:rFonts w:cs="Arial"/>
          <w:sz w:val="26"/>
          <w:szCs w:val="26"/>
        </w:rPr>
        <w:t>актуальны</w:t>
      </w:r>
      <w:r w:rsidRPr="00E305FF">
        <w:rPr>
          <w:rFonts w:cs="Arial"/>
          <w:sz w:val="26"/>
          <w:szCs w:val="26"/>
        </w:rPr>
        <w:t xml:space="preserve"> по состоянию </w:t>
      </w:r>
      <w:r w:rsidR="00F8044C" w:rsidRPr="00E305FF">
        <w:rPr>
          <w:rFonts w:cs="Arial"/>
          <w:sz w:val="26"/>
          <w:szCs w:val="26"/>
        </w:rPr>
        <w:br/>
      </w:r>
      <w:r w:rsidRPr="00E305FF">
        <w:rPr>
          <w:rFonts w:cs="Arial"/>
          <w:sz w:val="26"/>
          <w:szCs w:val="26"/>
        </w:rPr>
        <w:t xml:space="preserve">на </w:t>
      </w:r>
      <w:r w:rsidR="00625374" w:rsidRPr="00E305FF">
        <w:rPr>
          <w:rFonts w:cs="Arial"/>
          <w:sz w:val="26"/>
          <w:szCs w:val="26"/>
        </w:rPr>
        <w:t>март</w:t>
      </w:r>
      <w:r w:rsidRPr="00E305FF">
        <w:rPr>
          <w:rFonts w:cs="Arial"/>
          <w:sz w:val="26"/>
          <w:szCs w:val="26"/>
        </w:rPr>
        <w:t xml:space="preserve"> 20</w:t>
      </w:r>
      <w:r w:rsidR="00625374" w:rsidRPr="00E305FF">
        <w:rPr>
          <w:rFonts w:cs="Arial"/>
          <w:sz w:val="26"/>
          <w:szCs w:val="26"/>
        </w:rPr>
        <w:t>20</w:t>
      </w:r>
      <w:r w:rsidRPr="00E305FF">
        <w:rPr>
          <w:rFonts w:cs="Arial"/>
          <w:sz w:val="26"/>
          <w:szCs w:val="26"/>
        </w:rPr>
        <w:t xml:space="preserve"> года</w:t>
      </w:r>
      <w:r w:rsidRPr="00954B3F">
        <w:rPr>
          <w:rFonts w:cs="Arial"/>
          <w:sz w:val="26"/>
          <w:szCs w:val="26"/>
        </w:rPr>
        <w:t>.</w:t>
      </w:r>
    </w:p>
    <w:p w:rsidR="001C2BE5" w:rsidRPr="00954B3F" w:rsidRDefault="001C2BE5" w:rsidP="00B8605D">
      <w:pPr>
        <w:shd w:val="clear" w:color="auto" w:fill="FFFFFF"/>
        <w:spacing w:before="60" w:line="288" w:lineRule="auto"/>
        <w:ind w:firstLine="709"/>
        <w:jc w:val="both"/>
        <w:rPr>
          <w:sz w:val="26"/>
          <w:szCs w:val="26"/>
        </w:rPr>
      </w:pPr>
      <w:r w:rsidRPr="00954B3F">
        <w:rPr>
          <w:sz w:val="26"/>
          <w:szCs w:val="26"/>
        </w:rPr>
        <w:t xml:space="preserve">Вследствие округления </w:t>
      </w:r>
      <w:r w:rsidR="00EE60D3" w:rsidRPr="00954B3F">
        <w:rPr>
          <w:sz w:val="26"/>
          <w:szCs w:val="26"/>
        </w:rPr>
        <w:t>данных</w:t>
      </w:r>
      <w:r w:rsidRPr="00954B3F">
        <w:rPr>
          <w:sz w:val="26"/>
          <w:szCs w:val="26"/>
        </w:rPr>
        <w:t xml:space="preserve"> </w:t>
      </w:r>
      <w:r w:rsidR="00784A60" w:rsidRPr="00954B3F">
        <w:rPr>
          <w:sz w:val="26"/>
          <w:szCs w:val="26"/>
        </w:rPr>
        <w:t>в таблицах, приведённых в данной публикации</w:t>
      </w:r>
      <w:r w:rsidRPr="00954B3F">
        <w:rPr>
          <w:sz w:val="26"/>
          <w:szCs w:val="26"/>
        </w:rPr>
        <w:t>, возможны незначительные расхождения между итогом и суммой слагаемых.</w:t>
      </w:r>
    </w:p>
    <w:p w:rsidR="002A6BCB" w:rsidRPr="00954B3F" w:rsidRDefault="00C208A2" w:rsidP="00B8605D">
      <w:pPr>
        <w:spacing w:before="60" w:line="288" w:lineRule="auto"/>
        <w:ind w:firstLine="709"/>
        <w:jc w:val="both"/>
        <w:rPr>
          <w:sz w:val="26"/>
          <w:szCs w:val="26"/>
        </w:rPr>
      </w:pPr>
      <w:r w:rsidRPr="00954B3F">
        <w:rPr>
          <w:sz w:val="26"/>
          <w:szCs w:val="26"/>
        </w:rPr>
        <w:t>С</w:t>
      </w:r>
      <w:r w:rsidR="001C2BE5" w:rsidRPr="00954B3F">
        <w:rPr>
          <w:sz w:val="26"/>
          <w:szCs w:val="26"/>
        </w:rPr>
        <w:t>татистические таблицы по платёжному балансу и</w:t>
      </w:r>
      <w:r w:rsidR="002A6BCB" w:rsidRPr="00954B3F">
        <w:rPr>
          <w:sz w:val="26"/>
          <w:szCs w:val="26"/>
        </w:rPr>
        <w:t xml:space="preserve"> </w:t>
      </w:r>
      <w:r w:rsidR="001C2BE5" w:rsidRPr="00954B3F">
        <w:rPr>
          <w:sz w:val="26"/>
          <w:szCs w:val="26"/>
        </w:rPr>
        <w:t>международной инвестиционной позиции в</w:t>
      </w:r>
      <w:r w:rsidRPr="00954B3F">
        <w:rPr>
          <w:sz w:val="26"/>
          <w:szCs w:val="26"/>
        </w:rPr>
        <w:t xml:space="preserve"> </w:t>
      </w:r>
      <w:r w:rsidR="001C2BE5" w:rsidRPr="00954B3F">
        <w:rPr>
          <w:sz w:val="26"/>
          <w:szCs w:val="26"/>
        </w:rPr>
        <w:t>аналитическом представлени</w:t>
      </w:r>
      <w:r w:rsidR="002A6BCB" w:rsidRPr="00954B3F">
        <w:rPr>
          <w:sz w:val="26"/>
          <w:szCs w:val="26"/>
        </w:rPr>
        <w:t>и</w:t>
      </w:r>
      <w:r w:rsidR="009C6DD5" w:rsidRPr="00954B3F">
        <w:rPr>
          <w:sz w:val="26"/>
          <w:szCs w:val="26"/>
        </w:rPr>
        <w:t>, а также по совокупному внешнему долгу</w:t>
      </w:r>
      <w:r w:rsidR="001C2BE5" w:rsidRPr="00954B3F">
        <w:rPr>
          <w:sz w:val="26"/>
          <w:szCs w:val="26"/>
        </w:rPr>
        <w:t xml:space="preserve"> размещены на</w:t>
      </w:r>
      <w:r w:rsidR="00FD43BC" w:rsidRPr="00954B3F">
        <w:rPr>
          <w:sz w:val="26"/>
          <w:szCs w:val="26"/>
          <w:lang w:val="uz-Cyrl-UZ"/>
        </w:rPr>
        <w:t xml:space="preserve"> </w:t>
      </w:r>
      <w:r w:rsidR="001C2BE5" w:rsidRPr="00954B3F">
        <w:rPr>
          <w:sz w:val="26"/>
          <w:szCs w:val="26"/>
        </w:rPr>
        <w:t>веб-сайте Центрального банка</w:t>
      </w:r>
      <w:r w:rsidR="00EE60D3" w:rsidRPr="00954B3F">
        <w:rPr>
          <w:sz w:val="26"/>
          <w:szCs w:val="26"/>
        </w:rPr>
        <w:t xml:space="preserve"> Республики Узбекистан</w:t>
      </w:r>
      <w:r w:rsidR="009C6DD5" w:rsidRPr="00954B3F">
        <w:rPr>
          <w:sz w:val="26"/>
          <w:szCs w:val="26"/>
        </w:rPr>
        <w:t xml:space="preserve"> </w:t>
      </w:r>
      <w:hyperlink r:id="rId14" w:history="1">
        <w:r w:rsidR="001C2BE5" w:rsidRPr="00954B3F">
          <w:rPr>
            <w:rStyle w:val="af0"/>
            <w:sz w:val="26"/>
            <w:szCs w:val="26"/>
          </w:rPr>
          <w:t>http://www.cbu.uz/</w:t>
        </w:r>
      </w:hyperlink>
      <w:r w:rsidR="001C2BE5" w:rsidRPr="00954B3F">
        <w:rPr>
          <w:sz w:val="26"/>
          <w:szCs w:val="26"/>
        </w:rPr>
        <w:t xml:space="preserve">. </w:t>
      </w:r>
      <w:r w:rsidR="002A6BCB" w:rsidRPr="00954B3F">
        <w:rPr>
          <w:sz w:val="26"/>
          <w:szCs w:val="26"/>
        </w:rPr>
        <w:t xml:space="preserve">Статистические таблицы по платёжному балансу и международной инвестиционной позиции в стандартном и аналитическом </w:t>
      </w:r>
      <w:r w:rsidR="002A6BCB" w:rsidRPr="00954B3F">
        <w:rPr>
          <w:sz w:val="26"/>
          <w:szCs w:val="26"/>
        </w:rPr>
        <w:lastRenderedPageBreak/>
        <w:t xml:space="preserve">представлениях также доступны на </w:t>
      </w:r>
      <w:hyperlink r:id="rId15" w:history="1">
        <w:r w:rsidR="002A6BCB" w:rsidRPr="00954B3F">
          <w:rPr>
            <w:rStyle w:val="af0"/>
            <w:sz w:val="26"/>
            <w:szCs w:val="26"/>
            <w:lang w:val="en-US"/>
          </w:rPr>
          <w:t>http</w:t>
        </w:r>
        <w:r w:rsidR="002A6BCB" w:rsidRPr="00954B3F">
          <w:rPr>
            <w:rStyle w:val="af0"/>
            <w:sz w:val="26"/>
            <w:szCs w:val="26"/>
          </w:rPr>
          <w:t>://</w:t>
        </w:r>
        <w:r w:rsidR="002A6BCB" w:rsidRPr="00954B3F">
          <w:rPr>
            <w:rStyle w:val="af0"/>
            <w:sz w:val="26"/>
            <w:szCs w:val="26"/>
            <w:lang w:val="en-US"/>
          </w:rPr>
          <w:t>data</w:t>
        </w:r>
        <w:r w:rsidR="002A6BCB" w:rsidRPr="00954B3F">
          <w:rPr>
            <w:rStyle w:val="af0"/>
            <w:sz w:val="26"/>
            <w:szCs w:val="26"/>
          </w:rPr>
          <w:t>.</w:t>
        </w:r>
        <w:r w:rsidR="002A6BCB" w:rsidRPr="00954B3F">
          <w:rPr>
            <w:rStyle w:val="af0"/>
            <w:sz w:val="26"/>
            <w:szCs w:val="26"/>
            <w:lang w:val="en-US"/>
          </w:rPr>
          <w:t>imf</w:t>
        </w:r>
        <w:r w:rsidR="002A6BCB" w:rsidRPr="00954B3F">
          <w:rPr>
            <w:rStyle w:val="af0"/>
            <w:sz w:val="26"/>
            <w:szCs w:val="26"/>
          </w:rPr>
          <w:t>.</w:t>
        </w:r>
        <w:r w:rsidR="002A6BCB" w:rsidRPr="00954B3F">
          <w:rPr>
            <w:rStyle w:val="af0"/>
            <w:sz w:val="26"/>
            <w:szCs w:val="26"/>
            <w:lang w:val="en-US"/>
          </w:rPr>
          <w:t>org</w:t>
        </w:r>
        <w:r w:rsidR="002A6BCB" w:rsidRPr="00954B3F">
          <w:rPr>
            <w:rStyle w:val="af0"/>
            <w:sz w:val="26"/>
            <w:szCs w:val="26"/>
          </w:rPr>
          <w:t>/</w:t>
        </w:r>
      </w:hyperlink>
      <w:r w:rsidR="002A6BCB" w:rsidRPr="00954B3F">
        <w:rPr>
          <w:sz w:val="26"/>
          <w:szCs w:val="26"/>
        </w:rPr>
        <w:t>.</w:t>
      </w:r>
    </w:p>
    <w:p w:rsidR="00B8605D" w:rsidRDefault="00B8605D" w:rsidP="004A6C68">
      <w:pPr>
        <w:pStyle w:val="af"/>
        <w:spacing w:before="120" w:line="288" w:lineRule="auto"/>
        <w:ind w:left="0" w:firstLine="708"/>
        <w:jc w:val="both"/>
        <w:rPr>
          <w:sz w:val="26"/>
          <w:szCs w:val="26"/>
        </w:rPr>
      </w:pPr>
    </w:p>
    <w:p w:rsidR="001C2BE5" w:rsidRDefault="001C2BE5" w:rsidP="004A6C68">
      <w:pPr>
        <w:pStyle w:val="af"/>
        <w:spacing w:before="120" w:line="288" w:lineRule="auto"/>
        <w:ind w:left="0" w:firstLine="708"/>
        <w:jc w:val="both"/>
        <w:rPr>
          <w:sz w:val="26"/>
          <w:szCs w:val="26"/>
        </w:rPr>
      </w:pPr>
      <w:r w:rsidRPr="00954B3F">
        <w:rPr>
          <w:sz w:val="26"/>
          <w:szCs w:val="26"/>
        </w:rPr>
        <w:t>По вопросам и предложениям, касающимся публикации</w:t>
      </w:r>
      <w:r w:rsidR="00480A16" w:rsidRPr="00954B3F">
        <w:rPr>
          <w:sz w:val="26"/>
          <w:szCs w:val="26"/>
        </w:rPr>
        <w:t>,</w:t>
      </w:r>
      <w:r w:rsidRPr="00954B3F">
        <w:rPr>
          <w:sz w:val="26"/>
          <w:szCs w:val="26"/>
        </w:rPr>
        <w:t xml:space="preserve"> следует обращаться в Департамент валютного регулирования и плат</w:t>
      </w:r>
      <w:r w:rsidR="007D2136" w:rsidRPr="00954B3F">
        <w:rPr>
          <w:sz w:val="26"/>
          <w:szCs w:val="26"/>
        </w:rPr>
        <w:t>ё</w:t>
      </w:r>
      <w:r w:rsidRPr="00954B3F">
        <w:rPr>
          <w:sz w:val="26"/>
          <w:szCs w:val="26"/>
        </w:rPr>
        <w:t>жного баланса Центрального банка Республики Узбекистан по следующим телефонам</w:t>
      </w:r>
      <w:r w:rsidR="0069698E" w:rsidRPr="00954B3F">
        <w:rPr>
          <w:sz w:val="26"/>
          <w:szCs w:val="26"/>
        </w:rPr>
        <w:t xml:space="preserve"> или адресам электронной почты</w:t>
      </w:r>
      <w:r w:rsidRPr="00954B3F">
        <w:rPr>
          <w:sz w:val="26"/>
          <w:szCs w:val="26"/>
        </w:rPr>
        <w:t>:</w:t>
      </w:r>
    </w:p>
    <w:p w:rsidR="00C50268" w:rsidRPr="00954B3F" w:rsidRDefault="00C50268" w:rsidP="004A6C68">
      <w:pPr>
        <w:pStyle w:val="af"/>
        <w:spacing w:before="120" w:line="288" w:lineRule="auto"/>
        <w:ind w:left="0" w:firstLine="708"/>
        <w:jc w:val="both"/>
        <w:rPr>
          <w:sz w:val="26"/>
          <w:szCs w:val="26"/>
        </w:rPr>
      </w:pPr>
    </w:p>
    <w:p w:rsidR="00FD43BC" w:rsidRPr="00954B3F" w:rsidRDefault="00FD43BC" w:rsidP="001C2BE5">
      <w:pPr>
        <w:pStyle w:val="af"/>
        <w:ind w:left="0" w:firstLine="708"/>
        <w:jc w:val="both"/>
        <w:rPr>
          <w:sz w:val="26"/>
          <w:szCs w:val="26"/>
        </w:rPr>
      </w:pPr>
    </w:p>
    <w:tbl>
      <w:tblPr>
        <w:tblW w:w="9854" w:type="dxa"/>
        <w:tblLook w:val="04A0"/>
      </w:tblPr>
      <w:tblGrid>
        <w:gridCol w:w="4951"/>
        <w:gridCol w:w="4903"/>
      </w:tblGrid>
      <w:tr w:rsidR="0069698E" w:rsidRPr="00954B3F" w:rsidTr="00BD7BEF">
        <w:tc>
          <w:tcPr>
            <w:tcW w:w="4951" w:type="dxa"/>
            <w:shd w:val="clear" w:color="auto" w:fill="auto"/>
          </w:tcPr>
          <w:p w:rsidR="0069698E" w:rsidRPr="00954B3F" w:rsidRDefault="009C6DD5" w:rsidP="00FD43BC">
            <w:pPr>
              <w:pStyle w:val="af"/>
              <w:spacing w:after="80"/>
              <w:ind w:left="708"/>
              <w:jc w:val="both"/>
              <w:rPr>
                <w:sz w:val="26"/>
                <w:szCs w:val="26"/>
              </w:rPr>
            </w:pPr>
            <w:r w:rsidRPr="00954B3F">
              <w:rPr>
                <w:sz w:val="26"/>
                <w:szCs w:val="26"/>
              </w:rPr>
              <w:t>(+998)</w:t>
            </w:r>
            <w:r w:rsidR="00B92844" w:rsidRPr="00954B3F">
              <w:rPr>
                <w:sz w:val="26"/>
                <w:szCs w:val="26"/>
              </w:rPr>
              <w:t xml:space="preserve"> </w:t>
            </w:r>
            <w:r w:rsidRPr="00954B3F">
              <w:rPr>
                <w:sz w:val="26"/>
                <w:szCs w:val="26"/>
              </w:rPr>
              <w:t>71 </w:t>
            </w:r>
            <w:r w:rsidR="0069698E" w:rsidRPr="00954B3F">
              <w:rPr>
                <w:sz w:val="26"/>
                <w:szCs w:val="26"/>
              </w:rPr>
              <w:t>212-60-38</w:t>
            </w:r>
          </w:p>
          <w:p w:rsidR="0069698E" w:rsidRPr="00954B3F" w:rsidRDefault="00B26DD1" w:rsidP="00FD43BC">
            <w:pPr>
              <w:pStyle w:val="af"/>
              <w:spacing w:after="80"/>
              <w:ind w:left="708"/>
              <w:jc w:val="both"/>
              <w:rPr>
                <w:sz w:val="26"/>
                <w:szCs w:val="26"/>
              </w:rPr>
            </w:pPr>
            <w:hyperlink r:id="rId16" w:history="1">
              <w:r w:rsidR="00FD43BC" w:rsidRPr="00954B3F">
                <w:rPr>
                  <w:rStyle w:val="af0"/>
                  <w:sz w:val="26"/>
                  <w:szCs w:val="26"/>
                  <w:lang w:val="en-US"/>
                </w:rPr>
                <w:t>abdurakhmanov</w:t>
              </w:r>
              <w:r w:rsidR="00FD43BC" w:rsidRPr="00954B3F">
                <w:rPr>
                  <w:rStyle w:val="af0"/>
                  <w:sz w:val="26"/>
                  <w:szCs w:val="26"/>
                  <w:lang w:val="uz-Cyrl-UZ"/>
                </w:rPr>
                <w:t>.d</w:t>
              </w:r>
              <w:r w:rsidR="00FD43BC" w:rsidRPr="00954B3F">
                <w:rPr>
                  <w:rStyle w:val="af0"/>
                  <w:sz w:val="26"/>
                  <w:szCs w:val="26"/>
                </w:rPr>
                <w:t>@cbu.uz</w:t>
              </w:r>
            </w:hyperlink>
          </w:p>
          <w:p w:rsidR="00BD7BEF" w:rsidRPr="00954B3F" w:rsidRDefault="00BD7BEF" w:rsidP="009E6A67">
            <w:pPr>
              <w:pStyle w:val="af"/>
              <w:spacing w:after="80"/>
              <w:ind w:left="0"/>
              <w:jc w:val="both"/>
              <w:rPr>
                <w:sz w:val="26"/>
                <w:szCs w:val="26"/>
              </w:rPr>
            </w:pPr>
          </w:p>
          <w:p w:rsidR="009A26B7" w:rsidRPr="00954B3F" w:rsidRDefault="009A26B7" w:rsidP="00BD7BEF">
            <w:pPr>
              <w:rPr>
                <w:sz w:val="26"/>
                <w:szCs w:val="26"/>
              </w:rPr>
            </w:pPr>
          </w:p>
        </w:tc>
        <w:tc>
          <w:tcPr>
            <w:tcW w:w="4903" w:type="dxa"/>
            <w:shd w:val="clear" w:color="auto" w:fill="auto"/>
          </w:tcPr>
          <w:p w:rsidR="0069698E" w:rsidRPr="00954B3F" w:rsidRDefault="00C208A2" w:rsidP="009E6A67">
            <w:pPr>
              <w:pStyle w:val="af"/>
              <w:spacing w:after="80"/>
              <w:ind w:left="0"/>
              <w:rPr>
                <w:sz w:val="26"/>
                <w:szCs w:val="26"/>
              </w:rPr>
            </w:pPr>
            <w:r w:rsidRPr="00954B3F">
              <w:rPr>
                <w:sz w:val="26"/>
                <w:szCs w:val="26"/>
              </w:rPr>
              <w:t>Д</w:t>
            </w:r>
            <w:r w:rsidR="0069698E" w:rsidRPr="00954B3F">
              <w:rPr>
                <w:sz w:val="26"/>
                <w:szCs w:val="26"/>
              </w:rPr>
              <w:t>.</w:t>
            </w:r>
            <w:r w:rsidRPr="00954B3F">
              <w:rPr>
                <w:sz w:val="26"/>
                <w:szCs w:val="26"/>
              </w:rPr>
              <w:t>М</w:t>
            </w:r>
            <w:r w:rsidR="0069698E" w:rsidRPr="00954B3F">
              <w:rPr>
                <w:sz w:val="26"/>
                <w:szCs w:val="26"/>
              </w:rPr>
              <w:t>.</w:t>
            </w:r>
            <w:r w:rsidR="00E112F7" w:rsidRPr="00954B3F">
              <w:rPr>
                <w:sz w:val="26"/>
                <w:szCs w:val="26"/>
              </w:rPr>
              <w:t> </w:t>
            </w:r>
            <w:r w:rsidR="0069698E" w:rsidRPr="00954B3F">
              <w:rPr>
                <w:sz w:val="26"/>
                <w:szCs w:val="26"/>
              </w:rPr>
              <w:t>Аб</w:t>
            </w:r>
            <w:r w:rsidRPr="00954B3F">
              <w:rPr>
                <w:sz w:val="26"/>
                <w:szCs w:val="26"/>
              </w:rPr>
              <w:t>дурахм</w:t>
            </w:r>
            <w:r w:rsidR="00D25CF1" w:rsidRPr="00954B3F">
              <w:rPr>
                <w:sz w:val="26"/>
                <w:szCs w:val="26"/>
              </w:rPr>
              <w:t>а</w:t>
            </w:r>
            <w:r w:rsidRPr="00954B3F">
              <w:rPr>
                <w:sz w:val="26"/>
                <w:szCs w:val="26"/>
              </w:rPr>
              <w:t>нов</w:t>
            </w:r>
            <w:r w:rsidR="0069698E" w:rsidRPr="00954B3F">
              <w:rPr>
                <w:sz w:val="26"/>
                <w:szCs w:val="26"/>
              </w:rPr>
              <w:t xml:space="preserve"> </w:t>
            </w:r>
          </w:p>
          <w:p w:rsidR="0069698E" w:rsidRPr="00954B3F" w:rsidRDefault="0069698E" w:rsidP="009E6A67">
            <w:pPr>
              <w:pStyle w:val="af"/>
              <w:spacing w:after="80"/>
              <w:ind w:left="0"/>
              <w:rPr>
                <w:sz w:val="26"/>
                <w:szCs w:val="26"/>
              </w:rPr>
            </w:pPr>
            <w:r w:rsidRPr="00954B3F">
              <w:rPr>
                <w:sz w:val="26"/>
                <w:szCs w:val="26"/>
              </w:rPr>
              <w:t>Директор департамента</w:t>
            </w:r>
            <w:r w:rsidR="00A07014" w:rsidRPr="00954B3F">
              <w:rPr>
                <w:sz w:val="26"/>
                <w:szCs w:val="26"/>
              </w:rPr>
              <w:t xml:space="preserve"> валютного регулирования и платёжного баланса</w:t>
            </w:r>
          </w:p>
        </w:tc>
      </w:tr>
      <w:tr w:rsidR="0069698E" w:rsidRPr="00954B3F" w:rsidTr="00BD7BEF">
        <w:tc>
          <w:tcPr>
            <w:tcW w:w="4951" w:type="dxa"/>
            <w:shd w:val="clear" w:color="auto" w:fill="auto"/>
          </w:tcPr>
          <w:p w:rsidR="0069698E" w:rsidRPr="00954B3F" w:rsidRDefault="009C6DD5" w:rsidP="00FD43BC">
            <w:pPr>
              <w:pStyle w:val="af"/>
              <w:spacing w:after="80"/>
              <w:ind w:left="708"/>
              <w:jc w:val="both"/>
              <w:rPr>
                <w:sz w:val="26"/>
                <w:szCs w:val="26"/>
              </w:rPr>
            </w:pPr>
            <w:r w:rsidRPr="00954B3F">
              <w:rPr>
                <w:sz w:val="26"/>
                <w:szCs w:val="26"/>
              </w:rPr>
              <w:t>(+998) 71 </w:t>
            </w:r>
            <w:r w:rsidR="0069698E" w:rsidRPr="00954B3F">
              <w:rPr>
                <w:sz w:val="26"/>
                <w:szCs w:val="26"/>
              </w:rPr>
              <w:t>212-60-76</w:t>
            </w:r>
          </w:p>
          <w:p w:rsidR="00BD7BEF" w:rsidRPr="00954B3F" w:rsidRDefault="00B26DD1" w:rsidP="00E27341">
            <w:pPr>
              <w:pStyle w:val="af"/>
              <w:spacing w:after="80"/>
              <w:ind w:left="708"/>
              <w:jc w:val="both"/>
              <w:rPr>
                <w:sz w:val="26"/>
                <w:szCs w:val="26"/>
              </w:rPr>
            </w:pPr>
            <w:hyperlink r:id="rId17" w:history="1">
              <w:r w:rsidR="009A26B7" w:rsidRPr="00954B3F">
                <w:rPr>
                  <w:rStyle w:val="af0"/>
                  <w:sz w:val="26"/>
                  <w:szCs w:val="26"/>
                </w:rPr>
                <w:t>r.mirzaahmedov@cbu.uz</w:t>
              </w:r>
            </w:hyperlink>
          </w:p>
          <w:p w:rsidR="00BD7BEF" w:rsidRPr="00954B3F" w:rsidRDefault="00BD7BEF" w:rsidP="00BD7BEF">
            <w:pPr>
              <w:rPr>
                <w:sz w:val="26"/>
                <w:szCs w:val="26"/>
              </w:rPr>
            </w:pPr>
          </w:p>
          <w:p w:rsidR="009A26B7" w:rsidRPr="00954B3F" w:rsidRDefault="009A26B7" w:rsidP="00BD7BEF">
            <w:pPr>
              <w:rPr>
                <w:sz w:val="26"/>
                <w:szCs w:val="26"/>
              </w:rPr>
            </w:pPr>
          </w:p>
        </w:tc>
        <w:tc>
          <w:tcPr>
            <w:tcW w:w="4903" w:type="dxa"/>
            <w:shd w:val="clear" w:color="auto" w:fill="auto"/>
          </w:tcPr>
          <w:p w:rsidR="0069698E" w:rsidRPr="00954B3F" w:rsidRDefault="0069698E" w:rsidP="009E6A67">
            <w:pPr>
              <w:pStyle w:val="af"/>
              <w:tabs>
                <w:tab w:val="left" w:pos="2552"/>
              </w:tabs>
              <w:spacing w:after="80"/>
              <w:ind w:left="0"/>
              <w:rPr>
                <w:sz w:val="26"/>
                <w:szCs w:val="26"/>
              </w:rPr>
            </w:pPr>
            <w:r w:rsidRPr="00954B3F">
              <w:rPr>
                <w:sz w:val="26"/>
                <w:szCs w:val="26"/>
              </w:rPr>
              <w:t>Р.М.</w:t>
            </w:r>
            <w:r w:rsidR="00E112F7" w:rsidRPr="00954B3F">
              <w:rPr>
                <w:sz w:val="26"/>
                <w:szCs w:val="26"/>
              </w:rPr>
              <w:t> </w:t>
            </w:r>
            <w:r w:rsidRPr="00954B3F">
              <w:rPr>
                <w:sz w:val="26"/>
                <w:szCs w:val="26"/>
              </w:rPr>
              <w:t>Мирзаахмедов</w:t>
            </w:r>
          </w:p>
          <w:p w:rsidR="009A26B7" w:rsidRPr="00954B3F" w:rsidRDefault="0069698E" w:rsidP="007D2136">
            <w:pPr>
              <w:pStyle w:val="af"/>
              <w:tabs>
                <w:tab w:val="left" w:pos="2552"/>
              </w:tabs>
              <w:spacing w:after="80"/>
              <w:ind w:left="0"/>
              <w:rPr>
                <w:sz w:val="26"/>
                <w:szCs w:val="26"/>
              </w:rPr>
            </w:pPr>
            <w:r w:rsidRPr="00954B3F">
              <w:rPr>
                <w:sz w:val="26"/>
                <w:szCs w:val="26"/>
              </w:rPr>
              <w:t>Начальник управления плат</w:t>
            </w:r>
            <w:r w:rsidR="007D2136" w:rsidRPr="00954B3F">
              <w:rPr>
                <w:sz w:val="26"/>
                <w:szCs w:val="26"/>
              </w:rPr>
              <w:t>ё</w:t>
            </w:r>
            <w:r w:rsidRPr="00954B3F">
              <w:rPr>
                <w:sz w:val="26"/>
                <w:szCs w:val="26"/>
              </w:rPr>
              <w:t>жного баланса</w:t>
            </w:r>
          </w:p>
        </w:tc>
      </w:tr>
      <w:tr w:rsidR="00290884" w:rsidRPr="00954B3F" w:rsidTr="00BD7BEF">
        <w:tc>
          <w:tcPr>
            <w:tcW w:w="4951" w:type="dxa"/>
            <w:shd w:val="clear" w:color="auto" w:fill="auto"/>
          </w:tcPr>
          <w:p w:rsidR="00290884" w:rsidRPr="00954B3F" w:rsidRDefault="00290884" w:rsidP="00290884">
            <w:pPr>
              <w:pStyle w:val="af"/>
              <w:spacing w:after="80"/>
              <w:ind w:left="708"/>
              <w:jc w:val="both"/>
              <w:rPr>
                <w:sz w:val="26"/>
                <w:szCs w:val="26"/>
              </w:rPr>
            </w:pPr>
            <w:r w:rsidRPr="00954B3F">
              <w:rPr>
                <w:sz w:val="26"/>
                <w:szCs w:val="26"/>
              </w:rPr>
              <w:t>(+998) 71 </w:t>
            </w:r>
            <w:r>
              <w:rPr>
                <w:sz w:val="26"/>
                <w:szCs w:val="26"/>
              </w:rPr>
              <w:t>212-60-42</w:t>
            </w:r>
          </w:p>
          <w:p w:rsidR="00290884" w:rsidRPr="00954B3F" w:rsidRDefault="00B26DD1" w:rsidP="00290884">
            <w:pPr>
              <w:pStyle w:val="af"/>
              <w:spacing w:after="80"/>
              <w:ind w:left="708"/>
              <w:jc w:val="both"/>
              <w:rPr>
                <w:sz w:val="26"/>
                <w:szCs w:val="26"/>
              </w:rPr>
            </w:pPr>
            <w:hyperlink r:id="rId18" w:history="1">
              <w:r w:rsidR="002208AF" w:rsidRPr="00410BE8">
                <w:rPr>
                  <w:rStyle w:val="af0"/>
                  <w:sz w:val="26"/>
                  <w:szCs w:val="26"/>
                  <w:lang w:val="en-US"/>
                </w:rPr>
                <w:t>o</w:t>
              </w:r>
              <w:r w:rsidR="002208AF" w:rsidRPr="00410BE8">
                <w:rPr>
                  <w:rStyle w:val="af0"/>
                  <w:sz w:val="26"/>
                  <w:szCs w:val="26"/>
                </w:rPr>
                <w:t>.</w:t>
              </w:r>
              <w:r w:rsidR="002208AF" w:rsidRPr="00410BE8">
                <w:rPr>
                  <w:rStyle w:val="af0"/>
                  <w:sz w:val="26"/>
                  <w:szCs w:val="26"/>
                  <w:lang w:val="en-US"/>
                </w:rPr>
                <w:t>tojiddin</w:t>
              </w:r>
              <w:r w:rsidR="002208AF" w:rsidRPr="00410BE8">
                <w:rPr>
                  <w:rStyle w:val="af0"/>
                  <w:sz w:val="26"/>
                  <w:szCs w:val="26"/>
                </w:rPr>
                <w:t>ov@cbu.uz</w:t>
              </w:r>
            </w:hyperlink>
          </w:p>
          <w:p w:rsidR="00290884" w:rsidRPr="00954B3F" w:rsidRDefault="00290884" w:rsidP="00290884">
            <w:pPr>
              <w:rPr>
                <w:sz w:val="26"/>
                <w:szCs w:val="26"/>
              </w:rPr>
            </w:pPr>
          </w:p>
          <w:p w:rsidR="00290884" w:rsidRPr="00954B3F" w:rsidRDefault="00290884" w:rsidP="00290884">
            <w:pPr>
              <w:rPr>
                <w:sz w:val="26"/>
                <w:szCs w:val="26"/>
              </w:rPr>
            </w:pPr>
          </w:p>
        </w:tc>
        <w:tc>
          <w:tcPr>
            <w:tcW w:w="4903" w:type="dxa"/>
            <w:shd w:val="clear" w:color="auto" w:fill="auto"/>
          </w:tcPr>
          <w:p w:rsidR="00290884" w:rsidRPr="00954B3F" w:rsidRDefault="00290884" w:rsidP="00290884">
            <w:pPr>
              <w:pStyle w:val="af"/>
              <w:tabs>
                <w:tab w:val="left" w:pos="2552"/>
              </w:tabs>
              <w:spacing w:after="8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54B3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О</w:t>
            </w:r>
            <w:r w:rsidRPr="00954B3F">
              <w:rPr>
                <w:sz w:val="26"/>
                <w:szCs w:val="26"/>
              </w:rPr>
              <w:t>. </w:t>
            </w:r>
            <w:r>
              <w:rPr>
                <w:sz w:val="26"/>
                <w:szCs w:val="26"/>
              </w:rPr>
              <w:t>Тожиддинов</w:t>
            </w:r>
          </w:p>
          <w:p w:rsidR="00290884" w:rsidRPr="00954B3F" w:rsidRDefault="00290884" w:rsidP="00290884">
            <w:pPr>
              <w:pStyle w:val="af"/>
              <w:tabs>
                <w:tab w:val="left" w:pos="2552"/>
              </w:tabs>
              <w:spacing w:after="8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Pr="00954B3F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954B3F">
              <w:rPr>
                <w:sz w:val="26"/>
                <w:szCs w:val="26"/>
              </w:rPr>
              <w:t xml:space="preserve"> управления платёжного баланса</w:t>
            </w:r>
          </w:p>
        </w:tc>
      </w:tr>
    </w:tbl>
    <w:p w:rsidR="00FD43BC" w:rsidRPr="00954B3F" w:rsidRDefault="00FD43BC" w:rsidP="004A6C68">
      <w:pPr>
        <w:pStyle w:val="af"/>
        <w:spacing w:before="120" w:line="288" w:lineRule="auto"/>
        <w:ind w:left="0" w:firstLine="708"/>
        <w:jc w:val="both"/>
        <w:rPr>
          <w:sz w:val="26"/>
          <w:szCs w:val="26"/>
        </w:rPr>
      </w:pPr>
    </w:p>
    <w:p w:rsidR="001C2BE5" w:rsidRPr="00954B3F" w:rsidRDefault="00775852" w:rsidP="004A6C68">
      <w:pPr>
        <w:pStyle w:val="af"/>
        <w:spacing w:before="120" w:line="288" w:lineRule="auto"/>
        <w:ind w:left="0" w:firstLine="708"/>
        <w:jc w:val="both"/>
        <w:rPr>
          <w:sz w:val="26"/>
          <w:szCs w:val="26"/>
        </w:rPr>
      </w:pPr>
      <w:r w:rsidRPr="00954B3F">
        <w:rPr>
          <w:sz w:val="26"/>
          <w:szCs w:val="26"/>
        </w:rPr>
        <w:t>В</w:t>
      </w:r>
      <w:r w:rsidR="001C2BE5" w:rsidRPr="00954B3F">
        <w:rPr>
          <w:sz w:val="26"/>
          <w:szCs w:val="26"/>
        </w:rPr>
        <w:t xml:space="preserve">опросы и предложения </w:t>
      </w:r>
      <w:r w:rsidR="00784A60" w:rsidRPr="00954B3F">
        <w:rPr>
          <w:sz w:val="26"/>
          <w:szCs w:val="26"/>
        </w:rPr>
        <w:t xml:space="preserve">также </w:t>
      </w:r>
      <w:r w:rsidR="001C2BE5" w:rsidRPr="00954B3F">
        <w:rPr>
          <w:sz w:val="26"/>
          <w:szCs w:val="26"/>
        </w:rPr>
        <w:t>могут быть направлены на</w:t>
      </w:r>
      <w:r w:rsidR="00E112F7" w:rsidRPr="00954B3F">
        <w:rPr>
          <w:sz w:val="26"/>
          <w:szCs w:val="26"/>
        </w:rPr>
        <w:t> </w:t>
      </w:r>
      <w:r w:rsidR="001C2BE5" w:rsidRPr="00954B3F">
        <w:rPr>
          <w:sz w:val="26"/>
          <w:szCs w:val="26"/>
        </w:rPr>
        <w:t xml:space="preserve">электронную почту </w:t>
      </w:r>
      <w:hyperlink r:id="rId19" w:history="1">
        <w:r w:rsidR="001C2BE5" w:rsidRPr="00954B3F">
          <w:rPr>
            <w:rStyle w:val="af0"/>
            <w:sz w:val="26"/>
            <w:szCs w:val="26"/>
          </w:rPr>
          <w:t>val@cbu.uz</w:t>
        </w:r>
      </w:hyperlink>
      <w:r w:rsidR="001C2BE5" w:rsidRPr="00954B3F">
        <w:rPr>
          <w:sz w:val="26"/>
          <w:szCs w:val="26"/>
        </w:rPr>
        <w:t>.</w:t>
      </w:r>
    </w:p>
    <w:p w:rsidR="000A5A05" w:rsidRPr="00954B3F" w:rsidRDefault="00EE60D3" w:rsidP="004A6C68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954B3F">
        <w:rPr>
          <w:sz w:val="26"/>
          <w:szCs w:val="26"/>
        </w:rPr>
        <w:t xml:space="preserve">Публикация осуществляется </w:t>
      </w:r>
      <w:r w:rsidR="000A5A05" w:rsidRPr="00954B3F">
        <w:rPr>
          <w:sz w:val="26"/>
          <w:szCs w:val="26"/>
        </w:rPr>
        <w:t>на ежеквартальной основе в конце квартала, следующего за отч</w:t>
      </w:r>
      <w:r w:rsidR="00C318CE" w:rsidRPr="00954B3F">
        <w:rPr>
          <w:sz w:val="26"/>
          <w:szCs w:val="26"/>
        </w:rPr>
        <w:t>ё</w:t>
      </w:r>
      <w:r w:rsidR="000A5A05" w:rsidRPr="00954B3F">
        <w:rPr>
          <w:sz w:val="26"/>
          <w:szCs w:val="26"/>
        </w:rPr>
        <w:t>тным кварталом, и доступ</w:t>
      </w:r>
      <w:r w:rsidR="00480A16" w:rsidRPr="00954B3F">
        <w:rPr>
          <w:sz w:val="26"/>
          <w:szCs w:val="26"/>
        </w:rPr>
        <w:t>на</w:t>
      </w:r>
      <w:r w:rsidR="000A5A05" w:rsidRPr="00954B3F">
        <w:rPr>
          <w:sz w:val="26"/>
          <w:szCs w:val="26"/>
        </w:rPr>
        <w:t xml:space="preserve"> на узбекском, русском и</w:t>
      </w:r>
      <w:r w:rsidR="00E112F7" w:rsidRPr="00954B3F">
        <w:rPr>
          <w:sz w:val="26"/>
          <w:szCs w:val="26"/>
        </w:rPr>
        <w:t> </w:t>
      </w:r>
      <w:r w:rsidR="000A5A05" w:rsidRPr="00954B3F">
        <w:rPr>
          <w:sz w:val="26"/>
          <w:szCs w:val="26"/>
        </w:rPr>
        <w:t>английском языках.</w:t>
      </w:r>
    </w:p>
    <w:p w:rsidR="006F0FAC" w:rsidRDefault="00045166" w:rsidP="000D0FE2">
      <w:pPr>
        <w:spacing w:before="120" w:line="288" w:lineRule="auto"/>
        <w:ind w:firstLine="709"/>
        <w:jc w:val="both"/>
        <w:rPr>
          <w:rFonts w:cs="Arial"/>
        </w:rPr>
      </w:pPr>
      <w:r w:rsidRPr="00954B3F">
        <w:rPr>
          <w:sz w:val="26"/>
          <w:szCs w:val="26"/>
        </w:rPr>
        <w:t>Центральный банк</w:t>
      </w:r>
      <w:r w:rsidR="000D0FE2">
        <w:rPr>
          <w:sz w:val="26"/>
          <w:szCs w:val="26"/>
        </w:rPr>
        <w:t xml:space="preserve"> Республики Узбекистан</w:t>
      </w:r>
      <w:r w:rsidRPr="00954B3F">
        <w:rPr>
          <w:sz w:val="26"/>
          <w:szCs w:val="26"/>
        </w:rPr>
        <w:t xml:space="preserve"> </w:t>
      </w:r>
      <w:r w:rsidR="003B6EF4" w:rsidRPr="00954B3F">
        <w:rPr>
          <w:b/>
          <w:sz w:val="26"/>
          <w:szCs w:val="26"/>
        </w:rPr>
        <w:t xml:space="preserve">выражает </w:t>
      </w:r>
      <w:r w:rsidRPr="00954B3F">
        <w:rPr>
          <w:b/>
          <w:sz w:val="26"/>
          <w:szCs w:val="26"/>
        </w:rPr>
        <w:t>благодар</w:t>
      </w:r>
      <w:r w:rsidR="003B6EF4" w:rsidRPr="00954B3F">
        <w:rPr>
          <w:b/>
          <w:sz w:val="26"/>
          <w:szCs w:val="26"/>
        </w:rPr>
        <w:t>ность</w:t>
      </w:r>
      <w:r w:rsidR="003B6EF4" w:rsidRPr="00954B3F">
        <w:rPr>
          <w:sz w:val="26"/>
          <w:szCs w:val="26"/>
        </w:rPr>
        <w:t xml:space="preserve"> </w:t>
      </w:r>
      <w:r w:rsidRPr="00954B3F">
        <w:rPr>
          <w:sz w:val="26"/>
          <w:szCs w:val="26"/>
        </w:rPr>
        <w:t>министерства</w:t>
      </w:r>
      <w:r w:rsidR="003B7C8A" w:rsidRPr="00954B3F">
        <w:rPr>
          <w:sz w:val="26"/>
          <w:szCs w:val="26"/>
        </w:rPr>
        <w:t>м</w:t>
      </w:r>
      <w:r w:rsidRPr="00954B3F">
        <w:rPr>
          <w:sz w:val="26"/>
          <w:szCs w:val="26"/>
        </w:rPr>
        <w:t>, ведомства</w:t>
      </w:r>
      <w:r w:rsidR="003B7C8A" w:rsidRPr="00954B3F">
        <w:rPr>
          <w:sz w:val="26"/>
          <w:szCs w:val="26"/>
        </w:rPr>
        <w:t>м</w:t>
      </w:r>
      <w:r w:rsidR="000D0FE2">
        <w:rPr>
          <w:sz w:val="26"/>
          <w:szCs w:val="26"/>
        </w:rPr>
        <w:t xml:space="preserve"> </w:t>
      </w:r>
      <w:r w:rsidRPr="00954B3F">
        <w:rPr>
          <w:sz w:val="26"/>
          <w:szCs w:val="26"/>
        </w:rPr>
        <w:t>и организаци</w:t>
      </w:r>
      <w:r w:rsidR="003B7C8A" w:rsidRPr="00954B3F">
        <w:rPr>
          <w:sz w:val="26"/>
          <w:szCs w:val="26"/>
        </w:rPr>
        <w:t>ям</w:t>
      </w:r>
      <w:r w:rsidRPr="00954B3F">
        <w:rPr>
          <w:sz w:val="26"/>
          <w:szCs w:val="26"/>
        </w:rPr>
        <w:t xml:space="preserve"> </w:t>
      </w:r>
      <w:r w:rsidR="003B6EF4" w:rsidRPr="00954B3F">
        <w:rPr>
          <w:sz w:val="26"/>
          <w:szCs w:val="26"/>
        </w:rPr>
        <w:t xml:space="preserve">за </w:t>
      </w:r>
      <w:r w:rsidR="003852D8" w:rsidRPr="00954B3F">
        <w:rPr>
          <w:sz w:val="26"/>
          <w:szCs w:val="26"/>
        </w:rPr>
        <w:t xml:space="preserve">сотрудничество </w:t>
      </w:r>
      <w:r w:rsidR="003B7C8A" w:rsidRPr="00954B3F">
        <w:rPr>
          <w:sz w:val="26"/>
          <w:szCs w:val="26"/>
        </w:rPr>
        <w:t xml:space="preserve">в </w:t>
      </w:r>
      <w:r w:rsidRPr="00954B3F">
        <w:rPr>
          <w:sz w:val="26"/>
          <w:szCs w:val="26"/>
        </w:rPr>
        <w:t>предоставлени</w:t>
      </w:r>
      <w:r w:rsidR="003B7C8A" w:rsidRPr="00954B3F">
        <w:rPr>
          <w:sz w:val="26"/>
          <w:szCs w:val="26"/>
        </w:rPr>
        <w:t>и</w:t>
      </w:r>
      <w:r w:rsidRPr="00954B3F">
        <w:rPr>
          <w:sz w:val="26"/>
          <w:szCs w:val="26"/>
        </w:rPr>
        <w:t xml:space="preserve"> данных для</w:t>
      </w:r>
      <w:r w:rsidR="00EE60D3" w:rsidRPr="00954B3F">
        <w:rPr>
          <w:sz w:val="26"/>
          <w:szCs w:val="26"/>
        </w:rPr>
        <w:t xml:space="preserve"> составления плат</w:t>
      </w:r>
      <w:r w:rsidR="007D2136" w:rsidRPr="00954B3F">
        <w:rPr>
          <w:sz w:val="26"/>
          <w:szCs w:val="26"/>
        </w:rPr>
        <w:t>ё</w:t>
      </w:r>
      <w:r w:rsidR="00EE60D3" w:rsidRPr="00954B3F">
        <w:rPr>
          <w:sz w:val="26"/>
          <w:szCs w:val="26"/>
        </w:rPr>
        <w:t xml:space="preserve">жного баланса, </w:t>
      </w:r>
      <w:r w:rsidRPr="00954B3F">
        <w:rPr>
          <w:sz w:val="26"/>
          <w:szCs w:val="26"/>
        </w:rPr>
        <w:t>международной инвестиционной позиции Республики Узбекистан</w:t>
      </w:r>
      <w:r w:rsidR="003852D8" w:rsidRPr="00954B3F">
        <w:rPr>
          <w:sz w:val="26"/>
          <w:szCs w:val="26"/>
        </w:rPr>
        <w:t xml:space="preserve"> </w:t>
      </w:r>
      <w:r w:rsidR="00EE60D3" w:rsidRPr="00954B3F">
        <w:rPr>
          <w:sz w:val="26"/>
          <w:szCs w:val="26"/>
        </w:rPr>
        <w:t xml:space="preserve">и совокупного внешнего </w:t>
      </w:r>
      <w:r w:rsidR="00EE60D3" w:rsidRPr="00D15996">
        <w:rPr>
          <w:sz w:val="26"/>
          <w:szCs w:val="26"/>
        </w:rPr>
        <w:t xml:space="preserve">долга </w:t>
      </w:r>
      <w:r w:rsidR="003852D8" w:rsidRPr="00D15996">
        <w:rPr>
          <w:sz w:val="26"/>
          <w:szCs w:val="26"/>
        </w:rPr>
        <w:t>и надеется</w:t>
      </w:r>
      <w:r w:rsidR="003852D8" w:rsidRPr="00954B3F">
        <w:rPr>
          <w:sz w:val="26"/>
          <w:szCs w:val="26"/>
        </w:rPr>
        <w:t xml:space="preserve"> на</w:t>
      </w:r>
      <w:r w:rsidR="00E112F7" w:rsidRPr="00954B3F">
        <w:rPr>
          <w:sz w:val="26"/>
          <w:szCs w:val="26"/>
        </w:rPr>
        <w:t> </w:t>
      </w:r>
      <w:r w:rsidR="003852D8" w:rsidRPr="00954B3F">
        <w:rPr>
          <w:sz w:val="26"/>
          <w:szCs w:val="26"/>
        </w:rPr>
        <w:t>дальнейшее плодотворное сотрудничество.</w:t>
      </w:r>
      <w:r w:rsidR="004179C1" w:rsidRPr="001E0A02">
        <w:rPr>
          <w:rFonts w:cs="Arial"/>
        </w:rPr>
        <w:br w:type="page"/>
      </w:r>
    </w:p>
    <w:p w:rsidR="004179C1" w:rsidRPr="00980DC2" w:rsidRDefault="00112CDC" w:rsidP="00A615E9">
      <w:pPr>
        <w:jc w:val="center"/>
        <w:rPr>
          <w:rFonts w:cs="Calibri"/>
          <w:b/>
          <w:sz w:val="28"/>
          <w:szCs w:val="28"/>
        </w:rPr>
      </w:pPr>
      <w:r w:rsidRPr="00980DC2">
        <w:rPr>
          <w:rFonts w:cs="Calibri"/>
          <w:b/>
          <w:sz w:val="28"/>
          <w:szCs w:val="28"/>
        </w:rPr>
        <w:lastRenderedPageBreak/>
        <w:t>СОДЕРЖАНИЕ</w:t>
      </w:r>
    </w:p>
    <w:p w:rsidR="006F0FAC" w:rsidRPr="00272755" w:rsidRDefault="006F0FAC" w:rsidP="00A615E9">
      <w:pPr>
        <w:jc w:val="center"/>
        <w:rPr>
          <w:rFonts w:cs="Calibri"/>
          <w:b/>
        </w:rPr>
      </w:pPr>
    </w:p>
    <w:p w:rsidR="00A00BB4" w:rsidRDefault="00B26DD1" w:rsidP="00A00BB4">
      <w:pPr>
        <w:pStyle w:val="11"/>
        <w:rPr>
          <w:rFonts w:asciiTheme="minorHAnsi" w:eastAsiaTheme="minorEastAsia" w:hAnsiTheme="minorHAnsi" w:cstheme="minorBidi"/>
          <w:b/>
          <w:lang w:val="ru-RU"/>
        </w:rPr>
      </w:pPr>
      <w:r w:rsidRPr="00F8044C">
        <w:rPr>
          <w:highlight w:val="yellow"/>
        </w:rPr>
        <w:fldChar w:fldCharType="begin"/>
      </w:r>
      <w:r w:rsidR="004179C1" w:rsidRPr="00F8044C">
        <w:rPr>
          <w:highlight w:val="yellow"/>
        </w:rPr>
        <w:instrText xml:space="preserve"> TOC \o "1-3" \h \z \u </w:instrText>
      </w:r>
      <w:r w:rsidRPr="00F8044C">
        <w:rPr>
          <w:highlight w:val="yellow"/>
        </w:rPr>
        <w:fldChar w:fldCharType="separate"/>
      </w:r>
      <w:hyperlink w:anchor="_Toc35458601" w:history="1">
        <w:r w:rsidR="00A00BB4" w:rsidRPr="009F2436">
          <w:rPr>
            <w:rStyle w:val="af0"/>
          </w:rPr>
          <w:t>МЕТОДОЛОГИЧЕСКИЙ КОММЕНТАРИЙ</w:t>
        </w:r>
        <w:r w:rsidR="00A00BB4">
          <w:rPr>
            <w:webHidden/>
          </w:rPr>
          <w:tab/>
        </w:r>
        <w:r>
          <w:rPr>
            <w:webHidden/>
          </w:rPr>
          <w:fldChar w:fldCharType="begin"/>
        </w:r>
        <w:r w:rsidR="00A00BB4">
          <w:rPr>
            <w:webHidden/>
          </w:rPr>
          <w:instrText xml:space="preserve"> PAGEREF _Toc35458601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72F1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00BB4" w:rsidRDefault="00B26DD1" w:rsidP="00A00BB4">
      <w:pPr>
        <w:pStyle w:val="11"/>
        <w:rPr>
          <w:rFonts w:asciiTheme="minorHAnsi" w:eastAsiaTheme="minorEastAsia" w:hAnsiTheme="minorHAnsi" w:cstheme="minorBidi"/>
          <w:b/>
          <w:lang w:val="ru-RU"/>
        </w:rPr>
      </w:pPr>
      <w:hyperlink w:anchor="_Toc35458602" w:history="1">
        <w:r w:rsidR="00A00BB4" w:rsidRPr="009F2436">
          <w:rPr>
            <w:rStyle w:val="af0"/>
            <w:lang w:val="ru-RU"/>
          </w:rPr>
          <w:t>ГЛОССАРИЙ ИСПОЛЬЗОВАННЫХ ТЕРМИНОВ</w:t>
        </w:r>
        <w:r w:rsidR="00A00BB4">
          <w:rPr>
            <w:webHidden/>
          </w:rPr>
          <w:tab/>
        </w:r>
        <w:r>
          <w:rPr>
            <w:webHidden/>
          </w:rPr>
          <w:fldChar w:fldCharType="begin"/>
        </w:r>
        <w:r w:rsidR="00A00BB4">
          <w:rPr>
            <w:webHidden/>
          </w:rPr>
          <w:instrText xml:space="preserve"> PAGEREF _Toc35458602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72F12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A00BB4" w:rsidRDefault="00B26DD1" w:rsidP="00A00BB4">
      <w:pPr>
        <w:pStyle w:val="11"/>
        <w:rPr>
          <w:rFonts w:asciiTheme="minorHAnsi" w:eastAsiaTheme="minorEastAsia" w:hAnsiTheme="minorHAnsi" w:cstheme="minorBidi"/>
          <w:b/>
          <w:lang w:val="ru-RU"/>
        </w:rPr>
      </w:pPr>
      <w:hyperlink w:anchor="_Toc35458603" w:history="1">
        <w:r w:rsidR="00A00BB4" w:rsidRPr="00A00BB4">
          <w:rPr>
            <w:rStyle w:val="af0"/>
            <w:b/>
          </w:rPr>
          <w:t>I. ПЛАТЁЖНЫЙ БАЛАНС РЕСПУБЛИКИ УЗБЕКИСТАН</w:t>
        </w:r>
        <w:r w:rsidR="00A00BB4">
          <w:rPr>
            <w:webHidden/>
          </w:rPr>
          <w:tab/>
        </w:r>
        <w:r w:rsidRPr="00A00BB4">
          <w:rPr>
            <w:b/>
            <w:webHidden/>
          </w:rPr>
          <w:fldChar w:fldCharType="begin"/>
        </w:r>
        <w:r w:rsidR="00A00BB4" w:rsidRPr="00A00BB4">
          <w:rPr>
            <w:b/>
            <w:webHidden/>
          </w:rPr>
          <w:instrText xml:space="preserve"> PAGEREF _Toc35458603 \h </w:instrText>
        </w:r>
        <w:r w:rsidRPr="00A00BB4">
          <w:rPr>
            <w:b/>
            <w:webHidden/>
          </w:rPr>
        </w:r>
        <w:r w:rsidRPr="00A00BB4">
          <w:rPr>
            <w:b/>
            <w:webHidden/>
          </w:rPr>
          <w:fldChar w:fldCharType="separate"/>
        </w:r>
        <w:r w:rsidR="00372F12">
          <w:rPr>
            <w:b/>
            <w:webHidden/>
          </w:rPr>
          <w:t>15</w:t>
        </w:r>
        <w:r w:rsidRPr="00A00BB4">
          <w:rPr>
            <w:b/>
            <w:webHidden/>
          </w:rPr>
          <w:fldChar w:fldCharType="end"/>
        </w:r>
      </w:hyperlink>
    </w:p>
    <w:p w:rsidR="00A00BB4" w:rsidRDefault="00B26DD1" w:rsidP="00A00BB4">
      <w:pPr>
        <w:pStyle w:val="11"/>
        <w:rPr>
          <w:rFonts w:asciiTheme="minorHAnsi" w:eastAsiaTheme="minorEastAsia" w:hAnsiTheme="minorHAnsi" w:cstheme="minorBidi"/>
          <w:b/>
          <w:lang w:val="ru-RU"/>
        </w:rPr>
      </w:pPr>
      <w:hyperlink w:anchor="_Toc35458604" w:history="1">
        <w:r w:rsidR="00A00BB4" w:rsidRPr="00A00BB4">
          <w:rPr>
            <w:rStyle w:val="af0"/>
            <w:b/>
          </w:rPr>
          <w:t>СЧЁТ ТЕКУЩИХ ОПЕРАЦИЙ</w:t>
        </w:r>
        <w:r w:rsidR="00A00BB4">
          <w:rPr>
            <w:webHidden/>
          </w:rPr>
          <w:tab/>
        </w:r>
        <w:r w:rsidRPr="00A00BB4">
          <w:rPr>
            <w:b/>
            <w:webHidden/>
          </w:rPr>
          <w:fldChar w:fldCharType="begin"/>
        </w:r>
        <w:r w:rsidR="00A00BB4" w:rsidRPr="00A00BB4">
          <w:rPr>
            <w:b/>
            <w:webHidden/>
          </w:rPr>
          <w:instrText xml:space="preserve"> PAGEREF _Toc35458604 \h </w:instrText>
        </w:r>
        <w:r w:rsidRPr="00A00BB4">
          <w:rPr>
            <w:b/>
            <w:webHidden/>
          </w:rPr>
        </w:r>
        <w:r w:rsidRPr="00A00BB4">
          <w:rPr>
            <w:b/>
            <w:webHidden/>
          </w:rPr>
          <w:fldChar w:fldCharType="separate"/>
        </w:r>
        <w:r w:rsidR="00372F12">
          <w:rPr>
            <w:b/>
            <w:webHidden/>
          </w:rPr>
          <w:t>18</w:t>
        </w:r>
        <w:r w:rsidRPr="00A00BB4">
          <w:rPr>
            <w:b/>
            <w:webHidden/>
          </w:rPr>
          <w:fldChar w:fldCharType="end"/>
        </w:r>
      </w:hyperlink>
    </w:p>
    <w:p w:rsidR="00A00BB4" w:rsidRPr="00A00BB4" w:rsidRDefault="00B26DD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58605" w:history="1">
        <w:r w:rsidR="00A00BB4" w:rsidRPr="00A00BB4">
          <w:rPr>
            <w:rStyle w:val="af0"/>
            <w:noProof/>
            <w:sz w:val="22"/>
            <w:szCs w:val="22"/>
          </w:rPr>
          <w:t>ТОВАРЫ</w:t>
        </w:r>
        <w:r w:rsidR="00A00BB4" w:rsidRPr="00A00BB4">
          <w:rPr>
            <w:noProof/>
            <w:webHidden/>
            <w:sz w:val="22"/>
            <w:szCs w:val="22"/>
          </w:rPr>
          <w:tab/>
        </w:r>
        <w:r w:rsidRPr="00A00BB4">
          <w:rPr>
            <w:noProof/>
            <w:webHidden/>
            <w:sz w:val="22"/>
            <w:szCs w:val="22"/>
          </w:rPr>
          <w:fldChar w:fldCharType="begin"/>
        </w:r>
        <w:r w:rsidR="00A00BB4" w:rsidRPr="00A00BB4">
          <w:rPr>
            <w:noProof/>
            <w:webHidden/>
            <w:sz w:val="22"/>
            <w:szCs w:val="22"/>
          </w:rPr>
          <w:instrText xml:space="preserve"> PAGEREF _Toc35458605 \h </w:instrText>
        </w:r>
        <w:r w:rsidRPr="00A00BB4">
          <w:rPr>
            <w:noProof/>
            <w:webHidden/>
            <w:sz w:val="22"/>
            <w:szCs w:val="22"/>
          </w:rPr>
        </w:r>
        <w:r w:rsidRPr="00A00BB4">
          <w:rPr>
            <w:noProof/>
            <w:webHidden/>
            <w:sz w:val="22"/>
            <w:szCs w:val="22"/>
          </w:rPr>
          <w:fldChar w:fldCharType="separate"/>
        </w:r>
        <w:r w:rsidR="00372F12">
          <w:rPr>
            <w:noProof/>
            <w:webHidden/>
            <w:sz w:val="22"/>
            <w:szCs w:val="22"/>
          </w:rPr>
          <w:t>20</w:t>
        </w:r>
        <w:r w:rsidRPr="00A00BB4">
          <w:rPr>
            <w:noProof/>
            <w:webHidden/>
            <w:sz w:val="22"/>
            <w:szCs w:val="22"/>
          </w:rPr>
          <w:fldChar w:fldCharType="end"/>
        </w:r>
      </w:hyperlink>
    </w:p>
    <w:p w:rsidR="00A00BB4" w:rsidRPr="00A00BB4" w:rsidRDefault="00B26DD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58606" w:history="1">
        <w:r w:rsidR="00A00BB4" w:rsidRPr="00A00BB4">
          <w:rPr>
            <w:rStyle w:val="af0"/>
            <w:noProof/>
            <w:sz w:val="22"/>
            <w:szCs w:val="22"/>
          </w:rPr>
          <w:t>УСЛУГИ</w:t>
        </w:r>
        <w:r w:rsidR="00A00BB4" w:rsidRPr="00A00BB4">
          <w:rPr>
            <w:noProof/>
            <w:webHidden/>
            <w:sz w:val="22"/>
            <w:szCs w:val="22"/>
          </w:rPr>
          <w:tab/>
        </w:r>
        <w:r w:rsidRPr="00A00BB4">
          <w:rPr>
            <w:noProof/>
            <w:webHidden/>
            <w:sz w:val="22"/>
            <w:szCs w:val="22"/>
          </w:rPr>
          <w:fldChar w:fldCharType="begin"/>
        </w:r>
        <w:r w:rsidR="00A00BB4" w:rsidRPr="00A00BB4">
          <w:rPr>
            <w:noProof/>
            <w:webHidden/>
            <w:sz w:val="22"/>
            <w:szCs w:val="22"/>
          </w:rPr>
          <w:instrText xml:space="preserve"> PAGEREF _Toc35458606 \h </w:instrText>
        </w:r>
        <w:r w:rsidRPr="00A00BB4">
          <w:rPr>
            <w:noProof/>
            <w:webHidden/>
            <w:sz w:val="22"/>
            <w:szCs w:val="22"/>
          </w:rPr>
        </w:r>
        <w:r w:rsidRPr="00A00BB4">
          <w:rPr>
            <w:noProof/>
            <w:webHidden/>
            <w:sz w:val="22"/>
            <w:szCs w:val="22"/>
          </w:rPr>
          <w:fldChar w:fldCharType="separate"/>
        </w:r>
        <w:r w:rsidR="00372F12">
          <w:rPr>
            <w:noProof/>
            <w:webHidden/>
            <w:sz w:val="22"/>
            <w:szCs w:val="22"/>
          </w:rPr>
          <w:t>23</w:t>
        </w:r>
        <w:r w:rsidRPr="00A00BB4">
          <w:rPr>
            <w:noProof/>
            <w:webHidden/>
            <w:sz w:val="22"/>
            <w:szCs w:val="22"/>
          </w:rPr>
          <w:fldChar w:fldCharType="end"/>
        </w:r>
      </w:hyperlink>
    </w:p>
    <w:p w:rsidR="00A00BB4" w:rsidRPr="00A00BB4" w:rsidRDefault="00B26DD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58607" w:history="1">
        <w:r w:rsidR="00A00BB4" w:rsidRPr="00A00BB4">
          <w:rPr>
            <w:rStyle w:val="af0"/>
            <w:noProof/>
            <w:sz w:val="22"/>
            <w:szCs w:val="22"/>
          </w:rPr>
          <w:t>ПЕРВИЧНЫЕ ДОХОДЫ</w:t>
        </w:r>
        <w:r w:rsidR="00A00BB4" w:rsidRPr="00A00BB4">
          <w:rPr>
            <w:noProof/>
            <w:webHidden/>
            <w:sz w:val="22"/>
            <w:szCs w:val="22"/>
          </w:rPr>
          <w:tab/>
        </w:r>
        <w:r w:rsidRPr="00A00BB4">
          <w:rPr>
            <w:noProof/>
            <w:webHidden/>
            <w:sz w:val="22"/>
            <w:szCs w:val="22"/>
          </w:rPr>
          <w:fldChar w:fldCharType="begin"/>
        </w:r>
        <w:r w:rsidR="00A00BB4" w:rsidRPr="00A00BB4">
          <w:rPr>
            <w:noProof/>
            <w:webHidden/>
            <w:sz w:val="22"/>
            <w:szCs w:val="22"/>
          </w:rPr>
          <w:instrText xml:space="preserve"> PAGEREF _Toc35458607 \h </w:instrText>
        </w:r>
        <w:r w:rsidRPr="00A00BB4">
          <w:rPr>
            <w:noProof/>
            <w:webHidden/>
            <w:sz w:val="22"/>
            <w:szCs w:val="22"/>
          </w:rPr>
        </w:r>
        <w:r w:rsidRPr="00A00BB4">
          <w:rPr>
            <w:noProof/>
            <w:webHidden/>
            <w:sz w:val="22"/>
            <w:szCs w:val="22"/>
          </w:rPr>
          <w:fldChar w:fldCharType="separate"/>
        </w:r>
        <w:r w:rsidR="00372F12">
          <w:rPr>
            <w:noProof/>
            <w:webHidden/>
            <w:sz w:val="22"/>
            <w:szCs w:val="22"/>
          </w:rPr>
          <w:t>25</w:t>
        </w:r>
        <w:r w:rsidRPr="00A00BB4">
          <w:rPr>
            <w:noProof/>
            <w:webHidden/>
            <w:sz w:val="22"/>
            <w:szCs w:val="22"/>
          </w:rPr>
          <w:fldChar w:fldCharType="end"/>
        </w:r>
      </w:hyperlink>
    </w:p>
    <w:p w:rsidR="00A00BB4" w:rsidRPr="00A00BB4" w:rsidRDefault="00B26DD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58608" w:history="1">
        <w:r w:rsidR="00A00BB4" w:rsidRPr="00A00BB4">
          <w:rPr>
            <w:rStyle w:val="af0"/>
            <w:noProof/>
            <w:sz w:val="22"/>
            <w:szCs w:val="22"/>
          </w:rPr>
          <w:t>ВТОРИЧНЫЕ ДОХОДЫ</w:t>
        </w:r>
        <w:r w:rsidR="00A00BB4" w:rsidRPr="00A00BB4">
          <w:rPr>
            <w:noProof/>
            <w:webHidden/>
            <w:sz w:val="22"/>
            <w:szCs w:val="22"/>
          </w:rPr>
          <w:tab/>
        </w:r>
        <w:r w:rsidRPr="00A00BB4">
          <w:rPr>
            <w:noProof/>
            <w:webHidden/>
            <w:sz w:val="22"/>
            <w:szCs w:val="22"/>
          </w:rPr>
          <w:fldChar w:fldCharType="begin"/>
        </w:r>
        <w:r w:rsidR="00A00BB4" w:rsidRPr="00A00BB4">
          <w:rPr>
            <w:noProof/>
            <w:webHidden/>
            <w:sz w:val="22"/>
            <w:szCs w:val="22"/>
          </w:rPr>
          <w:instrText xml:space="preserve"> PAGEREF _Toc35458608 \h </w:instrText>
        </w:r>
        <w:r w:rsidRPr="00A00BB4">
          <w:rPr>
            <w:noProof/>
            <w:webHidden/>
            <w:sz w:val="22"/>
            <w:szCs w:val="22"/>
          </w:rPr>
        </w:r>
        <w:r w:rsidRPr="00A00BB4">
          <w:rPr>
            <w:noProof/>
            <w:webHidden/>
            <w:sz w:val="22"/>
            <w:szCs w:val="22"/>
          </w:rPr>
          <w:fldChar w:fldCharType="separate"/>
        </w:r>
        <w:r w:rsidR="00372F12">
          <w:rPr>
            <w:noProof/>
            <w:webHidden/>
            <w:sz w:val="22"/>
            <w:szCs w:val="22"/>
          </w:rPr>
          <w:t>26</w:t>
        </w:r>
        <w:r w:rsidRPr="00A00BB4">
          <w:rPr>
            <w:noProof/>
            <w:webHidden/>
            <w:sz w:val="22"/>
            <w:szCs w:val="22"/>
          </w:rPr>
          <w:fldChar w:fldCharType="end"/>
        </w:r>
      </w:hyperlink>
    </w:p>
    <w:p w:rsidR="00A00BB4" w:rsidRDefault="00B26DD1" w:rsidP="00A00BB4">
      <w:pPr>
        <w:pStyle w:val="11"/>
        <w:rPr>
          <w:rFonts w:asciiTheme="minorHAnsi" w:eastAsiaTheme="minorEastAsia" w:hAnsiTheme="minorHAnsi" w:cstheme="minorBidi"/>
          <w:b/>
          <w:lang w:val="ru-RU"/>
        </w:rPr>
      </w:pPr>
      <w:hyperlink w:anchor="_Toc35458609" w:history="1">
        <w:r w:rsidR="00A00BB4" w:rsidRPr="00A00BB4">
          <w:rPr>
            <w:rStyle w:val="af0"/>
            <w:b/>
          </w:rPr>
          <w:t>СЧЁТ ОПЕРАЦИЙ С КАПИТАЛОМ</w:t>
        </w:r>
        <w:r w:rsidR="00A00BB4">
          <w:rPr>
            <w:webHidden/>
          </w:rPr>
          <w:tab/>
        </w:r>
        <w:r w:rsidRPr="00A00BB4">
          <w:rPr>
            <w:b/>
            <w:webHidden/>
          </w:rPr>
          <w:fldChar w:fldCharType="begin"/>
        </w:r>
        <w:r w:rsidR="00A00BB4" w:rsidRPr="00A00BB4">
          <w:rPr>
            <w:b/>
            <w:webHidden/>
          </w:rPr>
          <w:instrText xml:space="preserve"> PAGEREF _Toc35458609 \h </w:instrText>
        </w:r>
        <w:r w:rsidRPr="00A00BB4">
          <w:rPr>
            <w:b/>
            <w:webHidden/>
          </w:rPr>
        </w:r>
        <w:r w:rsidRPr="00A00BB4">
          <w:rPr>
            <w:b/>
            <w:webHidden/>
          </w:rPr>
          <w:fldChar w:fldCharType="separate"/>
        </w:r>
        <w:r w:rsidR="00372F12">
          <w:rPr>
            <w:b/>
            <w:webHidden/>
          </w:rPr>
          <w:t>27</w:t>
        </w:r>
        <w:r w:rsidRPr="00A00BB4">
          <w:rPr>
            <w:b/>
            <w:webHidden/>
          </w:rPr>
          <w:fldChar w:fldCharType="end"/>
        </w:r>
      </w:hyperlink>
    </w:p>
    <w:p w:rsidR="00A00BB4" w:rsidRDefault="00B26DD1" w:rsidP="00A00BB4">
      <w:pPr>
        <w:pStyle w:val="11"/>
        <w:rPr>
          <w:rFonts w:asciiTheme="minorHAnsi" w:eastAsiaTheme="minorEastAsia" w:hAnsiTheme="minorHAnsi" w:cstheme="minorBidi"/>
          <w:b/>
          <w:lang w:val="ru-RU"/>
        </w:rPr>
      </w:pPr>
      <w:hyperlink w:anchor="_Toc35458610" w:history="1">
        <w:r w:rsidR="00A00BB4" w:rsidRPr="00A00BB4">
          <w:rPr>
            <w:rStyle w:val="af0"/>
            <w:b/>
          </w:rPr>
          <w:t>ФИНАНСОВЫЙ СЧЁТ</w:t>
        </w:r>
        <w:r w:rsidR="00A00BB4">
          <w:rPr>
            <w:webHidden/>
          </w:rPr>
          <w:tab/>
        </w:r>
        <w:r w:rsidRPr="00A00BB4">
          <w:rPr>
            <w:b/>
            <w:webHidden/>
          </w:rPr>
          <w:fldChar w:fldCharType="begin"/>
        </w:r>
        <w:r w:rsidR="00A00BB4" w:rsidRPr="00A00BB4">
          <w:rPr>
            <w:b/>
            <w:webHidden/>
          </w:rPr>
          <w:instrText xml:space="preserve"> PAGEREF _Toc35458610 \h </w:instrText>
        </w:r>
        <w:r w:rsidRPr="00A00BB4">
          <w:rPr>
            <w:b/>
            <w:webHidden/>
          </w:rPr>
        </w:r>
        <w:r w:rsidRPr="00A00BB4">
          <w:rPr>
            <w:b/>
            <w:webHidden/>
          </w:rPr>
          <w:fldChar w:fldCharType="separate"/>
        </w:r>
        <w:r w:rsidR="00372F12">
          <w:rPr>
            <w:b/>
            <w:webHidden/>
          </w:rPr>
          <w:t>28</w:t>
        </w:r>
        <w:r w:rsidRPr="00A00BB4">
          <w:rPr>
            <w:b/>
            <w:webHidden/>
          </w:rPr>
          <w:fldChar w:fldCharType="end"/>
        </w:r>
      </w:hyperlink>
    </w:p>
    <w:p w:rsidR="00A00BB4" w:rsidRPr="00A00BB4" w:rsidRDefault="00B26DD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58611" w:history="1">
        <w:r w:rsidR="00A00BB4" w:rsidRPr="00A00BB4">
          <w:rPr>
            <w:rStyle w:val="af0"/>
            <w:noProof/>
            <w:sz w:val="22"/>
            <w:szCs w:val="22"/>
          </w:rPr>
          <w:t>ПРЯМЫЕ И ПОРТФЕЛЬНЫЕ ИНВЕСТИЦИИ</w:t>
        </w:r>
        <w:r w:rsidR="00A00BB4" w:rsidRPr="00A00BB4">
          <w:rPr>
            <w:noProof/>
            <w:webHidden/>
            <w:sz w:val="22"/>
            <w:szCs w:val="22"/>
          </w:rPr>
          <w:tab/>
        </w:r>
        <w:r w:rsidRPr="00A00BB4">
          <w:rPr>
            <w:noProof/>
            <w:webHidden/>
            <w:sz w:val="22"/>
            <w:szCs w:val="22"/>
          </w:rPr>
          <w:fldChar w:fldCharType="begin"/>
        </w:r>
        <w:r w:rsidR="00A00BB4" w:rsidRPr="00A00BB4">
          <w:rPr>
            <w:noProof/>
            <w:webHidden/>
            <w:sz w:val="22"/>
            <w:szCs w:val="22"/>
          </w:rPr>
          <w:instrText xml:space="preserve"> PAGEREF _Toc35458611 \h </w:instrText>
        </w:r>
        <w:r w:rsidRPr="00A00BB4">
          <w:rPr>
            <w:noProof/>
            <w:webHidden/>
            <w:sz w:val="22"/>
            <w:szCs w:val="22"/>
          </w:rPr>
        </w:r>
        <w:r w:rsidRPr="00A00BB4">
          <w:rPr>
            <w:noProof/>
            <w:webHidden/>
            <w:sz w:val="22"/>
            <w:szCs w:val="22"/>
          </w:rPr>
          <w:fldChar w:fldCharType="separate"/>
        </w:r>
        <w:r w:rsidR="00372F12">
          <w:rPr>
            <w:noProof/>
            <w:webHidden/>
            <w:sz w:val="22"/>
            <w:szCs w:val="22"/>
          </w:rPr>
          <w:t>29</w:t>
        </w:r>
        <w:r w:rsidRPr="00A00BB4">
          <w:rPr>
            <w:noProof/>
            <w:webHidden/>
            <w:sz w:val="22"/>
            <w:szCs w:val="22"/>
          </w:rPr>
          <w:fldChar w:fldCharType="end"/>
        </w:r>
      </w:hyperlink>
    </w:p>
    <w:p w:rsidR="00A00BB4" w:rsidRPr="00A00BB4" w:rsidRDefault="00B26DD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58612" w:history="1">
        <w:r w:rsidR="00A00BB4" w:rsidRPr="00A00BB4">
          <w:rPr>
            <w:rStyle w:val="af0"/>
            <w:noProof/>
            <w:sz w:val="22"/>
            <w:szCs w:val="22"/>
          </w:rPr>
          <w:t>ДРУГИЕ ИНВЕСТИЦИИ</w:t>
        </w:r>
        <w:r w:rsidR="00A00BB4" w:rsidRPr="00A00BB4">
          <w:rPr>
            <w:noProof/>
            <w:webHidden/>
            <w:sz w:val="22"/>
            <w:szCs w:val="22"/>
          </w:rPr>
          <w:tab/>
        </w:r>
        <w:r w:rsidRPr="00A00BB4">
          <w:rPr>
            <w:noProof/>
            <w:webHidden/>
            <w:sz w:val="22"/>
            <w:szCs w:val="22"/>
          </w:rPr>
          <w:fldChar w:fldCharType="begin"/>
        </w:r>
        <w:r w:rsidR="00A00BB4" w:rsidRPr="00A00BB4">
          <w:rPr>
            <w:noProof/>
            <w:webHidden/>
            <w:sz w:val="22"/>
            <w:szCs w:val="22"/>
          </w:rPr>
          <w:instrText xml:space="preserve"> PAGEREF _Toc35458612 \h </w:instrText>
        </w:r>
        <w:r w:rsidRPr="00A00BB4">
          <w:rPr>
            <w:noProof/>
            <w:webHidden/>
            <w:sz w:val="22"/>
            <w:szCs w:val="22"/>
          </w:rPr>
        </w:r>
        <w:r w:rsidRPr="00A00BB4">
          <w:rPr>
            <w:noProof/>
            <w:webHidden/>
            <w:sz w:val="22"/>
            <w:szCs w:val="22"/>
          </w:rPr>
          <w:fldChar w:fldCharType="separate"/>
        </w:r>
        <w:r w:rsidR="00372F12">
          <w:rPr>
            <w:noProof/>
            <w:webHidden/>
            <w:sz w:val="22"/>
            <w:szCs w:val="22"/>
          </w:rPr>
          <w:t>30</w:t>
        </w:r>
        <w:r w:rsidRPr="00A00BB4">
          <w:rPr>
            <w:noProof/>
            <w:webHidden/>
            <w:sz w:val="22"/>
            <w:szCs w:val="22"/>
          </w:rPr>
          <w:fldChar w:fldCharType="end"/>
        </w:r>
      </w:hyperlink>
    </w:p>
    <w:p w:rsidR="00A00BB4" w:rsidRDefault="00B26DD1" w:rsidP="00A00BB4">
      <w:pPr>
        <w:pStyle w:val="11"/>
        <w:spacing w:before="60"/>
        <w:rPr>
          <w:rFonts w:asciiTheme="minorHAnsi" w:eastAsiaTheme="minorEastAsia" w:hAnsiTheme="minorHAnsi" w:cstheme="minorBidi"/>
          <w:b/>
          <w:lang w:val="ru-RU"/>
        </w:rPr>
      </w:pPr>
      <w:hyperlink w:anchor="_Toc35458613" w:history="1">
        <w:r w:rsidR="00A00BB4" w:rsidRPr="00A00BB4">
          <w:rPr>
            <w:rStyle w:val="af0"/>
            <w:b/>
          </w:rPr>
          <w:t>II. МЕЖДУНАРОДНАЯ ИНВЕСТИЦИОННАЯ ПОЗИЦИЯ  РЕСПУБЛИКИ УЗБЕКИСТАН</w:t>
        </w:r>
        <w:r w:rsidR="00A00BB4">
          <w:rPr>
            <w:webHidden/>
          </w:rPr>
          <w:tab/>
        </w:r>
        <w:r w:rsidRPr="00A00BB4">
          <w:rPr>
            <w:b/>
            <w:webHidden/>
          </w:rPr>
          <w:fldChar w:fldCharType="begin"/>
        </w:r>
        <w:r w:rsidR="00A00BB4" w:rsidRPr="00A00BB4">
          <w:rPr>
            <w:b/>
            <w:webHidden/>
          </w:rPr>
          <w:instrText xml:space="preserve"> PAGEREF _Toc35458613 \h </w:instrText>
        </w:r>
        <w:r w:rsidRPr="00A00BB4">
          <w:rPr>
            <w:b/>
            <w:webHidden/>
          </w:rPr>
        </w:r>
        <w:r w:rsidRPr="00A00BB4">
          <w:rPr>
            <w:b/>
            <w:webHidden/>
          </w:rPr>
          <w:fldChar w:fldCharType="separate"/>
        </w:r>
        <w:r w:rsidR="00372F12">
          <w:rPr>
            <w:b/>
            <w:webHidden/>
          </w:rPr>
          <w:t>34</w:t>
        </w:r>
        <w:r w:rsidRPr="00A00BB4">
          <w:rPr>
            <w:b/>
            <w:webHidden/>
          </w:rPr>
          <w:fldChar w:fldCharType="end"/>
        </w:r>
      </w:hyperlink>
    </w:p>
    <w:p w:rsidR="00A00BB4" w:rsidRPr="00A00BB4" w:rsidRDefault="00B26DD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58614" w:history="1">
        <w:r w:rsidR="00A00BB4" w:rsidRPr="00A00BB4">
          <w:rPr>
            <w:rStyle w:val="af0"/>
            <w:noProof/>
            <w:sz w:val="22"/>
            <w:szCs w:val="22"/>
          </w:rPr>
          <w:t>СЕКТОР ГОСУДАРСТВЕННОГО УПРАВЛЕНИЯ</w:t>
        </w:r>
        <w:r w:rsidR="00A00BB4" w:rsidRPr="00A00BB4">
          <w:rPr>
            <w:noProof/>
            <w:webHidden/>
            <w:sz w:val="22"/>
            <w:szCs w:val="22"/>
          </w:rPr>
          <w:tab/>
        </w:r>
        <w:r w:rsidRPr="00A00BB4">
          <w:rPr>
            <w:noProof/>
            <w:webHidden/>
            <w:sz w:val="22"/>
            <w:szCs w:val="22"/>
          </w:rPr>
          <w:fldChar w:fldCharType="begin"/>
        </w:r>
        <w:r w:rsidR="00A00BB4" w:rsidRPr="00A00BB4">
          <w:rPr>
            <w:noProof/>
            <w:webHidden/>
            <w:sz w:val="22"/>
            <w:szCs w:val="22"/>
          </w:rPr>
          <w:instrText xml:space="preserve"> PAGEREF _Toc35458614 \h </w:instrText>
        </w:r>
        <w:r w:rsidRPr="00A00BB4">
          <w:rPr>
            <w:noProof/>
            <w:webHidden/>
            <w:sz w:val="22"/>
            <w:szCs w:val="22"/>
          </w:rPr>
        </w:r>
        <w:r w:rsidRPr="00A00BB4">
          <w:rPr>
            <w:noProof/>
            <w:webHidden/>
            <w:sz w:val="22"/>
            <w:szCs w:val="22"/>
          </w:rPr>
          <w:fldChar w:fldCharType="separate"/>
        </w:r>
        <w:r w:rsidR="00372F12">
          <w:rPr>
            <w:noProof/>
            <w:webHidden/>
            <w:sz w:val="22"/>
            <w:szCs w:val="22"/>
          </w:rPr>
          <w:t>35</w:t>
        </w:r>
        <w:r w:rsidRPr="00A00BB4">
          <w:rPr>
            <w:noProof/>
            <w:webHidden/>
            <w:sz w:val="22"/>
            <w:szCs w:val="22"/>
          </w:rPr>
          <w:fldChar w:fldCharType="end"/>
        </w:r>
      </w:hyperlink>
    </w:p>
    <w:p w:rsidR="00A00BB4" w:rsidRPr="00A00BB4" w:rsidRDefault="00B26DD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58615" w:history="1">
        <w:r w:rsidR="00A00BB4" w:rsidRPr="00A00BB4">
          <w:rPr>
            <w:rStyle w:val="af0"/>
            <w:noProof/>
            <w:sz w:val="22"/>
            <w:szCs w:val="22"/>
          </w:rPr>
          <w:t>БАНКОВСКИЙ СЕКТОР</w:t>
        </w:r>
        <w:r w:rsidR="00A00BB4" w:rsidRPr="00A00BB4">
          <w:rPr>
            <w:noProof/>
            <w:webHidden/>
            <w:sz w:val="22"/>
            <w:szCs w:val="22"/>
          </w:rPr>
          <w:tab/>
        </w:r>
        <w:r w:rsidRPr="00A00BB4">
          <w:rPr>
            <w:noProof/>
            <w:webHidden/>
            <w:sz w:val="22"/>
            <w:szCs w:val="22"/>
          </w:rPr>
          <w:fldChar w:fldCharType="begin"/>
        </w:r>
        <w:r w:rsidR="00A00BB4" w:rsidRPr="00A00BB4">
          <w:rPr>
            <w:noProof/>
            <w:webHidden/>
            <w:sz w:val="22"/>
            <w:szCs w:val="22"/>
          </w:rPr>
          <w:instrText xml:space="preserve"> PAGEREF _Toc35458615 \h </w:instrText>
        </w:r>
        <w:r w:rsidRPr="00A00BB4">
          <w:rPr>
            <w:noProof/>
            <w:webHidden/>
            <w:sz w:val="22"/>
            <w:szCs w:val="22"/>
          </w:rPr>
        </w:r>
        <w:r w:rsidRPr="00A00BB4">
          <w:rPr>
            <w:noProof/>
            <w:webHidden/>
            <w:sz w:val="22"/>
            <w:szCs w:val="22"/>
          </w:rPr>
          <w:fldChar w:fldCharType="separate"/>
        </w:r>
        <w:r w:rsidR="00372F12">
          <w:rPr>
            <w:noProof/>
            <w:webHidden/>
            <w:sz w:val="22"/>
            <w:szCs w:val="22"/>
          </w:rPr>
          <w:t>35</w:t>
        </w:r>
        <w:r w:rsidRPr="00A00BB4">
          <w:rPr>
            <w:noProof/>
            <w:webHidden/>
            <w:sz w:val="22"/>
            <w:szCs w:val="22"/>
          </w:rPr>
          <w:fldChar w:fldCharType="end"/>
        </w:r>
      </w:hyperlink>
    </w:p>
    <w:p w:rsidR="00A00BB4" w:rsidRPr="00A00BB4" w:rsidRDefault="00B26DD1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58616" w:history="1">
        <w:r w:rsidR="00A00BB4" w:rsidRPr="00A00BB4">
          <w:rPr>
            <w:rStyle w:val="af0"/>
            <w:noProof/>
            <w:sz w:val="22"/>
            <w:szCs w:val="22"/>
          </w:rPr>
          <w:t>ДРУГИЕ СЕКТОРА</w:t>
        </w:r>
        <w:r w:rsidR="00A00BB4" w:rsidRPr="00A00BB4">
          <w:rPr>
            <w:noProof/>
            <w:webHidden/>
            <w:sz w:val="22"/>
            <w:szCs w:val="22"/>
          </w:rPr>
          <w:tab/>
        </w:r>
        <w:r w:rsidRPr="00A00BB4">
          <w:rPr>
            <w:noProof/>
            <w:webHidden/>
            <w:sz w:val="22"/>
            <w:szCs w:val="22"/>
          </w:rPr>
          <w:fldChar w:fldCharType="begin"/>
        </w:r>
        <w:r w:rsidR="00A00BB4" w:rsidRPr="00A00BB4">
          <w:rPr>
            <w:noProof/>
            <w:webHidden/>
            <w:sz w:val="22"/>
            <w:szCs w:val="22"/>
          </w:rPr>
          <w:instrText xml:space="preserve"> PAGEREF _Toc35458616 \h </w:instrText>
        </w:r>
        <w:r w:rsidRPr="00A00BB4">
          <w:rPr>
            <w:noProof/>
            <w:webHidden/>
            <w:sz w:val="22"/>
            <w:szCs w:val="22"/>
          </w:rPr>
        </w:r>
        <w:r w:rsidRPr="00A00BB4">
          <w:rPr>
            <w:noProof/>
            <w:webHidden/>
            <w:sz w:val="22"/>
            <w:szCs w:val="22"/>
          </w:rPr>
          <w:fldChar w:fldCharType="separate"/>
        </w:r>
        <w:r w:rsidR="00372F12">
          <w:rPr>
            <w:noProof/>
            <w:webHidden/>
            <w:sz w:val="22"/>
            <w:szCs w:val="22"/>
          </w:rPr>
          <w:t>36</w:t>
        </w:r>
        <w:r w:rsidRPr="00A00BB4">
          <w:rPr>
            <w:noProof/>
            <w:webHidden/>
            <w:sz w:val="22"/>
            <w:szCs w:val="22"/>
          </w:rPr>
          <w:fldChar w:fldCharType="end"/>
        </w:r>
      </w:hyperlink>
    </w:p>
    <w:p w:rsidR="00A00BB4" w:rsidRDefault="00B26DD1" w:rsidP="00A00BB4">
      <w:pPr>
        <w:pStyle w:val="11"/>
        <w:spacing w:before="60"/>
        <w:rPr>
          <w:rFonts w:asciiTheme="minorHAnsi" w:eastAsiaTheme="minorEastAsia" w:hAnsiTheme="minorHAnsi" w:cstheme="minorBidi"/>
          <w:b/>
          <w:lang w:val="ru-RU"/>
        </w:rPr>
      </w:pPr>
      <w:hyperlink w:anchor="_Toc35458617" w:history="1">
        <w:r w:rsidR="00A00BB4" w:rsidRPr="00A00BB4">
          <w:rPr>
            <w:rStyle w:val="af0"/>
            <w:b/>
          </w:rPr>
          <w:t>III. ВНЕШНИЙ ДОЛГ РЕСПУБЛИКИ УЗБЕКИСТАН</w:t>
        </w:r>
        <w:r w:rsidR="00A00BB4">
          <w:rPr>
            <w:webHidden/>
          </w:rPr>
          <w:tab/>
        </w:r>
        <w:r w:rsidRPr="00A00BB4">
          <w:rPr>
            <w:b/>
            <w:webHidden/>
          </w:rPr>
          <w:fldChar w:fldCharType="begin"/>
        </w:r>
        <w:r w:rsidR="00A00BB4" w:rsidRPr="00A00BB4">
          <w:rPr>
            <w:b/>
            <w:webHidden/>
          </w:rPr>
          <w:instrText xml:space="preserve"> PAGEREF _Toc35458617 \h </w:instrText>
        </w:r>
        <w:r w:rsidRPr="00A00BB4">
          <w:rPr>
            <w:b/>
            <w:webHidden/>
          </w:rPr>
        </w:r>
        <w:r w:rsidRPr="00A00BB4">
          <w:rPr>
            <w:b/>
            <w:webHidden/>
          </w:rPr>
          <w:fldChar w:fldCharType="separate"/>
        </w:r>
        <w:r w:rsidR="00372F12">
          <w:rPr>
            <w:b/>
            <w:webHidden/>
          </w:rPr>
          <w:t>38</w:t>
        </w:r>
        <w:r w:rsidRPr="00A00BB4">
          <w:rPr>
            <w:b/>
            <w:webHidden/>
          </w:rPr>
          <w:fldChar w:fldCharType="end"/>
        </w:r>
      </w:hyperlink>
    </w:p>
    <w:p w:rsidR="00A00BB4" w:rsidRPr="00A00BB4" w:rsidRDefault="00B26DD1" w:rsidP="00A00BB4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35458618" w:history="1">
        <w:r w:rsidR="00A00BB4" w:rsidRPr="00A00BB4">
          <w:rPr>
            <w:rStyle w:val="af0"/>
            <w:lang w:val="ru-RU"/>
          </w:rPr>
          <w:t>ПЛАТЁЖНЫЙ БАЛАНС ЗА 2014 - 2019 ГГ.</w:t>
        </w:r>
        <w:r w:rsidR="00A00BB4" w:rsidRPr="00A00BB4">
          <w:rPr>
            <w:webHidden/>
          </w:rPr>
          <w:tab/>
        </w:r>
        <w:r w:rsidRPr="00A00BB4">
          <w:rPr>
            <w:webHidden/>
          </w:rPr>
          <w:fldChar w:fldCharType="begin"/>
        </w:r>
        <w:r w:rsidR="00A00BB4" w:rsidRPr="00A00BB4">
          <w:rPr>
            <w:webHidden/>
          </w:rPr>
          <w:instrText xml:space="preserve"> PAGEREF _Toc35458618 \h </w:instrText>
        </w:r>
        <w:r w:rsidRPr="00A00BB4">
          <w:rPr>
            <w:webHidden/>
          </w:rPr>
        </w:r>
        <w:r w:rsidRPr="00A00BB4">
          <w:rPr>
            <w:webHidden/>
          </w:rPr>
          <w:fldChar w:fldCharType="separate"/>
        </w:r>
        <w:r w:rsidR="00372F12">
          <w:rPr>
            <w:webHidden/>
          </w:rPr>
          <w:t>42</w:t>
        </w:r>
        <w:r w:rsidRPr="00A00BB4">
          <w:rPr>
            <w:webHidden/>
          </w:rPr>
          <w:fldChar w:fldCharType="end"/>
        </w:r>
      </w:hyperlink>
    </w:p>
    <w:p w:rsidR="00A00BB4" w:rsidRPr="00A00BB4" w:rsidRDefault="00B26DD1" w:rsidP="00A00BB4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35458619" w:history="1">
        <w:r w:rsidR="00A00BB4" w:rsidRPr="00A00BB4">
          <w:rPr>
            <w:rStyle w:val="af0"/>
          </w:rPr>
          <w:t>МЕЖДУНАРОДНАЯ ИНВЕСТИЦИОННАЯ ПОЗИЦИЯ ЗА 201</w:t>
        </w:r>
        <w:r w:rsidR="00A00BB4" w:rsidRPr="00A00BB4">
          <w:rPr>
            <w:rStyle w:val="af0"/>
            <w:lang w:val="ru-RU"/>
          </w:rPr>
          <w:t>4 -</w:t>
        </w:r>
        <w:r w:rsidR="00A00BB4" w:rsidRPr="00A00BB4">
          <w:rPr>
            <w:rStyle w:val="af0"/>
          </w:rPr>
          <w:t xml:space="preserve"> 2019 </w:t>
        </w:r>
        <w:r w:rsidR="00A00BB4" w:rsidRPr="00A00BB4">
          <w:rPr>
            <w:rStyle w:val="af0"/>
            <w:lang w:val="ru-RU"/>
          </w:rPr>
          <w:t>ГГ.</w:t>
        </w:r>
        <w:r w:rsidR="00A00BB4" w:rsidRPr="00A00BB4">
          <w:rPr>
            <w:webHidden/>
          </w:rPr>
          <w:tab/>
        </w:r>
        <w:r w:rsidRPr="00A00BB4">
          <w:rPr>
            <w:webHidden/>
          </w:rPr>
          <w:fldChar w:fldCharType="begin"/>
        </w:r>
        <w:r w:rsidR="00A00BB4" w:rsidRPr="00A00BB4">
          <w:rPr>
            <w:webHidden/>
          </w:rPr>
          <w:instrText xml:space="preserve"> PAGEREF _Toc35458619 \h </w:instrText>
        </w:r>
        <w:r w:rsidRPr="00A00BB4">
          <w:rPr>
            <w:webHidden/>
          </w:rPr>
        </w:r>
        <w:r w:rsidRPr="00A00BB4">
          <w:rPr>
            <w:webHidden/>
          </w:rPr>
          <w:fldChar w:fldCharType="separate"/>
        </w:r>
        <w:r w:rsidR="00372F12">
          <w:rPr>
            <w:webHidden/>
          </w:rPr>
          <w:t>44</w:t>
        </w:r>
        <w:r w:rsidRPr="00A00BB4">
          <w:rPr>
            <w:webHidden/>
          </w:rPr>
          <w:fldChar w:fldCharType="end"/>
        </w:r>
      </w:hyperlink>
    </w:p>
    <w:p w:rsidR="00A00BB4" w:rsidRPr="00A00BB4" w:rsidRDefault="00B26DD1" w:rsidP="00A00BB4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35458620" w:history="1">
        <w:r w:rsidR="00A00BB4" w:rsidRPr="00A00BB4">
          <w:rPr>
            <w:rStyle w:val="af0"/>
          </w:rPr>
          <w:t>ВНЕШНЕТОРГОВЫЙ ОБОРОТ</w:t>
        </w:r>
        <w:r w:rsidR="001057F6">
          <w:rPr>
            <w:rStyle w:val="af0"/>
            <w:lang w:val="ru-RU"/>
          </w:rPr>
          <w:t xml:space="preserve"> ТОВАРОВ</w:t>
        </w:r>
        <w:r w:rsidR="00A00BB4" w:rsidRPr="00A00BB4">
          <w:rPr>
            <w:rStyle w:val="af0"/>
          </w:rPr>
          <w:t xml:space="preserve"> ЗА </w:t>
        </w:r>
        <w:r w:rsidR="00A00BB4" w:rsidRPr="00A00BB4">
          <w:rPr>
            <w:rStyle w:val="af0"/>
            <w:lang w:val="ru-RU"/>
          </w:rPr>
          <w:t>2014 - </w:t>
        </w:r>
        <w:r w:rsidR="00A00BB4" w:rsidRPr="00A00BB4">
          <w:rPr>
            <w:rStyle w:val="af0"/>
          </w:rPr>
          <w:t xml:space="preserve">2019 </w:t>
        </w:r>
        <w:r w:rsidR="00A00BB4" w:rsidRPr="00A00BB4">
          <w:rPr>
            <w:rStyle w:val="af0"/>
            <w:lang w:val="ru-RU"/>
          </w:rPr>
          <w:t>ГГ.</w:t>
        </w:r>
        <w:r w:rsidR="00A00BB4" w:rsidRPr="00A00BB4">
          <w:rPr>
            <w:webHidden/>
          </w:rPr>
          <w:tab/>
        </w:r>
        <w:r w:rsidRPr="00A00BB4">
          <w:rPr>
            <w:webHidden/>
          </w:rPr>
          <w:fldChar w:fldCharType="begin"/>
        </w:r>
        <w:r w:rsidR="00A00BB4" w:rsidRPr="00A00BB4">
          <w:rPr>
            <w:webHidden/>
          </w:rPr>
          <w:instrText xml:space="preserve"> PAGEREF _Toc35458620 \h </w:instrText>
        </w:r>
        <w:r w:rsidRPr="00A00BB4">
          <w:rPr>
            <w:webHidden/>
          </w:rPr>
        </w:r>
        <w:r w:rsidRPr="00A00BB4">
          <w:rPr>
            <w:webHidden/>
          </w:rPr>
          <w:fldChar w:fldCharType="separate"/>
        </w:r>
        <w:r w:rsidR="00372F12">
          <w:rPr>
            <w:webHidden/>
          </w:rPr>
          <w:t>48</w:t>
        </w:r>
        <w:r w:rsidRPr="00A00BB4">
          <w:rPr>
            <w:webHidden/>
          </w:rPr>
          <w:fldChar w:fldCharType="end"/>
        </w:r>
      </w:hyperlink>
    </w:p>
    <w:p w:rsidR="00A00BB4" w:rsidRPr="00A00BB4" w:rsidRDefault="00B26DD1" w:rsidP="00A00BB4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35458621" w:history="1">
        <w:r w:rsidR="00A00BB4" w:rsidRPr="00A00BB4">
          <w:rPr>
            <w:rStyle w:val="af0"/>
          </w:rPr>
          <w:t>СТРУКТУРА ЭКСПОРТА И ИМПОРТА ТОВАРОВ ЗА 201</w:t>
        </w:r>
        <w:r w:rsidR="00A00BB4" w:rsidRPr="00A00BB4">
          <w:rPr>
            <w:rStyle w:val="af0"/>
            <w:lang w:val="ru-RU"/>
          </w:rPr>
          <w:t>6</w:t>
        </w:r>
        <w:r w:rsidR="00A00BB4" w:rsidRPr="00A00BB4">
          <w:rPr>
            <w:rStyle w:val="af0"/>
          </w:rPr>
          <w:t xml:space="preserve"> - 2019 </w:t>
        </w:r>
        <w:r w:rsidR="00A00BB4" w:rsidRPr="00A00BB4">
          <w:rPr>
            <w:rStyle w:val="af0"/>
            <w:lang w:val="ru-RU"/>
          </w:rPr>
          <w:t>ГГ.</w:t>
        </w:r>
        <w:r w:rsidR="00A00BB4" w:rsidRPr="00A00BB4">
          <w:rPr>
            <w:webHidden/>
          </w:rPr>
          <w:tab/>
        </w:r>
        <w:r w:rsidRPr="00A00BB4">
          <w:rPr>
            <w:webHidden/>
          </w:rPr>
          <w:fldChar w:fldCharType="begin"/>
        </w:r>
        <w:r w:rsidR="00A00BB4" w:rsidRPr="00A00BB4">
          <w:rPr>
            <w:webHidden/>
          </w:rPr>
          <w:instrText xml:space="preserve"> PAGEREF _Toc35458621 \h </w:instrText>
        </w:r>
        <w:r w:rsidRPr="00A00BB4">
          <w:rPr>
            <w:webHidden/>
          </w:rPr>
        </w:r>
        <w:r w:rsidRPr="00A00BB4">
          <w:rPr>
            <w:webHidden/>
          </w:rPr>
          <w:fldChar w:fldCharType="separate"/>
        </w:r>
        <w:r w:rsidR="00372F12">
          <w:rPr>
            <w:webHidden/>
          </w:rPr>
          <w:t>49</w:t>
        </w:r>
        <w:r w:rsidRPr="00A00BB4">
          <w:rPr>
            <w:webHidden/>
          </w:rPr>
          <w:fldChar w:fldCharType="end"/>
        </w:r>
      </w:hyperlink>
    </w:p>
    <w:p w:rsidR="00A00BB4" w:rsidRPr="00A00BB4" w:rsidRDefault="00B26DD1" w:rsidP="00A00BB4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35458622" w:history="1">
        <w:r w:rsidR="00A00BB4" w:rsidRPr="00A00BB4">
          <w:rPr>
            <w:rStyle w:val="af0"/>
          </w:rPr>
          <w:t xml:space="preserve">ЭКСПОРТИРОВАННЫЕ ТОВАРЫ С ВЫСОКИМ КОЭФФИЦИЕНТОМ ТОВАРНОЙ </w:t>
        </w:r>
        <w:r w:rsidR="00A00BB4">
          <w:rPr>
            <w:rStyle w:val="af0"/>
          </w:rPr>
          <w:br/>
        </w:r>
        <w:r w:rsidR="00A00BB4" w:rsidRPr="00A00BB4">
          <w:rPr>
            <w:rStyle w:val="af0"/>
          </w:rPr>
          <w:t>КОНЦЕНТРАЦИИ ЗА 201</w:t>
        </w:r>
        <w:r w:rsidR="00A00BB4" w:rsidRPr="00A00BB4">
          <w:rPr>
            <w:rStyle w:val="af0"/>
            <w:lang w:val="ru-RU"/>
          </w:rPr>
          <w:t>6</w:t>
        </w:r>
        <w:r w:rsidR="00A00BB4" w:rsidRPr="00A00BB4">
          <w:rPr>
            <w:rStyle w:val="af0"/>
          </w:rPr>
          <w:t xml:space="preserve"> - 2019 ГГ.</w:t>
        </w:r>
        <w:r w:rsidR="00A00BB4" w:rsidRPr="00A00BB4">
          <w:rPr>
            <w:webHidden/>
          </w:rPr>
          <w:tab/>
        </w:r>
        <w:r w:rsidRPr="00A00BB4">
          <w:rPr>
            <w:webHidden/>
          </w:rPr>
          <w:fldChar w:fldCharType="begin"/>
        </w:r>
        <w:r w:rsidR="00A00BB4" w:rsidRPr="00A00BB4">
          <w:rPr>
            <w:webHidden/>
          </w:rPr>
          <w:instrText xml:space="preserve"> PAGEREF _Toc35458622 \h </w:instrText>
        </w:r>
        <w:r w:rsidRPr="00A00BB4">
          <w:rPr>
            <w:webHidden/>
          </w:rPr>
        </w:r>
        <w:r w:rsidRPr="00A00BB4">
          <w:rPr>
            <w:webHidden/>
          </w:rPr>
          <w:fldChar w:fldCharType="separate"/>
        </w:r>
        <w:r w:rsidR="00372F12">
          <w:rPr>
            <w:webHidden/>
          </w:rPr>
          <w:t>51</w:t>
        </w:r>
        <w:r w:rsidRPr="00A00BB4">
          <w:rPr>
            <w:webHidden/>
          </w:rPr>
          <w:fldChar w:fldCharType="end"/>
        </w:r>
      </w:hyperlink>
    </w:p>
    <w:p w:rsidR="00A00BB4" w:rsidRPr="00A00BB4" w:rsidRDefault="00B26DD1" w:rsidP="00A00BB4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35458623" w:history="1">
        <w:r w:rsidR="00A00BB4" w:rsidRPr="00A00BB4">
          <w:rPr>
            <w:rStyle w:val="af0"/>
          </w:rPr>
          <w:t xml:space="preserve">ИМПОРТИРОВАННЫЕ ТОВАРЫ С ВЫСОКИМ КОЭФФИЦИЕНТОМ </w:t>
        </w:r>
        <w:r w:rsidR="00A00BB4">
          <w:rPr>
            <w:rStyle w:val="af0"/>
          </w:rPr>
          <w:br/>
        </w:r>
        <w:r w:rsidR="00A00BB4" w:rsidRPr="00A00BB4">
          <w:rPr>
            <w:rStyle w:val="af0"/>
          </w:rPr>
          <w:t>ТОВАРНОЙ КОНЦЕНТРАЦИИ ЗА 201</w:t>
        </w:r>
        <w:r w:rsidR="00A00BB4" w:rsidRPr="00A00BB4">
          <w:rPr>
            <w:rStyle w:val="af0"/>
            <w:lang w:val="uz-Cyrl-UZ"/>
          </w:rPr>
          <w:t>6</w:t>
        </w:r>
        <w:r w:rsidR="00A00BB4" w:rsidRPr="00A00BB4">
          <w:rPr>
            <w:rStyle w:val="af0"/>
          </w:rPr>
          <w:t xml:space="preserve"> - 2019 ГГ.</w:t>
        </w:r>
        <w:r w:rsidR="00A00BB4" w:rsidRPr="00A00BB4">
          <w:rPr>
            <w:webHidden/>
          </w:rPr>
          <w:tab/>
        </w:r>
        <w:r w:rsidRPr="00A00BB4">
          <w:rPr>
            <w:webHidden/>
          </w:rPr>
          <w:fldChar w:fldCharType="begin"/>
        </w:r>
        <w:r w:rsidR="00A00BB4" w:rsidRPr="00A00BB4">
          <w:rPr>
            <w:webHidden/>
          </w:rPr>
          <w:instrText xml:space="preserve"> PAGEREF _Toc35458623 \h </w:instrText>
        </w:r>
        <w:r w:rsidRPr="00A00BB4">
          <w:rPr>
            <w:webHidden/>
          </w:rPr>
        </w:r>
        <w:r w:rsidRPr="00A00BB4">
          <w:rPr>
            <w:webHidden/>
          </w:rPr>
          <w:fldChar w:fldCharType="separate"/>
        </w:r>
        <w:r w:rsidR="00372F12">
          <w:rPr>
            <w:webHidden/>
          </w:rPr>
          <w:t>54</w:t>
        </w:r>
        <w:r w:rsidRPr="00A00BB4">
          <w:rPr>
            <w:webHidden/>
          </w:rPr>
          <w:fldChar w:fldCharType="end"/>
        </w:r>
      </w:hyperlink>
    </w:p>
    <w:p w:rsidR="00A00BB4" w:rsidRPr="00A00BB4" w:rsidRDefault="00B26DD1" w:rsidP="00A00BB4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35458624" w:history="1">
        <w:r w:rsidR="00A00BB4" w:rsidRPr="00A00BB4">
          <w:rPr>
            <w:rStyle w:val="af0"/>
          </w:rPr>
          <w:t>ГЕОГРАФИЧЕСКАЯ СТРУКТУРА ВНЕШНЕЙ ТОРГОВЛИ ТОВАРАМИ ЗА 201</w:t>
        </w:r>
        <w:r w:rsidR="00A00BB4" w:rsidRPr="00A00BB4">
          <w:rPr>
            <w:rStyle w:val="af0"/>
            <w:lang w:val="ru-RU"/>
          </w:rPr>
          <w:t>6</w:t>
        </w:r>
        <w:r w:rsidR="00A00BB4" w:rsidRPr="00A00BB4">
          <w:rPr>
            <w:rStyle w:val="af0"/>
          </w:rPr>
          <w:t xml:space="preserve"> - 2019 ГГ.</w:t>
        </w:r>
        <w:r w:rsidR="00A00BB4" w:rsidRPr="00A00BB4">
          <w:rPr>
            <w:webHidden/>
          </w:rPr>
          <w:tab/>
        </w:r>
        <w:r w:rsidRPr="00A00BB4">
          <w:rPr>
            <w:webHidden/>
          </w:rPr>
          <w:fldChar w:fldCharType="begin"/>
        </w:r>
        <w:r w:rsidR="00A00BB4" w:rsidRPr="00A00BB4">
          <w:rPr>
            <w:webHidden/>
          </w:rPr>
          <w:instrText xml:space="preserve"> PAGEREF _Toc35458624 \h </w:instrText>
        </w:r>
        <w:r w:rsidRPr="00A00BB4">
          <w:rPr>
            <w:webHidden/>
          </w:rPr>
        </w:r>
        <w:r w:rsidRPr="00A00BB4">
          <w:rPr>
            <w:webHidden/>
          </w:rPr>
          <w:fldChar w:fldCharType="separate"/>
        </w:r>
        <w:r w:rsidR="00372F12">
          <w:rPr>
            <w:webHidden/>
          </w:rPr>
          <w:t>58</w:t>
        </w:r>
        <w:r w:rsidRPr="00A00BB4">
          <w:rPr>
            <w:webHidden/>
          </w:rPr>
          <w:fldChar w:fldCharType="end"/>
        </w:r>
      </w:hyperlink>
    </w:p>
    <w:p w:rsidR="00A00BB4" w:rsidRPr="00A00BB4" w:rsidRDefault="00B26DD1" w:rsidP="00A00BB4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35458625" w:history="1">
        <w:r w:rsidR="00A00BB4" w:rsidRPr="00A00BB4">
          <w:rPr>
            <w:rStyle w:val="af0"/>
          </w:rPr>
          <w:t>БАЛАНС МЕЖДУНАРОДНЫХ УСЛУГ ПО РАСШИРЕННОЙ КЛАССИФИКАЦИИ  ЗА 201</w:t>
        </w:r>
        <w:r w:rsidR="00A00BB4" w:rsidRPr="00A00BB4">
          <w:rPr>
            <w:rStyle w:val="af0"/>
            <w:lang w:val="ru-RU"/>
          </w:rPr>
          <w:t>4</w:t>
        </w:r>
        <w:r w:rsidR="00A00BB4" w:rsidRPr="00A00BB4">
          <w:rPr>
            <w:rStyle w:val="af0"/>
          </w:rPr>
          <w:t xml:space="preserve"> - 2019 ГГ.</w:t>
        </w:r>
        <w:r w:rsidR="00A00BB4" w:rsidRPr="00A00BB4">
          <w:rPr>
            <w:webHidden/>
          </w:rPr>
          <w:tab/>
        </w:r>
        <w:r w:rsidRPr="00A00BB4">
          <w:rPr>
            <w:webHidden/>
          </w:rPr>
          <w:fldChar w:fldCharType="begin"/>
        </w:r>
        <w:r w:rsidR="00A00BB4" w:rsidRPr="00A00BB4">
          <w:rPr>
            <w:webHidden/>
          </w:rPr>
          <w:instrText xml:space="preserve"> PAGEREF _Toc35458625 \h </w:instrText>
        </w:r>
        <w:r w:rsidRPr="00A00BB4">
          <w:rPr>
            <w:webHidden/>
          </w:rPr>
        </w:r>
        <w:r w:rsidRPr="00A00BB4">
          <w:rPr>
            <w:webHidden/>
          </w:rPr>
          <w:fldChar w:fldCharType="separate"/>
        </w:r>
        <w:r w:rsidR="00372F12">
          <w:rPr>
            <w:webHidden/>
          </w:rPr>
          <w:t>62</w:t>
        </w:r>
        <w:r w:rsidRPr="00A00BB4">
          <w:rPr>
            <w:webHidden/>
          </w:rPr>
          <w:fldChar w:fldCharType="end"/>
        </w:r>
      </w:hyperlink>
    </w:p>
    <w:p w:rsidR="00A00BB4" w:rsidRPr="00A00BB4" w:rsidRDefault="00B26DD1" w:rsidP="00A00BB4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35458626" w:history="1">
        <w:r w:rsidR="00A00BB4" w:rsidRPr="00A00BB4">
          <w:rPr>
            <w:rStyle w:val="af0"/>
          </w:rPr>
          <w:t>ЛИЧНЫЕ ТРАНСФЕРТЫ</w:t>
        </w:r>
        <w:r w:rsidR="00A00BB4" w:rsidRPr="00A00BB4">
          <w:rPr>
            <w:rStyle w:val="af0"/>
            <w:lang w:val="uz-Cyrl-UZ"/>
          </w:rPr>
          <w:t xml:space="preserve"> В УЗБЕКИСТАН</w:t>
        </w:r>
        <w:r w:rsidR="00A00BB4" w:rsidRPr="00A00BB4">
          <w:rPr>
            <w:rStyle w:val="af0"/>
          </w:rPr>
          <w:t xml:space="preserve"> ЗА 201</w:t>
        </w:r>
        <w:r w:rsidR="00A00BB4" w:rsidRPr="00A00BB4">
          <w:rPr>
            <w:rStyle w:val="af0"/>
            <w:lang w:val="uz-Cyrl-UZ"/>
          </w:rPr>
          <w:t>6</w:t>
        </w:r>
        <w:r w:rsidR="00A00BB4" w:rsidRPr="00A00BB4">
          <w:rPr>
            <w:rStyle w:val="af0"/>
          </w:rPr>
          <w:t xml:space="preserve"> - 2019 ГГ.</w:t>
        </w:r>
        <w:r w:rsidR="00A00BB4" w:rsidRPr="00A00BB4">
          <w:rPr>
            <w:webHidden/>
          </w:rPr>
          <w:tab/>
        </w:r>
        <w:r w:rsidRPr="00A00BB4">
          <w:rPr>
            <w:webHidden/>
          </w:rPr>
          <w:fldChar w:fldCharType="begin"/>
        </w:r>
        <w:r w:rsidR="00A00BB4" w:rsidRPr="00A00BB4">
          <w:rPr>
            <w:webHidden/>
          </w:rPr>
          <w:instrText xml:space="preserve"> PAGEREF _Toc35458626 \h </w:instrText>
        </w:r>
        <w:r w:rsidRPr="00A00BB4">
          <w:rPr>
            <w:webHidden/>
          </w:rPr>
        </w:r>
        <w:r w:rsidRPr="00A00BB4">
          <w:rPr>
            <w:webHidden/>
          </w:rPr>
          <w:fldChar w:fldCharType="separate"/>
        </w:r>
        <w:r w:rsidR="00372F12">
          <w:rPr>
            <w:webHidden/>
          </w:rPr>
          <w:t>68</w:t>
        </w:r>
        <w:r w:rsidRPr="00A00BB4">
          <w:rPr>
            <w:webHidden/>
          </w:rPr>
          <w:fldChar w:fldCharType="end"/>
        </w:r>
      </w:hyperlink>
    </w:p>
    <w:p w:rsidR="00A00BB4" w:rsidRPr="00A00BB4" w:rsidRDefault="00B26DD1" w:rsidP="00A00BB4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35458627" w:history="1">
        <w:r w:rsidR="00A00BB4" w:rsidRPr="00A00BB4">
          <w:rPr>
            <w:rStyle w:val="af0"/>
          </w:rPr>
          <w:t>ЛИЧНЫЕ ТРАНСФЕРТЫ</w:t>
        </w:r>
        <w:r w:rsidR="00A00BB4" w:rsidRPr="00A00BB4">
          <w:rPr>
            <w:rStyle w:val="af0"/>
            <w:lang w:val="uz-Cyrl-UZ"/>
          </w:rPr>
          <w:t xml:space="preserve"> ИЗ УЗБЕКИСТАН</w:t>
        </w:r>
        <w:r w:rsidR="00A00BB4" w:rsidRPr="00A00BB4">
          <w:rPr>
            <w:rStyle w:val="af0"/>
            <w:lang w:val="ru-RU"/>
          </w:rPr>
          <w:t>А</w:t>
        </w:r>
        <w:r w:rsidR="00A00BB4" w:rsidRPr="00A00BB4">
          <w:rPr>
            <w:rStyle w:val="af0"/>
          </w:rPr>
          <w:t xml:space="preserve"> ЗА 201</w:t>
        </w:r>
        <w:r w:rsidR="00A00BB4" w:rsidRPr="00A00BB4">
          <w:rPr>
            <w:rStyle w:val="af0"/>
            <w:lang w:val="uz-Cyrl-UZ"/>
          </w:rPr>
          <w:t>6</w:t>
        </w:r>
        <w:r w:rsidR="00A00BB4" w:rsidRPr="00A00BB4">
          <w:rPr>
            <w:rStyle w:val="af0"/>
          </w:rPr>
          <w:t xml:space="preserve"> - 2019 ГГ.</w:t>
        </w:r>
        <w:r w:rsidR="00A00BB4" w:rsidRPr="00A00BB4">
          <w:rPr>
            <w:webHidden/>
          </w:rPr>
          <w:tab/>
        </w:r>
        <w:r w:rsidRPr="00A00BB4">
          <w:rPr>
            <w:webHidden/>
          </w:rPr>
          <w:fldChar w:fldCharType="begin"/>
        </w:r>
        <w:r w:rsidR="00A00BB4" w:rsidRPr="00A00BB4">
          <w:rPr>
            <w:webHidden/>
          </w:rPr>
          <w:instrText xml:space="preserve"> PAGEREF _Toc35458627 \h </w:instrText>
        </w:r>
        <w:r w:rsidRPr="00A00BB4">
          <w:rPr>
            <w:webHidden/>
          </w:rPr>
        </w:r>
        <w:r w:rsidRPr="00A00BB4">
          <w:rPr>
            <w:webHidden/>
          </w:rPr>
          <w:fldChar w:fldCharType="separate"/>
        </w:r>
        <w:r w:rsidR="00372F12">
          <w:rPr>
            <w:webHidden/>
          </w:rPr>
          <w:t>70</w:t>
        </w:r>
        <w:r w:rsidRPr="00A00BB4">
          <w:rPr>
            <w:webHidden/>
          </w:rPr>
          <w:fldChar w:fldCharType="end"/>
        </w:r>
      </w:hyperlink>
    </w:p>
    <w:p w:rsidR="00A00BB4" w:rsidRPr="00A00BB4" w:rsidRDefault="00B26DD1" w:rsidP="00A00BB4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35458628" w:history="1">
        <w:r w:rsidR="00A00BB4" w:rsidRPr="00A00BB4">
          <w:rPr>
            <w:rStyle w:val="af0"/>
          </w:rPr>
          <w:t>БАЛАНС ПЕРВИЧНЫХ ДОХОДОВ ЗА</w:t>
        </w:r>
        <w:r w:rsidR="00A00BB4" w:rsidRPr="00A00BB4">
          <w:rPr>
            <w:rStyle w:val="af0"/>
            <w:lang w:val="ru-RU"/>
          </w:rPr>
          <w:t xml:space="preserve"> </w:t>
        </w:r>
        <w:r w:rsidR="00A00BB4" w:rsidRPr="00A00BB4">
          <w:rPr>
            <w:rStyle w:val="af0"/>
          </w:rPr>
          <w:t>201</w:t>
        </w:r>
        <w:r w:rsidR="00A00BB4" w:rsidRPr="00A00BB4">
          <w:rPr>
            <w:rStyle w:val="af0"/>
            <w:lang w:val="ru-RU"/>
          </w:rPr>
          <w:t>4</w:t>
        </w:r>
        <w:r w:rsidR="00A00BB4" w:rsidRPr="00A00BB4">
          <w:rPr>
            <w:rStyle w:val="af0"/>
          </w:rPr>
          <w:t>-2019 ГГ.</w:t>
        </w:r>
        <w:r w:rsidR="00A00BB4" w:rsidRPr="00A00BB4">
          <w:rPr>
            <w:webHidden/>
          </w:rPr>
          <w:tab/>
        </w:r>
        <w:r w:rsidRPr="00A00BB4">
          <w:rPr>
            <w:webHidden/>
          </w:rPr>
          <w:fldChar w:fldCharType="begin"/>
        </w:r>
        <w:r w:rsidR="00A00BB4" w:rsidRPr="00A00BB4">
          <w:rPr>
            <w:webHidden/>
          </w:rPr>
          <w:instrText xml:space="preserve"> PAGEREF _Toc35458628 \h </w:instrText>
        </w:r>
        <w:r w:rsidRPr="00A00BB4">
          <w:rPr>
            <w:webHidden/>
          </w:rPr>
        </w:r>
        <w:r w:rsidRPr="00A00BB4">
          <w:rPr>
            <w:webHidden/>
          </w:rPr>
          <w:fldChar w:fldCharType="separate"/>
        </w:r>
        <w:r w:rsidR="00372F12">
          <w:rPr>
            <w:webHidden/>
          </w:rPr>
          <w:t>72</w:t>
        </w:r>
        <w:r w:rsidRPr="00A00BB4">
          <w:rPr>
            <w:webHidden/>
          </w:rPr>
          <w:fldChar w:fldCharType="end"/>
        </w:r>
      </w:hyperlink>
    </w:p>
    <w:p w:rsidR="00A00BB4" w:rsidRPr="00A00BB4" w:rsidRDefault="00B26DD1" w:rsidP="00A00BB4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35458629" w:history="1">
        <w:r w:rsidR="00A00BB4" w:rsidRPr="00A00BB4">
          <w:rPr>
            <w:rStyle w:val="af0"/>
          </w:rPr>
          <w:t>БАЛАНС ВТОРИЧНЫХ ДОХОДОВ ЗА</w:t>
        </w:r>
        <w:r w:rsidR="00A00BB4" w:rsidRPr="00A00BB4">
          <w:rPr>
            <w:rStyle w:val="af0"/>
            <w:lang w:val="ru-RU"/>
          </w:rPr>
          <w:t xml:space="preserve"> </w:t>
        </w:r>
        <w:r w:rsidR="00A00BB4" w:rsidRPr="00A00BB4">
          <w:rPr>
            <w:rStyle w:val="af0"/>
          </w:rPr>
          <w:t>201</w:t>
        </w:r>
        <w:r w:rsidR="00A00BB4" w:rsidRPr="00A00BB4">
          <w:rPr>
            <w:rStyle w:val="af0"/>
            <w:lang w:val="ru-RU"/>
          </w:rPr>
          <w:t>4</w:t>
        </w:r>
        <w:r w:rsidR="00A00BB4" w:rsidRPr="00A00BB4">
          <w:rPr>
            <w:rStyle w:val="af0"/>
          </w:rPr>
          <w:t>-2019 ГГ.</w:t>
        </w:r>
        <w:r w:rsidR="00A00BB4" w:rsidRPr="00A00BB4">
          <w:rPr>
            <w:webHidden/>
          </w:rPr>
          <w:tab/>
        </w:r>
        <w:r w:rsidRPr="00A00BB4">
          <w:rPr>
            <w:webHidden/>
          </w:rPr>
          <w:fldChar w:fldCharType="begin"/>
        </w:r>
        <w:r w:rsidR="00A00BB4" w:rsidRPr="00A00BB4">
          <w:rPr>
            <w:webHidden/>
          </w:rPr>
          <w:instrText xml:space="preserve"> PAGEREF _Toc35458629 \h </w:instrText>
        </w:r>
        <w:r w:rsidRPr="00A00BB4">
          <w:rPr>
            <w:webHidden/>
          </w:rPr>
        </w:r>
        <w:r w:rsidRPr="00A00BB4">
          <w:rPr>
            <w:webHidden/>
          </w:rPr>
          <w:fldChar w:fldCharType="separate"/>
        </w:r>
        <w:r w:rsidR="00372F12">
          <w:rPr>
            <w:webHidden/>
          </w:rPr>
          <w:t>73</w:t>
        </w:r>
        <w:r w:rsidRPr="00A00BB4">
          <w:rPr>
            <w:webHidden/>
          </w:rPr>
          <w:fldChar w:fldCharType="end"/>
        </w:r>
      </w:hyperlink>
    </w:p>
    <w:p w:rsidR="00A00BB4" w:rsidRPr="00A00BB4" w:rsidRDefault="00B26DD1" w:rsidP="00A00BB4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35458630" w:history="1">
        <w:r w:rsidR="00A00BB4" w:rsidRPr="00A00BB4">
          <w:rPr>
            <w:rStyle w:val="af0"/>
            <w:lang w:val="ru-RU"/>
          </w:rPr>
          <w:t xml:space="preserve">ЧИСТОЕ </w:t>
        </w:r>
        <w:r w:rsidR="00A00BB4" w:rsidRPr="00A00BB4">
          <w:rPr>
            <w:rStyle w:val="af0"/>
          </w:rPr>
          <w:t>ПОСТУПЛЕНИЕ ПРЯМЫХ ИНОСТРАННЫХ ИНВЕСТИЦИЙ ЗА 201</w:t>
        </w:r>
        <w:r w:rsidR="00A00BB4" w:rsidRPr="00A00BB4">
          <w:rPr>
            <w:rStyle w:val="af0"/>
            <w:lang w:val="ru-RU"/>
          </w:rPr>
          <w:t>4</w:t>
        </w:r>
        <w:r w:rsidR="00A00BB4" w:rsidRPr="00A00BB4">
          <w:rPr>
            <w:rStyle w:val="af0"/>
          </w:rPr>
          <w:t>-2019 ГГ.</w:t>
        </w:r>
        <w:r w:rsidR="00A00BB4" w:rsidRPr="00A00BB4">
          <w:rPr>
            <w:rStyle w:val="af0"/>
            <w:lang w:val="ru-RU"/>
          </w:rPr>
          <w:t>*</w:t>
        </w:r>
        <w:r w:rsidR="00A00BB4" w:rsidRPr="00A00BB4">
          <w:rPr>
            <w:webHidden/>
          </w:rPr>
          <w:tab/>
        </w:r>
        <w:r w:rsidRPr="00A00BB4">
          <w:rPr>
            <w:webHidden/>
          </w:rPr>
          <w:fldChar w:fldCharType="begin"/>
        </w:r>
        <w:r w:rsidR="00A00BB4" w:rsidRPr="00A00BB4">
          <w:rPr>
            <w:webHidden/>
          </w:rPr>
          <w:instrText xml:space="preserve"> PAGEREF _Toc35458630 \h </w:instrText>
        </w:r>
        <w:r w:rsidRPr="00A00BB4">
          <w:rPr>
            <w:webHidden/>
          </w:rPr>
        </w:r>
        <w:r w:rsidRPr="00A00BB4">
          <w:rPr>
            <w:webHidden/>
          </w:rPr>
          <w:fldChar w:fldCharType="separate"/>
        </w:r>
        <w:r w:rsidR="00372F12">
          <w:rPr>
            <w:webHidden/>
          </w:rPr>
          <w:t>74</w:t>
        </w:r>
        <w:r w:rsidRPr="00A00BB4">
          <w:rPr>
            <w:webHidden/>
          </w:rPr>
          <w:fldChar w:fldCharType="end"/>
        </w:r>
      </w:hyperlink>
    </w:p>
    <w:p w:rsidR="00A00BB4" w:rsidRPr="00A00BB4" w:rsidRDefault="00B26DD1" w:rsidP="00A00BB4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35458631" w:history="1">
        <w:r w:rsidR="00A00BB4" w:rsidRPr="00A00BB4">
          <w:rPr>
            <w:rStyle w:val="af0"/>
          </w:rPr>
          <w:t>МЕЖДУНАРОДНАЯ ИНВЕСТИЦИОННАЯ ПОЗИЦИЯ ЗА 201</w:t>
        </w:r>
        <w:r w:rsidR="00A00BB4" w:rsidRPr="00A00BB4">
          <w:rPr>
            <w:rStyle w:val="af0"/>
            <w:lang w:val="uz-Cyrl-UZ"/>
          </w:rPr>
          <w:t>4-2016</w:t>
        </w:r>
        <w:r w:rsidR="00A00BB4" w:rsidRPr="00A00BB4">
          <w:rPr>
            <w:rStyle w:val="af0"/>
          </w:rPr>
          <w:t xml:space="preserve"> Г</w:t>
        </w:r>
        <w:r w:rsidR="00A00BB4" w:rsidRPr="00A00BB4">
          <w:rPr>
            <w:rStyle w:val="af0"/>
            <w:lang w:val="uz-Cyrl-UZ"/>
          </w:rPr>
          <w:t>Г.</w:t>
        </w:r>
        <w:r w:rsidR="00A00BB4" w:rsidRPr="00A00BB4">
          <w:rPr>
            <w:webHidden/>
          </w:rPr>
          <w:tab/>
        </w:r>
        <w:r w:rsidRPr="00A00BB4">
          <w:rPr>
            <w:webHidden/>
          </w:rPr>
          <w:fldChar w:fldCharType="begin"/>
        </w:r>
        <w:r w:rsidR="00A00BB4" w:rsidRPr="00A00BB4">
          <w:rPr>
            <w:webHidden/>
          </w:rPr>
          <w:instrText xml:space="preserve"> PAGEREF _Toc35458631 \h </w:instrText>
        </w:r>
        <w:r w:rsidRPr="00A00BB4">
          <w:rPr>
            <w:webHidden/>
          </w:rPr>
        </w:r>
        <w:r w:rsidRPr="00A00BB4">
          <w:rPr>
            <w:webHidden/>
          </w:rPr>
          <w:fldChar w:fldCharType="separate"/>
        </w:r>
        <w:r w:rsidR="00372F12">
          <w:rPr>
            <w:webHidden/>
          </w:rPr>
          <w:t>75</w:t>
        </w:r>
        <w:r w:rsidRPr="00A00BB4">
          <w:rPr>
            <w:webHidden/>
          </w:rPr>
          <w:fldChar w:fldCharType="end"/>
        </w:r>
      </w:hyperlink>
    </w:p>
    <w:p w:rsidR="00A00BB4" w:rsidRPr="00A00BB4" w:rsidRDefault="00B26DD1" w:rsidP="00A00BB4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35458632" w:history="1">
        <w:r w:rsidR="00A00BB4" w:rsidRPr="00A00BB4">
          <w:rPr>
            <w:rStyle w:val="af0"/>
          </w:rPr>
          <w:t>МЕЖДУНАРОДНАЯ ИНВЕСТИЦИОННАЯ ПОЗИЦИЯ ЗА 201</w:t>
        </w:r>
        <w:r w:rsidR="00A00BB4" w:rsidRPr="00A00BB4">
          <w:rPr>
            <w:rStyle w:val="af0"/>
            <w:lang w:val="ru-RU"/>
          </w:rPr>
          <w:t>7</w:t>
        </w:r>
        <w:r w:rsidR="00A00BB4" w:rsidRPr="00A00BB4">
          <w:rPr>
            <w:rStyle w:val="af0"/>
            <w:lang w:val="uz-Cyrl-UZ"/>
          </w:rPr>
          <w:t>-2019</w:t>
        </w:r>
        <w:r w:rsidR="00A00BB4" w:rsidRPr="00A00BB4">
          <w:rPr>
            <w:rStyle w:val="af0"/>
          </w:rPr>
          <w:t xml:space="preserve"> Г</w:t>
        </w:r>
        <w:r w:rsidR="00A00BB4" w:rsidRPr="00A00BB4">
          <w:rPr>
            <w:rStyle w:val="af0"/>
            <w:lang w:val="uz-Cyrl-UZ"/>
          </w:rPr>
          <w:t>Г.</w:t>
        </w:r>
        <w:r w:rsidR="00A00BB4" w:rsidRPr="00A00BB4">
          <w:rPr>
            <w:webHidden/>
          </w:rPr>
          <w:tab/>
        </w:r>
        <w:r w:rsidRPr="00A00BB4">
          <w:rPr>
            <w:webHidden/>
          </w:rPr>
          <w:fldChar w:fldCharType="begin"/>
        </w:r>
        <w:r w:rsidR="00A00BB4" w:rsidRPr="00A00BB4">
          <w:rPr>
            <w:webHidden/>
          </w:rPr>
          <w:instrText xml:space="preserve"> PAGEREF _Toc35458632 \h </w:instrText>
        </w:r>
        <w:r w:rsidRPr="00A00BB4">
          <w:rPr>
            <w:webHidden/>
          </w:rPr>
        </w:r>
        <w:r w:rsidRPr="00A00BB4">
          <w:rPr>
            <w:webHidden/>
          </w:rPr>
          <w:fldChar w:fldCharType="separate"/>
        </w:r>
        <w:r w:rsidR="00372F12">
          <w:rPr>
            <w:webHidden/>
          </w:rPr>
          <w:t>76</w:t>
        </w:r>
        <w:r w:rsidRPr="00A00BB4">
          <w:rPr>
            <w:webHidden/>
          </w:rPr>
          <w:fldChar w:fldCharType="end"/>
        </w:r>
      </w:hyperlink>
    </w:p>
    <w:p w:rsidR="00A00BB4" w:rsidRPr="00A00BB4" w:rsidRDefault="00B26DD1" w:rsidP="00A00BB4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35458633" w:history="1">
        <w:r w:rsidR="00A00BB4" w:rsidRPr="00A00BB4">
          <w:rPr>
            <w:rStyle w:val="af0"/>
          </w:rPr>
          <w:t xml:space="preserve">МЕЖДУНАРОДНАЯ ИНВЕСТИЦИОННАЯ ПОЗИЦИЯ СЕКТОРА ГОСУДАРСТВЕННОГО </w:t>
        </w:r>
        <w:r w:rsidR="00A00BB4">
          <w:rPr>
            <w:rStyle w:val="af0"/>
          </w:rPr>
          <w:br/>
        </w:r>
        <w:r w:rsidR="00A00BB4" w:rsidRPr="00A00BB4">
          <w:rPr>
            <w:rStyle w:val="af0"/>
          </w:rPr>
          <w:t>УПРАВЛЕНИЯ ЗА 2014-2016 Г</w:t>
        </w:r>
        <w:r w:rsidR="00A00BB4" w:rsidRPr="00A00BB4">
          <w:rPr>
            <w:rStyle w:val="af0"/>
            <w:lang w:val="ru-RU"/>
          </w:rPr>
          <w:t>Г.</w:t>
        </w:r>
        <w:r w:rsidR="00A00BB4" w:rsidRPr="00A00BB4">
          <w:rPr>
            <w:webHidden/>
          </w:rPr>
          <w:tab/>
        </w:r>
        <w:r w:rsidRPr="00A00BB4">
          <w:rPr>
            <w:webHidden/>
          </w:rPr>
          <w:fldChar w:fldCharType="begin"/>
        </w:r>
        <w:r w:rsidR="00A00BB4" w:rsidRPr="00A00BB4">
          <w:rPr>
            <w:webHidden/>
          </w:rPr>
          <w:instrText xml:space="preserve"> PAGEREF _Toc35458633 \h </w:instrText>
        </w:r>
        <w:r w:rsidRPr="00A00BB4">
          <w:rPr>
            <w:webHidden/>
          </w:rPr>
        </w:r>
        <w:r w:rsidRPr="00A00BB4">
          <w:rPr>
            <w:webHidden/>
          </w:rPr>
          <w:fldChar w:fldCharType="separate"/>
        </w:r>
        <w:r w:rsidR="00372F12">
          <w:rPr>
            <w:webHidden/>
          </w:rPr>
          <w:t>77</w:t>
        </w:r>
        <w:r w:rsidRPr="00A00BB4">
          <w:rPr>
            <w:webHidden/>
          </w:rPr>
          <w:fldChar w:fldCharType="end"/>
        </w:r>
      </w:hyperlink>
    </w:p>
    <w:p w:rsidR="00A00BB4" w:rsidRPr="00A00BB4" w:rsidRDefault="00B26DD1" w:rsidP="00A00BB4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35458634" w:history="1">
        <w:r w:rsidR="00A00BB4" w:rsidRPr="00A00BB4">
          <w:rPr>
            <w:rStyle w:val="af0"/>
          </w:rPr>
          <w:t xml:space="preserve">МЕЖДУНАРОДНАЯ ИНВЕСТИЦИОННАЯ ПОЗИЦИЯ СЕКТОРА ГОСУДАРСТВЕННОГО </w:t>
        </w:r>
        <w:r w:rsidR="00A00BB4">
          <w:rPr>
            <w:rStyle w:val="af0"/>
          </w:rPr>
          <w:br/>
        </w:r>
        <w:r w:rsidR="00A00BB4" w:rsidRPr="00A00BB4">
          <w:rPr>
            <w:rStyle w:val="af0"/>
          </w:rPr>
          <w:t>УПРАВЛЕНИЯ ЗА 201</w:t>
        </w:r>
        <w:r w:rsidR="00A00BB4" w:rsidRPr="00A00BB4">
          <w:rPr>
            <w:rStyle w:val="af0"/>
            <w:lang w:val="ru-RU"/>
          </w:rPr>
          <w:t>7</w:t>
        </w:r>
        <w:r w:rsidR="00A00BB4" w:rsidRPr="00A00BB4">
          <w:rPr>
            <w:rStyle w:val="af0"/>
          </w:rPr>
          <w:t>-201</w:t>
        </w:r>
        <w:r w:rsidR="00A00BB4" w:rsidRPr="00A00BB4">
          <w:rPr>
            <w:rStyle w:val="af0"/>
            <w:lang w:val="ru-RU"/>
          </w:rPr>
          <w:t>9</w:t>
        </w:r>
        <w:r w:rsidR="00A00BB4" w:rsidRPr="00A00BB4">
          <w:rPr>
            <w:rStyle w:val="af0"/>
          </w:rPr>
          <w:t xml:space="preserve"> Г</w:t>
        </w:r>
        <w:r w:rsidR="00A00BB4" w:rsidRPr="00A00BB4">
          <w:rPr>
            <w:rStyle w:val="af0"/>
            <w:lang w:val="ru-RU"/>
          </w:rPr>
          <w:t>Г.</w:t>
        </w:r>
        <w:r w:rsidR="00A00BB4" w:rsidRPr="00A00BB4">
          <w:rPr>
            <w:webHidden/>
          </w:rPr>
          <w:tab/>
        </w:r>
        <w:r w:rsidRPr="00A00BB4">
          <w:rPr>
            <w:webHidden/>
          </w:rPr>
          <w:fldChar w:fldCharType="begin"/>
        </w:r>
        <w:r w:rsidR="00A00BB4" w:rsidRPr="00A00BB4">
          <w:rPr>
            <w:webHidden/>
          </w:rPr>
          <w:instrText xml:space="preserve"> PAGEREF _Toc35458634 \h </w:instrText>
        </w:r>
        <w:r w:rsidRPr="00A00BB4">
          <w:rPr>
            <w:webHidden/>
          </w:rPr>
        </w:r>
        <w:r w:rsidRPr="00A00BB4">
          <w:rPr>
            <w:webHidden/>
          </w:rPr>
          <w:fldChar w:fldCharType="separate"/>
        </w:r>
        <w:r w:rsidR="00372F12">
          <w:rPr>
            <w:webHidden/>
          </w:rPr>
          <w:t>78</w:t>
        </w:r>
        <w:r w:rsidRPr="00A00BB4">
          <w:rPr>
            <w:webHidden/>
          </w:rPr>
          <w:fldChar w:fldCharType="end"/>
        </w:r>
      </w:hyperlink>
    </w:p>
    <w:p w:rsidR="00A00BB4" w:rsidRPr="00A00BB4" w:rsidRDefault="00B26DD1" w:rsidP="00A00BB4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35458635" w:history="1">
        <w:r w:rsidR="00A00BB4" w:rsidRPr="00A00BB4">
          <w:rPr>
            <w:rStyle w:val="af0"/>
          </w:rPr>
          <w:t>МЕЖДУНАРОДНАЯ ИНВЕСТИЦИОННАЯ ПОЗИЦИЯ БАНКОВСКОГО СЕКТОРА ЗА 201</w:t>
        </w:r>
        <w:r w:rsidR="00A00BB4" w:rsidRPr="00A00BB4">
          <w:rPr>
            <w:rStyle w:val="af0"/>
            <w:lang w:val="ru-RU"/>
          </w:rPr>
          <w:t>4-2016</w:t>
        </w:r>
        <w:r w:rsidR="00A00BB4" w:rsidRPr="00A00BB4">
          <w:rPr>
            <w:rStyle w:val="af0"/>
          </w:rPr>
          <w:t xml:space="preserve"> </w:t>
        </w:r>
        <w:r w:rsidR="00A00BB4" w:rsidRPr="00A00BB4">
          <w:rPr>
            <w:rStyle w:val="af0"/>
            <w:lang w:val="ru-RU"/>
          </w:rPr>
          <w:t>Г</w:t>
        </w:r>
        <w:r w:rsidR="00A00BB4" w:rsidRPr="00A00BB4">
          <w:rPr>
            <w:rStyle w:val="af0"/>
          </w:rPr>
          <w:t>Г</w:t>
        </w:r>
        <w:r w:rsidR="00A00BB4" w:rsidRPr="00A00BB4">
          <w:rPr>
            <w:rStyle w:val="af0"/>
            <w:lang w:val="ru-RU"/>
          </w:rPr>
          <w:t>.</w:t>
        </w:r>
        <w:r w:rsidR="00A00BB4" w:rsidRPr="00A00BB4">
          <w:rPr>
            <w:webHidden/>
          </w:rPr>
          <w:tab/>
        </w:r>
        <w:r w:rsidRPr="00A00BB4">
          <w:rPr>
            <w:webHidden/>
          </w:rPr>
          <w:fldChar w:fldCharType="begin"/>
        </w:r>
        <w:r w:rsidR="00A00BB4" w:rsidRPr="00A00BB4">
          <w:rPr>
            <w:webHidden/>
          </w:rPr>
          <w:instrText xml:space="preserve"> PAGEREF _Toc35458635 \h </w:instrText>
        </w:r>
        <w:r w:rsidRPr="00A00BB4">
          <w:rPr>
            <w:webHidden/>
          </w:rPr>
        </w:r>
        <w:r w:rsidRPr="00A00BB4">
          <w:rPr>
            <w:webHidden/>
          </w:rPr>
          <w:fldChar w:fldCharType="separate"/>
        </w:r>
        <w:r w:rsidR="00372F12">
          <w:rPr>
            <w:webHidden/>
          </w:rPr>
          <w:t>79</w:t>
        </w:r>
        <w:r w:rsidRPr="00A00BB4">
          <w:rPr>
            <w:webHidden/>
          </w:rPr>
          <w:fldChar w:fldCharType="end"/>
        </w:r>
      </w:hyperlink>
    </w:p>
    <w:p w:rsidR="00A00BB4" w:rsidRPr="00A00BB4" w:rsidRDefault="00B26DD1" w:rsidP="00A00BB4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35458636" w:history="1">
        <w:r w:rsidR="00A00BB4" w:rsidRPr="00A00BB4">
          <w:rPr>
            <w:rStyle w:val="af0"/>
          </w:rPr>
          <w:t>МЕЖДУНАРОДНАЯ ИНВЕСТИЦИОННАЯ ПОЗИЦИЯ БАНКОВСКОГО СЕКТОРА ЗА 201</w:t>
        </w:r>
        <w:r w:rsidR="00A00BB4" w:rsidRPr="00A00BB4">
          <w:rPr>
            <w:rStyle w:val="af0"/>
            <w:lang w:val="ru-RU"/>
          </w:rPr>
          <w:t>7-2019</w:t>
        </w:r>
        <w:r w:rsidR="00A00BB4" w:rsidRPr="00A00BB4">
          <w:rPr>
            <w:rStyle w:val="af0"/>
          </w:rPr>
          <w:t xml:space="preserve"> </w:t>
        </w:r>
        <w:r w:rsidR="00A00BB4" w:rsidRPr="00A00BB4">
          <w:rPr>
            <w:rStyle w:val="af0"/>
            <w:lang w:val="ru-RU"/>
          </w:rPr>
          <w:t>Г</w:t>
        </w:r>
        <w:r w:rsidR="00A00BB4" w:rsidRPr="00A00BB4">
          <w:rPr>
            <w:rStyle w:val="af0"/>
          </w:rPr>
          <w:t>Г</w:t>
        </w:r>
        <w:r w:rsidR="00A00BB4" w:rsidRPr="00A00BB4">
          <w:rPr>
            <w:rStyle w:val="af0"/>
            <w:lang w:val="ru-RU"/>
          </w:rPr>
          <w:t>.</w:t>
        </w:r>
        <w:r w:rsidR="00A00BB4" w:rsidRPr="00A00BB4">
          <w:rPr>
            <w:webHidden/>
          </w:rPr>
          <w:tab/>
        </w:r>
        <w:r w:rsidRPr="00A00BB4">
          <w:rPr>
            <w:webHidden/>
          </w:rPr>
          <w:fldChar w:fldCharType="begin"/>
        </w:r>
        <w:r w:rsidR="00A00BB4" w:rsidRPr="00A00BB4">
          <w:rPr>
            <w:webHidden/>
          </w:rPr>
          <w:instrText xml:space="preserve"> PAGEREF _Toc35458636 \h </w:instrText>
        </w:r>
        <w:r w:rsidRPr="00A00BB4">
          <w:rPr>
            <w:webHidden/>
          </w:rPr>
        </w:r>
        <w:r w:rsidRPr="00A00BB4">
          <w:rPr>
            <w:webHidden/>
          </w:rPr>
          <w:fldChar w:fldCharType="separate"/>
        </w:r>
        <w:r w:rsidR="00372F12">
          <w:rPr>
            <w:webHidden/>
          </w:rPr>
          <w:t>80</w:t>
        </w:r>
        <w:r w:rsidRPr="00A00BB4">
          <w:rPr>
            <w:webHidden/>
          </w:rPr>
          <w:fldChar w:fldCharType="end"/>
        </w:r>
      </w:hyperlink>
    </w:p>
    <w:p w:rsidR="00A00BB4" w:rsidRPr="00A00BB4" w:rsidRDefault="00B26DD1" w:rsidP="00A00BB4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35458637" w:history="1">
        <w:r w:rsidR="00A00BB4" w:rsidRPr="00A00BB4">
          <w:rPr>
            <w:rStyle w:val="af0"/>
          </w:rPr>
          <w:t>МЕЖДУНАРОДНАЯ ИНВЕСТИЦИОННАЯ ПОЗИЦИЯ ДРУГИХ СЕКТОРОВ ЗА 201</w:t>
        </w:r>
        <w:r w:rsidR="00A00BB4" w:rsidRPr="00A00BB4">
          <w:rPr>
            <w:rStyle w:val="af0"/>
            <w:lang w:val="ru-RU"/>
          </w:rPr>
          <w:t>4-2016</w:t>
        </w:r>
        <w:r w:rsidR="00A00BB4" w:rsidRPr="00A00BB4">
          <w:rPr>
            <w:rStyle w:val="af0"/>
          </w:rPr>
          <w:t xml:space="preserve"> Г</w:t>
        </w:r>
        <w:r w:rsidR="00A00BB4" w:rsidRPr="00A00BB4">
          <w:rPr>
            <w:rStyle w:val="af0"/>
            <w:lang w:val="ru-RU"/>
          </w:rPr>
          <w:t>Г.</w:t>
        </w:r>
        <w:r w:rsidR="00A00BB4" w:rsidRPr="00A00BB4">
          <w:rPr>
            <w:webHidden/>
          </w:rPr>
          <w:tab/>
        </w:r>
        <w:r w:rsidRPr="00A00BB4">
          <w:rPr>
            <w:webHidden/>
          </w:rPr>
          <w:fldChar w:fldCharType="begin"/>
        </w:r>
        <w:r w:rsidR="00A00BB4" w:rsidRPr="00A00BB4">
          <w:rPr>
            <w:webHidden/>
          </w:rPr>
          <w:instrText xml:space="preserve"> PAGEREF _Toc35458637 \h </w:instrText>
        </w:r>
        <w:r w:rsidRPr="00A00BB4">
          <w:rPr>
            <w:webHidden/>
          </w:rPr>
        </w:r>
        <w:r w:rsidRPr="00A00BB4">
          <w:rPr>
            <w:webHidden/>
          </w:rPr>
          <w:fldChar w:fldCharType="separate"/>
        </w:r>
        <w:r w:rsidR="00372F12">
          <w:rPr>
            <w:webHidden/>
          </w:rPr>
          <w:t>81</w:t>
        </w:r>
        <w:r w:rsidRPr="00A00BB4">
          <w:rPr>
            <w:webHidden/>
          </w:rPr>
          <w:fldChar w:fldCharType="end"/>
        </w:r>
      </w:hyperlink>
    </w:p>
    <w:p w:rsidR="00A00BB4" w:rsidRPr="00A00BB4" w:rsidRDefault="00B26DD1" w:rsidP="00A00BB4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35458638" w:history="1">
        <w:r w:rsidR="00A00BB4" w:rsidRPr="00A00BB4">
          <w:rPr>
            <w:rStyle w:val="af0"/>
          </w:rPr>
          <w:t>МЕЖДУНАРОДНАЯ ИНВЕСТИЦИОННАЯ ПОЗИЦИЯ ДРУГИХ СЕКТОРОВ ЗА 201</w:t>
        </w:r>
        <w:r w:rsidR="00A00BB4" w:rsidRPr="00A00BB4">
          <w:rPr>
            <w:rStyle w:val="af0"/>
            <w:lang w:val="ru-RU"/>
          </w:rPr>
          <w:t>7-2019</w:t>
        </w:r>
        <w:r w:rsidR="00A00BB4" w:rsidRPr="00A00BB4">
          <w:rPr>
            <w:rStyle w:val="af0"/>
          </w:rPr>
          <w:t xml:space="preserve"> Г</w:t>
        </w:r>
        <w:r w:rsidR="00A00BB4" w:rsidRPr="00A00BB4">
          <w:rPr>
            <w:rStyle w:val="af0"/>
            <w:lang w:val="ru-RU"/>
          </w:rPr>
          <w:t>Г.</w:t>
        </w:r>
        <w:r w:rsidR="00A00BB4" w:rsidRPr="00A00BB4">
          <w:rPr>
            <w:webHidden/>
          </w:rPr>
          <w:tab/>
        </w:r>
        <w:r w:rsidRPr="00A00BB4">
          <w:rPr>
            <w:webHidden/>
          </w:rPr>
          <w:fldChar w:fldCharType="begin"/>
        </w:r>
        <w:r w:rsidR="00A00BB4" w:rsidRPr="00A00BB4">
          <w:rPr>
            <w:webHidden/>
          </w:rPr>
          <w:instrText xml:space="preserve"> PAGEREF _Toc35458638 \h </w:instrText>
        </w:r>
        <w:r w:rsidRPr="00A00BB4">
          <w:rPr>
            <w:webHidden/>
          </w:rPr>
        </w:r>
        <w:r w:rsidRPr="00A00BB4">
          <w:rPr>
            <w:webHidden/>
          </w:rPr>
          <w:fldChar w:fldCharType="separate"/>
        </w:r>
        <w:r w:rsidR="00372F12">
          <w:rPr>
            <w:webHidden/>
          </w:rPr>
          <w:t>82</w:t>
        </w:r>
        <w:r w:rsidRPr="00A00BB4">
          <w:rPr>
            <w:webHidden/>
          </w:rPr>
          <w:fldChar w:fldCharType="end"/>
        </w:r>
      </w:hyperlink>
    </w:p>
    <w:p w:rsidR="00A00BB4" w:rsidRPr="00A00BB4" w:rsidRDefault="00B26DD1" w:rsidP="00A00BB4">
      <w:pPr>
        <w:pStyle w:val="11"/>
        <w:rPr>
          <w:rFonts w:asciiTheme="minorHAnsi" w:eastAsiaTheme="minorEastAsia" w:hAnsiTheme="minorHAnsi" w:cstheme="minorBidi"/>
          <w:lang w:val="ru-RU"/>
        </w:rPr>
      </w:pPr>
      <w:hyperlink w:anchor="_Toc35458639" w:history="1">
        <w:r w:rsidR="00A00BB4" w:rsidRPr="00A00BB4">
          <w:rPr>
            <w:rStyle w:val="af0"/>
          </w:rPr>
          <w:t>ИНФОРМАЦИЯ О ПОСТУПЛЕНИЯХ И ПЛАТЕЖАХ ПО ЧАСТНОМУ ВНЕШНЕМУ ДОЛГУ ЗА 2019 ГОД</w:t>
        </w:r>
        <w:r w:rsidR="00A00BB4" w:rsidRPr="00A00BB4">
          <w:rPr>
            <w:webHidden/>
          </w:rPr>
          <w:tab/>
        </w:r>
        <w:r w:rsidRPr="00A00BB4">
          <w:rPr>
            <w:webHidden/>
          </w:rPr>
          <w:fldChar w:fldCharType="begin"/>
        </w:r>
        <w:r w:rsidR="00A00BB4" w:rsidRPr="00A00BB4">
          <w:rPr>
            <w:webHidden/>
          </w:rPr>
          <w:instrText xml:space="preserve"> PAGEREF _Toc35458639 \h </w:instrText>
        </w:r>
        <w:r w:rsidRPr="00A00BB4">
          <w:rPr>
            <w:webHidden/>
          </w:rPr>
        </w:r>
        <w:r w:rsidRPr="00A00BB4">
          <w:rPr>
            <w:webHidden/>
          </w:rPr>
          <w:fldChar w:fldCharType="separate"/>
        </w:r>
        <w:r w:rsidR="00372F12">
          <w:rPr>
            <w:webHidden/>
          </w:rPr>
          <w:t>83</w:t>
        </w:r>
        <w:r w:rsidRPr="00A00BB4">
          <w:rPr>
            <w:webHidden/>
          </w:rPr>
          <w:fldChar w:fldCharType="end"/>
        </w:r>
      </w:hyperlink>
    </w:p>
    <w:p w:rsidR="007F6A3D" w:rsidRDefault="00B26DD1" w:rsidP="00A00BB4">
      <w:pPr>
        <w:pStyle w:val="11"/>
      </w:pPr>
      <w:hyperlink w:anchor="_Toc35458640" w:history="1">
        <w:r w:rsidR="00A00BB4" w:rsidRPr="00A00BB4">
          <w:rPr>
            <w:rStyle w:val="af0"/>
          </w:rPr>
          <w:t>ПРОГНОЗ БУДУЩИХ ПЛАТЕЖЕЙ ПО ОСНОВНОМУ ДОЛГУ И ПРОЦЕНТАМ</w:t>
        </w:r>
        <w:r w:rsidR="00A00BB4" w:rsidRPr="00A00BB4">
          <w:rPr>
            <w:webHidden/>
          </w:rPr>
          <w:tab/>
        </w:r>
        <w:r w:rsidRPr="00A00BB4">
          <w:rPr>
            <w:webHidden/>
          </w:rPr>
          <w:fldChar w:fldCharType="begin"/>
        </w:r>
        <w:r w:rsidR="00A00BB4" w:rsidRPr="00A00BB4">
          <w:rPr>
            <w:webHidden/>
          </w:rPr>
          <w:instrText xml:space="preserve"> PAGEREF _Toc35458640 \h </w:instrText>
        </w:r>
        <w:r w:rsidRPr="00A00BB4">
          <w:rPr>
            <w:webHidden/>
          </w:rPr>
        </w:r>
        <w:r w:rsidRPr="00A00BB4">
          <w:rPr>
            <w:webHidden/>
          </w:rPr>
          <w:fldChar w:fldCharType="separate"/>
        </w:r>
        <w:r w:rsidR="00372F12">
          <w:rPr>
            <w:webHidden/>
          </w:rPr>
          <w:t>84</w:t>
        </w:r>
        <w:r w:rsidRPr="00A00BB4">
          <w:rPr>
            <w:webHidden/>
          </w:rPr>
          <w:fldChar w:fldCharType="end"/>
        </w:r>
      </w:hyperlink>
      <w:r w:rsidRPr="00F8044C">
        <w:rPr>
          <w:highlight w:val="yellow"/>
        </w:rPr>
        <w:fldChar w:fldCharType="end"/>
      </w:r>
      <w:r w:rsidR="003C1C2D" w:rsidRPr="0071074D">
        <w:rPr>
          <w:highlight w:val="yellow"/>
        </w:rPr>
        <w:br w:type="page"/>
      </w:r>
    </w:p>
    <w:p w:rsidR="00961BD0" w:rsidRPr="00373800" w:rsidRDefault="00E112F7" w:rsidP="008D544B">
      <w:pPr>
        <w:pStyle w:val="1"/>
        <w:ind w:left="0"/>
        <w:rPr>
          <w:rFonts w:ascii="Calibri" w:hAnsi="Calibri"/>
          <w:szCs w:val="28"/>
        </w:rPr>
      </w:pPr>
      <w:bookmarkStart w:id="1" w:name="_Toc35458601"/>
      <w:r w:rsidRPr="00373800">
        <w:rPr>
          <w:rFonts w:ascii="Calibri" w:hAnsi="Calibri"/>
          <w:szCs w:val="28"/>
        </w:rPr>
        <w:lastRenderedPageBreak/>
        <w:t>МЕТОДОЛОГИЧЕСКИЙ КОММЕНТАРИЙ</w:t>
      </w:r>
      <w:bookmarkEnd w:id="1"/>
    </w:p>
    <w:p w:rsidR="004A11D4" w:rsidRDefault="004A11D4" w:rsidP="004A11D4"/>
    <w:p w:rsidR="009769F5" w:rsidRPr="001E0A02" w:rsidRDefault="009769F5" w:rsidP="004A11D4"/>
    <w:p w:rsidR="00961BD0" w:rsidRPr="001E0A02" w:rsidRDefault="00961BD0" w:rsidP="00961BD0">
      <w:pPr>
        <w:ind w:right="566" w:firstLine="283"/>
        <w:jc w:val="both"/>
        <w:rPr>
          <w:b/>
        </w:rPr>
        <w:sectPr w:rsidR="00961BD0" w:rsidRPr="001E0A02" w:rsidSect="008D544B">
          <w:footerReference w:type="first" r:id="rId20"/>
          <w:pgSz w:w="11906" w:h="16838"/>
          <w:pgMar w:top="1134" w:right="991" w:bottom="1134" w:left="1134" w:header="708" w:footer="708" w:gutter="0"/>
          <w:cols w:space="708"/>
          <w:titlePg/>
          <w:docGrid w:linePitch="360"/>
        </w:sectPr>
      </w:pPr>
    </w:p>
    <w:p w:rsidR="00961BD0" w:rsidRPr="001E0A02" w:rsidRDefault="00961BD0" w:rsidP="00EA4EF7">
      <w:pPr>
        <w:jc w:val="both"/>
      </w:pPr>
      <w:r w:rsidRPr="001E0A02">
        <w:lastRenderedPageBreak/>
        <w:t>С 2018 года Центральный банк приступил к</w:t>
      </w:r>
      <w:r w:rsidR="00E112F7" w:rsidRPr="001E0A02">
        <w:t> </w:t>
      </w:r>
      <w:r w:rsidRPr="001E0A02">
        <w:t>составлению показателей платёжного баланса, международной инвестиционной позиции и</w:t>
      </w:r>
      <w:r w:rsidR="00E112F7" w:rsidRPr="001E0A02">
        <w:t> </w:t>
      </w:r>
      <w:r w:rsidRPr="001E0A02">
        <w:t xml:space="preserve">внешнего долга в соответствии с </w:t>
      </w:r>
      <w:r w:rsidR="001C36A1" w:rsidRPr="001E0A02">
        <w:t xml:space="preserve">шестым изданием </w:t>
      </w:r>
      <w:r w:rsidRPr="001E0A02">
        <w:t>Руководств</w:t>
      </w:r>
      <w:r w:rsidR="001C36A1" w:rsidRPr="001E0A02">
        <w:t>а</w:t>
      </w:r>
      <w:r w:rsidRPr="001E0A02">
        <w:t xml:space="preserve"> по платёжному балансу и международной инвестиционной позиции (РПБ6, МВФ</w:t>
      </w:r>
      <w:r w:rsidR="001C36A1" w:rsidRPr="001E0A02">
        <w:t>,</w:t>
      </w:r>
      <w:r w:rsidRPr="001E0A02">
        <w:t xml:space="preserve"> 2009).</w:t>
      </w:r>
    </w:p>
    <w:p w:rsidR="00961BD0" w:rsidRPr="001E0A02" w:rsidRDefault="00961BD0" w:rsidP="00AE3BDA">
      <w:pPr>
        <w:spacing w:before="120"/>
        <w:jc w:val="both"/>
      </w:pPr>
      <w:r w:rsidRPr="001E0A02">
        <w:t xml:space="preserve">Целью составления показателей </w:t>
      </w:r>
      <w:r w:rsidR="00FD43BC" w:rsidRPr="001E0A02">
        <w:t xml:space="preserve">статистики внешнего сектора </w:t>
      </w:r>
      <w:r w:rsidRPr="001E0A02">
        <w:t>(платёжного баланса и</w:t>
      </w:r>
      <w:r w:rsidR="00E112F7" w:rsidRPr="001E0A02">
        <w:t> </w:t>
      </w:r>
      <w:r w:rsidRPr="001E0A02">
        <w:t>международной инвестиционной позиции) является обеспечение интегрированной основы для анализа внешнеэкономическ</w:t>
      </w:r>
      <w:r w:rsidR="00AE3BDA" w:rsidRPr="001E0A02">
        <w:t>ой</w:t>
      </w:r>
      <w:r w:rsidRPr="001E0A02">
        <w:t xml:space="preserve"> </w:t>
      </w:r>
      <w:r w:rsidR="00AE3BDA" w:rsidRPr="001E0A02">
        <w:t xml:space="preserve">деятельности </w:t>
      </w:r>
      <w:r w:rsidRPr="001E0A02">
        <w:t xml:space="preserve">страны, в том числе </w:t>
      </w:r>
      <w:r w:rsidR="00AE3BDA" w:rsidRPr="001E0A02">
        <w:t xml:space="preserve">её </w:t>
      </w:r>
      <w:r w:rsidRPr="001E0A02">
        <w:t>показателей, курсовой политики, управления резервами и внешней уязвимости</w:t>
      </w:r>
      <w:r w:rsidR="00AE3BDA" w:rsidRPr="001E0A02">
        <w:t xml:space="preserve"> к </w:t>
      </w:r>
      <w:r w:rsidR="00FD43BC" w:rsidRPr="001E0A02">
        <w:t xml:space="preserve">возможным </w:t>
      </w:r>
      <w:r w:rsidR="00AE3BDA" w:rsidRPr="001E0A02">
        <w:t>рискам</w:t>
      </w:r>
      <w:r w:rsidRPr="001E0A02">
        <w:t>.</w:t>
      </w:r>
    </w:p>
    <w:p w:rsidR="00961BD0" w:rsidRPr="001E0A02" w:rsidRDefault="00961BD0" w:rsidP="00AE3BDA">
      <w:pPr>
        <w:spacing w:before="120"/>
        <w:jc w:val="both"/>
      </w:pPr>
      <w:r w:rsidRPr="001E0A02">
        <w:t>Платёжный баланс, международная инвестиционная позиция и внешний долг Республики Узбекистан представляются пользователям на ежеквартальной основе.</w:t>
      </w:r>
    </w:p>
    <w:p w:rsidR="00961BD0" w:rsidRPr="001E0A02" w:rsidRDefault="00961BD0" w:rsidP="00AE3BDA">
      <w:pPr>
        <w:spacing w:before="120"/>
        <w:jc w:val="both"/>
      </w:pPr>
      <w:r w:rsidRPr="001E0A02">
        <w:t>Пересмотр данных платёжного баланса и</w:t>
      </w:r>
      <w:r w:rsidR="00FD43BC" w:rsidRPr="001E0A02">
        <w:t> </w:t>
      </w:r>
      <w:r w:rsidRPr="001E0A02">
        <w:t xml:space="preserve">международной инвестиционной позиции, </w:t>
      </w:r>
      <w:r w:rsidR="006178CD" w:rsidRPr="001E0A02">
        <w:br/>
      </w:r>
      <w:r w:rsidRPr="001E0A02">
        <w:t>а</w:t>
      </w:r>
      <w:r w:rsidR="00FD43BC" w:rsidRPr="001E0A02">
        <w:t xml:space="preserve"> </w:t>
      </w:r>
      <w:r w:rsidRPr="001E0A02">
        <w:t xml:space="preserve">также внешнего долга </w:t>
      </w:r>
      <w:r w:rsidR="00AE3BDA" w:rsidRPr="001E0A02">
        <w:t xml:space="preserve">может </w:t>
      </w:r>
      <w:r w:rsidRPr="001E0A02">
        <w:t>осуществлят</w:t>
      </w:r>
      <w:r w:rsidR="00775852" w:rsidRPr="001E0A02">
        <w:t>ь</w:t>
      </w:r>
      <w:r w:rsidRPr="001E0A02">
        <w:t xml:space="preserve">ся регулярно </w:t>
      </w:r>
      <w:r w:rsidR="00454B65" w:rsidRPr="001E0A02">
        <w:t>на основании последних доступных данных</w:t>
      </w:r>
      <w:r w:rsidRPr="001E0A02">
        <w:t>.</w:t>
      </w:r>
    </w:p>
    <w:p w:rsidR="00961BD0" w:rsidRPr="001E0A02" w:rsidRDefault="00961BD0" w:rsidP="00AE3BDA">
      <w:pPr>
        <w:spacing w:before="120"/>
        <w:jc w:val="both"/>
      </w:pPr>
      <w:r w:rsidRPr="001E0A02">
        <w:t xml:space="preserve">Настоящий методологический комментарий является производным от </w:t>
      </w:r>
      <w:r w:rsidR="001C36A1" w:rsidRPr="001E0A02">
        <w:t xml:space="preserve">шестого издания </w:t>
      </w:r>
      <w:r w:rsidRPr="001E0A02">
        <w:t>Руководства по платёжному балансу и международной инвестиционной позиции (РПБ6, МВФ</w:t>
      </w:r>
      <w:r w:rsidR="008D1360" w:rsidRPr="001E0A02">
        <w:t>,</w:t>
      </w:r>
      <w:r w:rsidRPr="001E0A02">
        <w:t xml:space="preserve"> 2009) и</w:t>
      </w:r>
      <w:r w:rsidR="00FD43BC" w:rsidRPr="001E0A02">
        <w:t> </w:t>
      </w:r>
      <w:r w:rsidRPr="001E0A02">
        <w:t>предназначен для обле</w:t>
      </w:r>
      <w:r w:rsidR="00775852" w:rsidRPr="001E0A02">
        <w:t>г</w:t>
      </w:r>
      <w:r w:rsidRPr="001E0A02">
        <w:t>чения понимания пользователями основ, принципов и структуры показателей платёжного баланса.</w:t>
      </w:r>
    </w:p>
    <w:p w:rsidR="00961BD0" w:rsidRPr="001E0A02" w:rsidRDefault="00961BD0" w:rsidP="00AE3BDA">
      <w:pPr>
        <w:spacing w:before="120"/>
        <w:rPr>
          <w:b/>
        </w:rPr>
      </w:pPr>
      <w:r w:rsidRPr="001E0A02">
        <w:rPr>
          <w:b/>
        </w:rPr>
        <w:t>1.1 Методологические стандарты платёжного баланса</w:t>
      </w:r>
      <w:r w:rsidR="00AE3BDA" w:rsidRPr="001E0A02">
        <w:rPr>
          <w:b/>
        </w:rPr>
        <w:t>.</w:t>
      </w:r>
    </w:p>
    <w:p w:rsidR="00961BD0" w:rsidRPr="001E0A02" w:rsidRDefault="00961BD0" w:rsidP="00AE3BDA">
      <w:pPr>
        <w:spacing w:before="120"/>
        <w:jc w:val="both"/>
      </w:pPr>
      <w:r w:rsidRPr="001E0A02">
        <w:t xml:space="preserve">Платёжный баланс – систематизированный макроэкономический и статистический отчёт, отражающий в суммарном виде экономические </w:t>
      </w:r>
      <w:r w:rsidRPr="001E0A02">
        <w:rPr>
          <w:u w:val="single"/>
        </w:rPr>
        <w:t>операции между резидентами и нерезидентами за</w:t>
      </w:r>
      <w:r w:rsidR="000D0FE2">
        <w:rPr>
          <w:u w:val="single"/>
        </w:rPr>
        <w:t xml:space="preserve"> </w:t>
      </w:r>
      <w:r w:rsidRPr="001E0A02">
        <w:rPr>
          <w:u w:val="single"/>
        </w:rPr>
        <w:t>определённый период времени</w:t>
      </w:r>
      <w:r w:rsidRPr="001E0A02">
        <w:t xml:space="preserve">. Данные составляются </w:t>
      </w:r>
      <w:r w:rsidR="00A20637" w:rsidRPr="001E0A02">
        <w:t xml:space="preserve">и </w:t>
      </w:r>
      <w:r w:rsidR="00A20637">
        <w:t xml:space="preserve">классифицируются на основе РПБ6 </w:t>
      </w:r>
      <w:r w:rsidRPr="001E0A02">
        <w:t xml:space="preserve">соответствии со стандартными правилами </w:t>
      </w:r>
      <w:r w:rsidRPr="001E0A02">
        <w:lastRenderedPageBreak/>
        <w:t>учёта и определениями.</w:t>
      </w:r>
    </w:p>
    <w:p w:rsidR="00961BD0" w:rsidRPr="001E0A02" w:rsidRDefault="00961BD0" w:rsidP="00AE3BDA">
      <w:pPr>
        <w:spacing w:before="120"/>
        <w:jc w:val="both"/>
        <w:rPr>
          <w:b/>
        </w:rPr>
      </w:pPr>
      <w:r w:rsidRPr="001E0A02">
        <w:rPr>
          <w:b/>
        </w:rPr>
        <w:t>Определения и основные принципы</w:t>
      </w:r>
      <w:r w:rsidR="00AE3BDA" w:rsidRPr="001E0A02">
        <w:rPr>
          <w:b/>
        </w:rPr>
        <w:t>.</w:t>
      </w:r>
    </w:p>
    <w:p w:rsidR="00961BD0" w:rsidRPr="001E0A02" w:rsidRDefault="00961BD0" w:rsidP="00AE3BDA">
      <w:pPr>
        <w:spacing w:before="120"/>
        <w:jc w:val="both"/>
      </w:pPr>
      <w:r w:rsidRPr="001E0A02">
        <w:t>Структурно платёжный баланс состоит из</w:t>
      </w:r>
      <w:r w:rsidR="00E112F7" w:rsidRPr="001E0A02">
        <w:t> </w:t>
      </w:r>
      <w:r w:rsidRPr="001E0A02">
        <w:t>текущего счёта, капитального счёта и</w:t>
      </w:r>
      <w:r w:rsidR="00E112F7" w:rsidRPr="001E0A02">
        <w:t> </w:t>
      </w:r>
      <w:r w:rsidRPr="001E0A02">
        <w:t>финансового счёта</w:t>
      </w:r>
      <w:r w:rsidR="00FD43BC" w:rsidRPr="001E0A02">
        <w:t>.</w:t>
      </w:r>
      <w:r w:rsidRPr="001E0A02">
        <w:t xml:space="preserve"> Текущий счёт охватывает торговый баланс, а также баланс первичных и</w:t>
      </w:r>
      <w:r w:rsidR="00E112F7" w:rsidRPr="001E0A02">
        <w:t> </w:t>
      </w:r>
      <w:r w:rsidRPr="001E0A02">
        <w:t>вторичных доходов. Капитальный счёт отражает прибытие</w:t>
      </w:r>
      <w:r w:rsidR="00E112F7" w:rsidRPr="001E0A02">
        <w:t> </w:t>
      </w:r>
      <w:r w:rsidRPr="001E0A02">
        <w:t>/</w:t>
      </w:r>
      <w:r w:rsidR="00E112F7" w:rsidRPr="001E0A02">
        <w:t> </w:t>
      </w:r>
      <w:r w:rsidRPr="001E0A02">
        <w:t xml:space="preserve">выбытие </w:t>
      </w:r>
      <w:r w:rsidR="00AC0959" w:rsidRPr="001E0A02">
        <w:t>непроизведён</w:t>
      </w:r>
      <w:r w:rsidR="00E11F61">
        <w:t>-</w:t>
      </w:r>
      <w:r w:rsidR="00AC0959" w:rsidRPr="001E0A02">
        <w:t>ных</w:t>
      </w:r>
      <w:r w:rsidRPr="001E0A02">
        <w:t xml:space="preserve"> нефинансовых активов и капитальные трансферты. Финансовый счёт состоит из разделов</w:t>
      </w:r>
      <w:r w:rsidR="008D1360" w:rsidRPr="001E0A02">
        <w:t>:</w:t>
      </w:r>
      <w:r w:rsidRPr="001E0A02">
        <w:t xml:space="preserve"> прямые инвестиции, портфельные инвестиции, финансовые деривативы, другие инвестиции и резервные активы.</w:t>
      </w:r>
    </w:p>
    <w:p w:rsidR="00961BD0" w:rsidRPr="001E0A02" w:rsidRDefault="002F5A26" w:rsidP="00AE3BDA">
      <w:pPr>
        <w:spacing w:before="120"/>
        <w:jc w:val="both"/>
      </w:pPr>
      <w:r w:rsidRPr="001E0A02">
        <w:t xml:space="preserve">Суммарное </w:t>
      </w:r>
      <w:r w:rsidR="00961BD0" w:rsidRPr="001E0A02">
        <w:t xml:space="preserve">сальдо текущего счёта и счёта операций с </w:t>
      </w:r>
      <w:r w:rsidRPr="001E0A02">
        <w:t>капиталом</w:t>
      </w:r>
      <w:r w:rsidR="00961BD0" w:rsidRPr="001E0A02">
        <w:t xml:space="preserve"> </w:t>
      </w:r>
      <w:r w:rsidR="00AE3BDA" w:rsidRPr="001E0A02">
        <w:t>отражает</w:t>
      </w:r>
      <w:r w:rsidR="00961BD0" w:rsidRPr="001E0A02">
        <w:t xml:space="preserve"> чист</w:t>
      </w:r>
      <w:r w:rsidR="00AE3BDA" w:rsidRPr="001E0A02">
        <w:t>ое</w:t>
      </w:r>
      <w:r w:rsidR="00961BD0" w:rsidRPr="001E0A02">
        <w:t xml:space="preserve"> кредитование остального мира</w:t>
      </w:r>
      <w:r w:rsidRPr="001E0A02">
        <w:t xml:space="preserve"> (сальдо платёжного баланса)</w:t>
      </w:r>
      <w:r w:rsidR="00961BD0" w:rsidRPr="001E0A02">
        <w:t xml:space="preserve">. Концептуально оно </w:t>
      </w:r>
      <w:r w:rsidR="00AE3BDA" w:rsidRPr="001E0A02">
        <w:t xml:space="preserve">должно быть </w:t>
      </w:r>
      <w:r w:rsidR="00961BD0" w:rsidRPr="001E0A02">
        <w:t>равно сальдо финансового счёта. Финансовый счёт плюс курсовые, ценовые и</w:t>
      </w:r>
      <w:r w:rsidR="00E112F7" w:rsidRPr="001E0A02">
        <w:t> </w:t>
      </w:r>
      <w:r w:rsidR="00961BD0" w:rsidRPr="001E0A02">
        <w:t>прочие изменения отражают разницу между остатками на начало и на конец периода в</w:t>
      </w:r>
      <w:r w:rsidR="00E112F7" w:rsidRPr="001E0A02">
        <w:t> </w:t>
      </w:r>
      <w:r w:rsidR="00961BD0" w:rsidRPr="001E0A02">
        <w:t>международной инвестиционной позиции.</w:t>
      </w:r>
    </w:p>
    <w:p w:rsidR="00961BD0" w:rsidRPr="001E0A02" w:rsidRDefault="00961BD0" w:rsidP="00AE3BDA">
      <w:pPr>
        <w:spacing w:before="120"/>
        <w:jc w:val="both"/>
      </w:pPr>
      <w:r w:rsidRPr="001E0A02">
        <w:rPr>
          <w:b/>
        </w:rPr>
        <w:t>Экономическая единица</w:t>
      </w:r>
      <w:r w:rsidRPr="001E0A02">
        <w:t xml:space="preserve"> считается резидентом, когда она имеет центр экономических интересов и постоянное место</w:t>
      </w:r>
      <w:r w:rsidR="008D1360" w:rsidRPr="001E0A02">
        <w:t xml:space="preserve"> </w:t>
      </w:r>
      <w:r w:rsidRPr="001E0A02">
        <w:t>расположения на</w:t>
      </w:r>
      <w:r w:rsidR="00E112F7" w:rsidRPr="001E0A02">
        <w:t> </w:t>
      </w:r>
      <w:r w:rsidRPr="001E0A02">
        <w:t xml:space="preserve">экономической территории страны </w:t>
      </w:r>
      <w:r w:rsidR="00AD364F" w:rsidRPr="001E0A02">
        <w:t xml:space="preserve">в течение срока, превышающего </w:t>
      </w:r>
      <w:r w:rsidRPr="001E0A02">
        <w:t>од</w:t>
      </w:r>
      <w:r w:rsidR="00AD364F" w:rsidRPr="001E0A02">
        <w:t>и</w:t>
      </w:r>
      <w:r w:rsidRPr="001E0A02">
        <w:t>н год</w:t>
      </w:r>
      <w:r w:rsidR="00AD364F" w:rsidRPr="001E0A02">
        <w:t>. При этом</w:t>
      </w:r>
      <w:r w:rsidRPr="001E0A02">
        <w:t xml:space="preserve"> </w:t>
      </w:r>
      <w:r w:rsidR="009E0E98" w:rsidRPr="001E0A02">
        <w:t xml:space="preserve">для физических лиц </w:t>
      </w:r>
      <w:r w:rsidR="00861BA2" w:rsidRPr="001E0A02">
        <w:t xml:space="preserve">резидентство </w:t>
      </w:r>
      <w:r w:rsidR="00AD364F" w:rsidRPr="001E0A02">
        <w:t>определяется</w:t>
      </w:r>
      <w:r w:rsidR="00626917" w:rsidRPr="001E0A02">
        <w:t xml:space="preserve"> </w:t>
      </w:r>
      <w:r w:rsidRPr="001E0A02">
        <w:t>вне зависимости от гражданства.</w:t>
      </w:r>
    </w:p>
    <w:p w:rsidR="00961BD0" w:rsidRPr="000D0FE2" w:rsidRDefault="00961BD0" w:rsidP="00AE3BDA">
      <w:pPr>
        <w:spacing w:before="120"/>
        <w:jc w:val="both"/>
      </w:pPr>
      <w:r w:rsidRPr="001E0A02">
        <w:rPr>
          <w:b/>
        </w:rPr>
        <w:t>Экономическая территория</w:t>
      </w:r>
      <w:r w:rsidRPr="001E0A02">
        <w:t xml:space="preserve"> страны состоит из</w:t>
      </w:r>
      <w:r w:rsidR="00E11F61">
        <w:t xml:space="preserve"> </w:t>
      </w:r>
      <w:r w:rsidRPr="001E0A02">
        <w:t>её</w:t>
      </w:r>
      <w:r w:rsidR="00E11F61">
        <w:t xml:space="preserve"> </w:t>
      </w:r>
      <w:r w:rsidRPr="001E0A02">
        <w:t>географической территории</w:t>
      </w:r>
      <w:r w:rsidR="00626917" w:rsidRPr="001E0A02">
        <w:t>,</w:t>
      </w:r>
      <w:r w:rsidRPr="001E0A02">
        <w:t xml:space="preserve"> управляемой правительством, и на которую воздействуют одно и то же законодательство.</w:t>
      </w:r>
    </w:p>
    <w:p w:rsidR="00961BD0" w:rsidRPr="001E0A02" w:rsidRDefault="00961BD0" w:rsidP="00AE3BDA">
      <w:pPr>
        <w:spacing w:before="120"/>
        <w:jc w:val="both"/>
      </w:pPr>
      <w:r w:rsidRPr="001E0A02">
        <w:t>Физическое или юридическое лицо считается</w:t>
      </w:r>
      <w:r w:rsidRPr="001E0A02">
        <w:rPr>
          <w:b/>
        </w:rPr>
        <w:t xml:space="preserve"> имеющим центр преобладающего экономического интереса</w:t>
      </w:r>
      <w:r w:rsidRPr="001E0A02">
        <w:t xml:space="preserve"> в стране, когда имеет какое-либо место расположения – жилище, место производства или другое недвижимое имущество – в пределах экономической территории страны на протяжении длительного либо </w:t>
      </w:r>
      <w:r w:rsidRPr="001E0A02">
        <w:lastRenderedPageBreak/>
        <w:t>неограниченного по</w:t>
      </w:r>
      <w:r w:rsidR="00E112F7" w:rsidRPr="001E0A02">
        <w:t> </w:t>
      </w:r>
      <w:r w:rsidRPr="001E0A02">
        <w:t>сроку времени.</w:t>
      </w:r>
    </w:p>
    <w:p w:rsidR="00961BD0" w:rsidRPr="001E0A02" w:rsidRDefault="00314DD0" w:rsidP="00AE3BDA">
      <w:pPr>
        <w:spacing w:before="120"/>
        <w:jc w:val="both"/>
        <w:rPr>
          <w:b/>
        </w:rPr>
      </w:pPr>
      <w:r w:rsidRPr="001E0A02">
        <w:rPr>
          <w:b/>
        </w:rPr>
        <w:t>Экономические сектора</w:t>
      </w:r>
      <w:r w:rsidR="00961BD0" w:rsidRPr="001E0A02">
        <w:rPr>
          <w:b/>
        </w:rPr>
        <w:t xml:space="preserve"> </w:t>
      </w:r>
    </w:p>
    <w:p w:rsidR="00961BD0" w:rsidRPr="001E0A02" w:rsidRDefault="00961BD0" w:rsidP="00AE3BDA">
      <w:pPr>
        <w:spacing w:before="120"/>
        <w:jc w:val="both"/>
      </w:pPr>
      <w:r w:rsidRPr="001E0A02">
        <w:t>Компоненты финансового счёта платёжного баланса – прямые инвестиции, портфельные инвестиции, финансовые деривативы и другие инвестиции – подр</w:t>
      </w:r>
      <w:r w:rsidR="00314DD0" w:rsidRPr="001E0A02">
        <w:t xml:space="preserve">азделяются </w:t>
      </w:r>
      <w:r w:rsidR="00583728" w:rsidRPr="001E0A02">
        <w:t>на</w:t>
      </w:r>
      <w:r w:rsidR="00314DD0" w:rsidRPr="001E0A02">
        <w:t xml:space="preserve"> сектора</w:t>
      </w:r>
      <w:r w:rsidR="009E0E98" w:rsidRPr="001E0A02">
        <w:t xml:space="preserve"> </w:t>
      </w:r>
      <w:r w:rsidRPr="001E0A02">
        <w:t xml:space="preserve">резидентов, </w:t>
      </w:r>
      <w:r w:rsidR="00AC0959" w:rsidRPr="001E0A02">
        <w:t>вовлечённых</w:t>
      </w:r>
      <w:r w:rsidRPr="001E0A02">
        <w:t xml:space="preserve"> в совершение операции. Выделяются четыре экономических сектора:</w:t>
      </w:r>
    </w:p>
    <w:p w:rsidR="00961BD0" w:rsidRPr="001E0A02" w:rsidRDefault="00961BD0" w:rsidP="00AE3BDA">
      <w:pPr>
        <w:spacing w:before="120"/>
        <w:jc w:val="both"/>
      </w:pPr>
      <w:r w:rsidRPr="001E0A02">
        <w:t>- Центральный банк – Центральный банк Республики Узбекистан;</w:t>
      </w:r>
    </w:p>
    <w:p w:rsidR="00961BD0" w:rsidRPr="001E0A02" w:rsidRDefault="00961BD0" w:rsidP="00AE3BDA">
      <w:pPr>
        <w:spacing w:before="120"/>
        <w:jc w:val="both"/>
      </w:pPr>
      <w:r w:rsidRPr="001E0A02">
        <w:t>- Депозитарные корпорации кроме Центрального банка – коммерческие банки Республики Узбекистан;</w:t>
      </w:r>
    </w:p>
    <w:p w:rsidR="00556122" w:rsidRDefault="00961BD0" w:rsidP="00AE3BDA">
      <w:pPr>
        <w:spacing w:before="120"/>
        <w:jc w:val="both"/>
      </w:pPr>
      <w:r w:rsidRPr="001E0A02">
        <w:t>- Правительство – центральные и местные орга</w:t>
      </w:r>
      <w:r w:rsidR="00556122">
        <w:t>ны государственного управления;</w:t>
      </w:r>
    </w:p>
    <w:p w:rsidR="00961BD0" w:rsidRPr="001E0A02" w:rsidRDefault="00556122" w:rsidP="00AE3BDA">
      <w:pPr>
        <w:spacing w:before="120"/>
        <w:jc w:val="both"/>
      </w:pPr>
      <w:r>
        <w:t>-</w:t>
      </w:r>
      <w:r w:rsidR="00961BD0" w:rsidRPr="001E0A02">
        <w:t>Другие сектора подразделяются на две категории: друг</w:t>
      </w:r>
      <w:r w:rsidR="00626917" w:rsidRPr="001E0A02">
        <w:t>ие финансовые корпорации (микро</w:t>
      </w:r>
      <w:r w:rsidR="00961BD0" w:rsidRPr="001E0A02">
        <w:t>финансовые организации, страховые компании, и др.), а также нефинансовые корпорации, домохозяйства и некоммерческие организации</w:t>
      </w:r>
      <w:r w:rsidR="00626917" w:rsidRPr="001E0A02">
        <w:t>,</w:t>
      </w:r>
      <w:r w:rsidR="00961BD0" w:rsidRPr="001E0A02">
        <w:t xml:space="preserve"> обслуживающие домохозяйства.</w:t>
      </w:r>
    </w:p>
    <w:p w:rsidR="00961BD0" w:rsidRPr="001E0A02" w:rsidRDefault="00961BD0" w:rsidP="00AE3BDA">
      <w:pPr>
        <w:spacing w:before="120"/>
        <w:jc w:val="both"/>
        <w:rPr>
          <w:b/>
        </w:rPr>
      </w:pPr>
      <w:r w:rsidRPr="001E0A02">
        <w:rPr>
          <w:b/>
        </w:rPr>
        <w:t>Типы транзакций</w:t>
      </w:r>
    </w:p>
    <w:p w:rsidR="00861BA2" w:rsidRPr="001E0A02" w:rsidRDefault="00861BA2" w:rsidP="00861BA2">
      <w:pPr>
        <w:spacing w:before="120"/>
        <w:jc w:val="both"/>
      </w:pPr>
      <w:r w:rsidRPr="001E0A02">
        <w:t>- обмены – транзакции, которые</w:t>
      </w:r>
      <w:r w:rsidR="00A20637">
        <w:t xml:space="preserve"> предусматривают передачу одним </w:t>
      </w:r>
      <w:r w:rsidRPr="001E0A02">
        <w:t>участником операции экономических ценностей в обмен на другие экономические ценности, имеющие равную стоимость. Большинство транзакций, отражаемых в платёжном балансе, могут быть охарактеризованы как обмены;</w:t>
      </w:r>
    </w:p>
    <w:p w:rsidR="00961BD0" w:rsidRPr="001E0A02" w:rsidRDefault="00961BD0" w:rsidP="00AE3BDA">
      <w:pPr>
        <w:spacing w:before="120"/>
        <w:jc w:val="both"/>
      </w:pPr>
      <w:r w:rsidRPr="001E0A02">
        <w:t>- трансферты – транзакции</w:t>
      </w:r>
      <w:r w:rsidR="008D1360" w:rsidRPr="001E0A02">
        <w:t>,</w:t>
      </w:r>
      <w:r w:rsidRPr="001E0A02">
        <w:t xml:space="preserve"> при осуществлении которых одна сторона представляет другой стороне экономические ценности безвозмездно;</w:t>
      </w:r>
    </w:p>
    <w:p w:rsidR="00961BD0" w:rsidRPr="001E0A02" w:rsidRDefault="00961BD0" w:rsidP="00AE3BDA">
      <w:pPr>
        <w:spacing w:before="120"/>
        <w:jc w:val="both"/>
      </w:pPr>
      <w:r w:rsidRPr="001E0A02">
        <w:t>- подразумеваемые транзакции –подразумева</w:t>
      </w:r>
      <w:r w:rsidR="007811D8" w:rsidRPr="001E0A02">
        <w:t>емые</w:t>
      </w:r>
      <w:r w:rsidRPr="001E0A02">
        <w:t xml:space="preserve"> и отража</w:t>
      </w:r>
      <w:r w:rsidR="007811D8" w:rsidRPr="001E0A02">
        <w:t xml:space="preserve">емые </w:t>
      </w:r>
      <w:r w:rsidRPr="001E0A02">
        <w:t>в</w:t>
      </w:r>
      <w:r w:rsidR="009E0E98" w:rsidRPr="001E0A02">
        <w:t> </w:t>
      </w:r>
      <w:r w:rsidRPr="001E0A02">
        <w:t>платёжном балансе</w:t>
      </w:r>
      <w:r w:rsidR="007811D8" w:rsidRPr="001E0A02">
        <w:t xml:space="preserve"> транзакции</w:t>
      </w:r>
      <w:r w:rsidRPr="001E0A02">
        <w:t>, когда фактического платежа н</w:t>
      </w:r>
      <w:r w:rsidR="00573796" w:rsidRPr="001E0A02">
        <w:t>е</w:t>
      </w:r>
      <w:r w:rsidRPr="001E0A02">
        <w:t xml:space="preserve"> было произведено</w:t>
      </w:r>
      <w:r w:rsidR="008D1360" w:rsidRPr="001E0A02">
        <w:t>,</w:t>
      </w:r>
      <w:r w:rsidRPr="001E0A02">
        <w:t xml:space="preserve"> т.е. при начислении.</w:t>
      </w:r>
    </w:p>
    <w:p w:rsidR="00961BD0" w:rsidRPr="001E0A02" w:rsidRDefault="00861BA2" w:rsidP="00AE3BDA">
      <w:pPr>
        <w:spacing w:before="120"/>
        <w:jc w:val="both"/>
      </w:pPr>
      <w:r w:rsidRPr="001E0A02">
        <w:t xml:space="preserve">Вышеуказанные транзакции </w:t>
      </w:r>
      <w:r w:rsidR="00961BD0" w:rsidRPr="001E0A02">
        <w:t xml:space="preserve">отражаются </w:t>
      </w:r>
      <w:r w:rsidR="001F0289" w:rsidRPr="001E0A02">
        <w:t>на</w:t>
      </w:r>
      <w:r w:rsidR="00E112F7" w:rsidRPr="001E0A02">
        <w:t> </w:t>
      </w:r>
      <w:r w:rsidR="00961BD0" w:rsidRPr="001E0A02">
        <w:t>счётах платёжного баланса следующим образом:</w:t>
      </w:r>
    </w:p>
    <w:p w:rsidR="00961BD0" w:rsidRPr="001E0A02" w:rsidRDefault="00961BD0" w:rsidP="00AE3BDA">
      <w:pPr>
        <w:spacing w:before="120"/>
        <w:jc w:val="both"/>
      </w:pPr>
      <w:r w:rsidRPr="001E0A02">
        <w:rPr>
          <w:b/>
        </w:rPr>
        <w:lastRenderedPageBreak/>
        <w:t>Товары</w:t>
      </w:r>
      <w:r w:rsidRPr="001E0A02">
        <w:t xml:space="preserve"> составляют все транзакции </w:t>
      </w:r>
      <w:r w:rsidR="00BD7BEF">
        <w:br/>
      </w:r>
      <w:r w:rsidRPr="001E0A02">
        <w:t xml:space="preserve">с товарами, которые пересекают границу страны либо предусматривают переход права собственности между резидентом </w:t>
      </w:r>
      <w:r w:rsidR="00BD7BEF">
        <w:br/>
      </w:r>
      <w:r w:rsidRPr="001E0A02">
        <w:t xml:space="preserve">и нерезидентом (экспорт/импорт товаров по методологии платёжного баланса, товары, </w:t>
      </w:r>
      <w:r w:rsidR="00AC0959" w:rsidRPr="001E0A02">
        <w:t>приобретённые</w:t>
      </w:r>
      <w:r w:rsidRPr="001E0A02">
        <w:t xml:space="preserve"> в портах и немонетарное золото).</w:t>
      </w:r>
    </w:p>
    <w:p w:rsidR="00961BD0" w:rsidRPr="001E0A02" w:rsidRDefault="00961BD0" w:rsidP="00AE3BDA">
      <w:pPr>
        <w:spacing w:before="120"/>
        <w:jc w:val="both"/>
      </w:pPr>
      <w:r w:rsidRPr="001E0A02">
        <w:rPr>
          <w:b/>
        </w:rPr>
        <w:t xml:space="preserve">Услуги </w:t>
      </w:r>
      <w:r w:rsidRPr="001E0A02">
        <w:t>охватывают все виды услуг, оказанных резидентами нерезидентам и нерезидентами резидентам</w:t>
      </w:r>
      <w:r w:rsidR="001F0289" w:rsidRPr="001E0A02">
        <w:t>, и подразделяются на</w:t>
      </w:r>
      <w:r w:rsidR="007F65DE" w:rsidRPr="001E0A02">
        <w:t xml:space="preserve"> следующие статьи</w:t>
      </w:r>
      <w:r w:rsidRPr="001E0A02">
        <w:t>:</w:t>
      </w:r>
    </w:p>
    <w:p w:rsidR="00961BD0" w:rsidRPr="001E0A02" w:rsidRDefault="00961BD0" w:rsidP="00AE3BDA">
      <w:pPr>
        <w:spacing w:before="120"/>
        <w:jc w:val="both"/>
      </w:pPr>
      <w:r w:rsidRPr="001E0A02">
        <w:t>- услуги по обработке материальных ресурсов, принадлежащих другим сторонам;</w:t>
      </w:r>
    </w:p>
    <w:p w:rsidR="00961BD0" w:rsidRPr="001E0A02" w:rsidRDefault="00961BD0" w:rsidP="00AE3BDA">
      <w:pPr>
        <w:spacing w:before="120"/>
        <w:jc w:val="both"/>
      </w:pPr>
      <w:r w:rsidRPr="001E0A02">
        <w:t xml:space="preserve">- услуги по ремонту и техническому облуживанию, не </w:t>
      </w:r>
      <w:r w:rsidR="00AC0959" w:rsidRPr="001E0A02">
        <w:t>отнесённые</w:t>
      </w:r>
      <w:r w:rsidRPr="001E0A02">
        <w:t xml:space="preserve"> к другим категориям;</w:t>
      </w:r>
    </w:p>
    <w:p w:rsidR="00961BD0" w:rsidRPr="001E0A02" w:rsidRDefault="00961BD0" w:rsidP="00AE3BDA">
      <w:pPr>
        <w:spacing w:before="120"/>
        <w:jc w:val="both"/>
      </w:pPr>
      <w:r w:rsidRPr="001E0A02">
        <w:t>- все виды транспортных услуг (пассажирские, грузовые и прочие);</w:t>
      </w:r>
    </w:p>
    <w:p w:rsidR="00961BD0" w:rsidRPr="001E0A02" w:rsidRDefault="00961BD0" w:rsidP="00AE3BDA">
      <w:pPr>
        <w:spacing w:before="120"/>
        <w:jc w:val="both"/>
      </w:pPr>
      <w:r w:rsidRPr="001E0A02">
        <w:t>- поездки (расходы нерезидентов, путешест</w:t>
      </w:r>
      <w:r w:rsidR="00454B65" w:rsidRPr="001E0A02">
        <w:t>-</w:t>
      </w:r>
      <w:r w:rsidRPr="001E0A02">
        <w:t xml:space="preserve">вующих в целях работы и туризма </w:t>
      </w:r>
      <w:r w:rsidR="000D0FE2">
        <w:br/>
      </w:r>
      <w:r w:rsidRPr="001E0A02">
        <w:t>в Узбекистане</w:t>
      </w:r>
      <w:r w:rsidR="00861BA2" w:rsidRPr="001E0A02">
        <w:t>,</w:t>
      </w:r>
      <w:r w:rsidRPr="001E0A02">
        <w:t xml:space="preserve"> и</w:t>
      </w:r>
      <w:r w:rsidR="000D0FE2">
        <w:t xml:space="preserve"> </w:t>
      </w:r>
      <w:r w:rsidRPr="001E0A02">
        <w:t>расходы резидентов, путешествующих в целях работы и туризма за рубежом);</w:t>
      </w:r>
    </w:p>
    <w:p w:rsidR="00961BD0" w:rsidRPr="001E0A02" w:rsidRDefault="00961BD0" w:rsidP="00AE3BDA">
      <w:pPr>
        <w:spacing w:before="120"/>
        <w:jc w:val="both"/>
      </w:pPr>
      <w:r w:rsidRPr="001E0A02">
        <w:t>- услуги финансовых посредников;</w:t>
      </w:r>
    </w:p>
    <w:p w:rsidR="00961BD0" w:rsidRPr="001E0A02" w:rsidRDefault="00961BD0" w:rsidP="00AE3BDA">
      <w:pPr>
        <w:spacing w:before="120"/>
        <w:jc w:val="both"/>
      </w:pPr>
      <w:r w:rsidRPr="001E0A02">
        <w:t xml:space="preserve">- остальные категории услуг (строительство, страхование, компьютерные и </w:t>
      </w:r>
      <w:r w:rsidR="00BD7BEF">
        <w:t>и</w:t>
      </w:r>
      <w:r w:rsidRPr="001E0A02">
        <w:t>нфор</w:t>
      </w:r>
      <w:r w:rsidR="00BD7BEF">
        <w:t>-</w:t>
      </w:r>
      <w:r w:rsidRPr="001E0A02">
        <w:t>мационные услуги, другие деловые услуги, услуги</w:t>
      </w:r>
      <w:r w:rsidR="009E0E98" w:rsidRPr="001E0A02">
        <w:t>, оказанные</w:t>
      </w:r>
      <w:r w:rsidRPr="001E0A02">
        <w:t xml:space="preserve"> частным лицам</w:t>
      </w:r>
      <w:r w:rsidR="008D1360" w:rsidRPr="001E0A02">
        <w:t xml:space="preserve"> в</w:t>
      </w:r>
      <w:r w:rsidRPr="001E0A02">
        <w:t xml:space="preserve"> сфере культуры и отдыха, государственные товары и услуги</w:t>
      </w:r>
      <w:r w:rsidR="00626917" w:rsidRPr="001E0A02">
        <w:t>,</w:t>
      </w:r>
      <w:r w:rsidRPr="001E0A02">
        <w:t xml:space="preserve"> не </w:t>
      </w:r>
      <w:r w:rsidR="00AC0959" w:rsidRPr="001E0A02">
        <w:t>отнесённые</w:t>
      </w:r>
      <w:r w:rsidRPr="001E0A02">
        <w:t xml:space="preserve"> к другим категориям);</w:t>
      </w:r>
    </w:p>
    <w:p w:rsidR="00961BD0" w:rsidRPr="001E0A02" w:rsidRDefault="00961BD0" w:rsidP="00AE3BDA">
      <w:pPr>
        <w:spacing w:before="120"/>
        <w:jc w:val="both"/>
      </w:pPr>
      <w:r w:rsidRPr="001E0A02">
        <w:rPr>
          <w:b/>
        </w:rPr>
        <w:t xml:space="preserve">Первичные доходы </w:t>
      </w:r>
      <w:r w:rsidRPr="001E0A02">
        <w:t>показывают два типа потоков между резидентами и нерезидентами:</w:t>
      </w:r>
    </w:p>
    <w:p w:rsidR="00961BD0" w:rsidRPr="001E0A02" w:rsidRDefault="00961BD0" w:rsidP="00AE3BDA">
      <w:pPr>
        <w:spacing w:before="120"/>
        <w:jc w:val="both"/>
      </w:pPr>
      <w:r w:rsidRPr="001E0A02">
        <w:t xml:space="preserve">- оплата труда в форме </w:t>
      </w:r>
      <w:r w:rsidR="00250B7D" w:rsidRPr="001E0A02">
        <w:t>доходов,</w:t>
      </w:r>
      <w:r w:rsidRPr="001E0A02">
        <w:t xml:space="preserve"> полученны</w:t>
      </w:r>
      <w:r w:rsidR="00573796" w:rsidRPr="001E0A02">
        <w:t>х</w:t>
      </w:r>
      <w:r w:rsidRPr="001E0A02">
        <w:t xml:space="preserve"> в</w:t>
      </w:r>
      <w:r w:rsidR="00E112F7" w:rsidRPr="001E0A02">
        <w:t> </w:t>
      </w:r>
      <w:r w:rsidRPr="001E0A02">
        <w:t>денежной или натуральной форме, выплаченная работодателями работникам, когда участники операций имеют разный статус резидентства. Эти вознаграждения также включают налоги</w:t>
      </w:r>
      <w:r w:rsidR="009E0E98" w:rsidRPr="001E0A02">
        <w:t>,</w:t>
      </w:r>
      <w:r w:rsidRPr="001E0A02">
        <w:t xml:space="preserve"> оплаченные в стране пребывания, которые отражаются </w:t>
      </w:r>
      <w:r w:rsidR="000D0FE2">
        <w:br/>
      </w:r>
      <w:r w:rsidRPr="001E0A02">
        <w:t>в выплаченны</w:t>
      </w:r>
      <w:r w:rsidR="00573796" w:rsidRPr="001E0A02">
        <w:t>х</w:t>
      </w:r>
      <w:r w:rsidRPr="001E0A02">
        <w:t xml:space="preserve"> текущих трансфертах. Расходы работников в стране пребывания отражаются в</w:t>
      </w:r>
      <w:r w:rsidR="007F65DE" w:rsidRPr="001E0A02">
        <w:t xml:space="preserve"> статье «Поездки» раздела «Услуги»</w:t>
      </w:r>
      <w:r w:rsidRPr="001E0A02">
        <w:t>;</w:t>
      </w:r>
    </w:p>
    <w:p w:rsidR="00961BD0" w:rsidRPr="001E0A02" w:rsidRDefault="00961BD0" w:rsidP="00AE3BDA">
      <w:pPr>
        <w:spacing w:before="120"/>
        <w:jc w:val="both"/>
      </w:pPr>
      <w:r w:rsidRPr="001E0A02">
        <w:t xml:space="preserve">- инвестиционные доходы включают доходы, </w:t>
      </w:r>
      <w:r w:rsidRPr="001E0A02">
        <w:lastRenderedPageBreak/>
        <w:t>подлежащие получению по внешним активам резидентов, либо подлежащие выплате по</w:t>
      </w:r>
      <w:r w:rsidR="00E112F7" w:rsidRPr="001E0A02">
        <w:t> </w:t>
      </w:r>
      <w:r w:rsidRPr="001E0A02">
        <w:t>внешним обязательствам резидентов. Инвестиционные доходы состоят из доходов по</w:t>
      </w:r>
      <w:r w:rsidR="00E112F7" w:rsidRPr="001E0A02">
        <w:t> </w:t>
      </w:r>
      <w:r w:rsidRPr="001E0A02">
        <w:t>прямым инвестициям, портфельным инвестициям, другим инвестициям и резервным активам. Инвестиционные доходы подразделяются на дивиденды, реинвестированные доходы, проценты и инвестиционные доходы, подлежащие выплате держателям страховых и пенсионных схем, а также пайщикам инвестиционных фондов.</w:t>
      </w:r>
    </w:p>
    <w:p w:rsidR="00961BD0" w:rsidRPr="001E0A02" w:rsidRDefault="00961BD0" w:rsidP="00AE3BDA">
      <w:pPr>
        <w:spacing w:before="120"/>
        <w:jc w:val="both"/>
      </w:pPr>
      <w:r w:rsidRPr="001E0A02">
        <w:rPr>
          <w:b/>
        </w:rPr>
        <w:t xml:space="preserve">Вторичные доходы </w:t>
      </w:r>
      <w:r w:rsidRPr="001E0A02">
        <w:t>показывают текущие трансферты между резидентами и нерезидентами. Это категория доходов</w:t>
      </w:r>
      <w:r w:rsidR="00626917" w:rsidRPr="00A20637">
        <w:t>,</w:t>
      </w:r>
      <w:r w:rsidRPr="001E0A02">
        <w:t xml:space="preserve"> по которой финансовые либо материальные ресурсы передаются безвозмездно одной экономикой другой экономике. Самым распространённым примером</w:t>
      </w:r>
      <w:r w:rsidR="001F0289" w:rsidRPr="001E0A02">
        <w:t xml:space="preserve"> вторичных доходов</w:t>
      </w:r>
      <w:r w:rsidRPr="001E0A02">
        <w:t xml:space="preserve"> являются гранты, гуманитарное и техническое содействие. Данная группа также включает текущее международное сотрудничество, текущие налоги на доходы, личные трансферты, социальные выплаты и страховые премии</w:t>
      </w:r>
      <w:r w:rsidR="00626917" w:rsidRPr="00A20637">
        <w:t>,</w:t>
      </w:r>
      <w:r w:rsidRPr="001E0A02">
        <w:t xml:space="preserve"> не связанные со страхованием жизни.</w:t>
      </w:r>
    </w:p>
    <w:p w:rsidR="00961BD0" w:rsidRPr="001E0A02" w:rsidRDefault="00961BD0" w:rsidP="00AE3BDA">
      <w:pPr>
        <w:spacing w:before="120"/>
        <w:jc w:val="both"/>
      </w:pPr>
      <w:r w:rsidRPr="001E0A02">
        <w:rPr>
          <w:b/>
        </w:rPr>
        <w:t>Капитальный счёт</w:t>
      </w:r>
      <w:r w:rsidRPr="001E0A02">
        <w:t xml:space="preserve"> показывает капитальные трансферты, подлежащие получению либо выплате между резидентами и нерезидентами, а так</w:t>
      </w:r>
      <w:r w:rsidR="00573796" w:rsidRPr="001E0A02">
        <w:t>же приобретение либо отчуждение</w:t>
      </w:r>
      <w:r w:rsidR="00CD23FE" w:rsidRPr="001E0A02">
        <w:t xml:space="preserve"> </w:t>
      </w:r>
      <w:r w:rsidR="00AC0959" w:rsidRPr="001E0A02">
        <w:t>непроизведённых</w:t>
      </w:r>
      <w:r w:rsidRPr="001E0A02">
        <w:t xml:space="preserve"> нефинансовых активов. Трансферт считается капитальным</w:t>
      </w:r>
      <w:r w:rsidR="007811D8" w:rsidRPr="001E0A02">
        <w:t>,</w:t>
      </w:r>
      <w:r w:rsidRPr="001E0A02">
        <w:t xml:space="preserve"> если он имеет целью приобретение основных фондов либо предусматривает капитальное строительство.</w:t>
      </w:r>
    </w:p>
    <w:p w:rsidR="00961BD0" w:rsidRPr="001E0A02" w:rsidRDefault="00AC0959" w:rsidP="00AE3BDA">
      <w:pPr>
        <w:spacing w:before="120"/>
        <w:jc w:val="both"/>
      </w:pPr>
      <w:r w:rsidRPr="001E0A02">
        <w:t>Непроизведённые</w:t>
      </w:r>
      <w:r w:rsidR="00961BD0" w:rsidRPr="001E0A02">
        <w:t xml:space="preserve"> нефинансовые активы включают нематериальные активы</w:t>
      </w:r>
      <w:r w:rsidR="007811D8" w:rsidRPr="001E0A02">
        <w:t>,</w:t>
      </w:r>
      <w:r w:rsidR="00961BD0" w:rsidRPr="001E0A02">
        <w:t xml:space="preserve"> такие как контракты, лицензии, маркетинговые активы и</w:t>
      </w:r>
      <w:r w:rsidR="00E112F7" w:rsidRPr="001E0A02">
        <w:t> </w:t>
      </w:r>
      <w:r w:rsidR="00961BD0" w:rsidRPr="001E0A02">
        <w:t>натуральные ресурсы (т.е. землю).</w:t>
      </w:r>
    </w:p>
    <w:p w:rsidR="00961BD0" w:rsidRPr="001E0A02" w:rsidRDefault="00961BD0" w:rsidP="00AE3BDA">
      <w:pPr>
        <w:spacing w:before="120"/>
        <w:jc w:val="both"/>
      </w:pPr>
      <w:r w:rsidRPr="001E0A02">
        <w:rPr>
          <w:b/>
        </w:rPr>
        <w:t>Финансовый счёт</w:t>
      </w:r>
      <w:r w:rsidR="00CD23FE" w:rsidRPr="001E0A02">
        <w:rPr>
          <w:b/>
        </w:rPr>
        <w:t xml:space="preserve"> </w:t>
      </w:r>
      <w:r w:rsidRPr="001E0A02">
        <w:t>по активам и обязательствам подразделяется на: прямые инвестиции, портфельные инвестиции, финансовые деривативы, другие инвестиции и резервные активы.</w:t>
      </w:r>
    </w:p>
    <w:p w:rsidR="00583728" w:rsidRPr="001E0A02" w:rsidRDefault="00961BD0" w:rsidP="00AE3BDA">
      <w:pPr>
        <w:spacing w:before="120"/>
        <w:jc w:val="both"/>
      </w:pPr>
      <w:r w:rsidRPr="001E0A02">
        <w:rPr>
          <w:b/>
        </w:rPr>
        <w:t>Прямые инвестиции</w:t>
      </w:r>
      <w:r w:rsidR="007811D8" w:rsidRPr="001E0A02">
        <w:rPr>
          <w:b/>
        </w:rPr>
        <w:t xml:space="preserve"> </w:t>
      </w:r>
      <w:r w:rsidR="007811D8" w:rsidRPr="00A20637">
        <w:t>-</w:t>
      </w:r>
      <w:r w:rsidRPr="001E0A02">
        <w:t xml:space="preserve"> категория международных инвестиций</w:t>
      </w:r>
      <w:r w:rsidR="007811D8" w:rsidRPr="001E0A02">
        <w:t>,</w:t>
      </w:r>
      <w:r w:rsidRPr="001E0A02">
        <w:t xml:space="preserve"> в которой </w:t>
      </w:r>
      <w:r w:rsidRPr="001E0A02">
        <w:lastRenderedPageBreak/>
        <w:t>единица</w:t>
      </w:r>
      <w:r w:rsidR="007811D8" w:rsidRPr="001E0A02">
        <w:t xml:space="preserve"> - </w:t>
      </w:r>
      <w:r w:rsidRPr="001E0A02">
        <w:t>резидент одной экономики (прямой инвестор) приобретает долгосрочный интерес в единице-резиденте другой экономики (предприятие прямого инвестирования). Прям</w:t>
      </w:r>
      <w:r w:rsidR="00146D51" w:rsidRPr="001E0A02">
        <w:t>ым</w:t>
      </w:r>
      <w:r w:rsidRPr="001E0A02">
        <w:t xml:space="preserve"> инвестор</w:t>
      </w:r>
      <w:r w:rsidR="00146D51" w:rsidRPr="001E0A02">
        <w:t>ом</w:t>
      </w:r>
      <w:r w:rsidRPr="001E0A02">
        <w:t xml:space="preserve"> в предприятие является инвестор, который владеет не менее 10% обычных голосующих акций корпорации либо аналогичны</w:t>
      </w:r>
      <w:r w:rsidR="00146D51" w:rsidRPr="001E0A02">
        <w:t>х</w:t>
      </w:r>
      <w:r w:rsidRPr="001E0A02">
        <w:t xml:space="preserve"> прав не инкорпорированного предприятия. Отношение «прямого инвестирования» расширено включением предприятий, в которые средства или материальные ресурсы инвестируются предприятиями, связанными с ними: капит</w:t>
      </w:r>
      <w:r w:rsidR="00573796" w:rsidRPr="001E0A02">
        <w:t>а</w:t>
      </w:r>
      <w:r w:rsidRPr="001E0A02">
        <w:t>льные инвестиции между предприятиями, их филиалами и головными офисами. Прямые инвестиции включают акционерный капитал, реинвестированны</w:t>
      </w:r>
      <w:r w:rsidR="007811D8" w:rsidRPr="001E0A02">
        <w:t>й</w:t>
      </w:r>
      <w:r w:rsidRPr="001E0A02">
        <w:t xml:space="preserve"> доход и прочий доход. </w:t>
      </w:r>
    </w:p>
    <w:p w:rsidR="00961BD0" w:rsidRPr="001E0A02" w:rsidRDefault="00961BD0" w:rsidP="00AE3BDA">
      <w:pPr>
        <w:spacing w:before="120"/>
        <w:jc w:val="both"/>
      </w:pPr>
      <w:r w:rsidRPr="001E0A02">
        <w:rPr>
          <w:b/>
        </w:rPr>
        <w:t>Портфельные инвестиции</w:t>
      </w:r>
      <w:r w:rsidRPr="001E0A02">
        <w:t xml:space="preserve"> имеют форму акций </w:t>
      </w:r>
      <w:r w:rsidRPr="00F1606D">
        <w:t>и</w:t>
      </w:r>
      <w:r w:rsidR="00E112F7" w:rsidRPr="00F1606D">
        <w:t> </w:t>
      </w:r>
      <w:r w:rsidRPr="00F1606D">
        <w:t>паев инвестиционных фондов, а также долговых ценных бумаг.</w:t>
      </w:r>
      <w:r w:rsidR="009D6E6C" w:rsidRPr="00F1606D">
        <w:t xml:space="preserve"> Долговые ценные бумаги, обращающиеся на международных рынках, отражаются в рыночных ценах.</w:t>
      </w:r>
    </w:p>
    <w:p w:rsidR="00961BD0" w:rsidRPr="001E0A02" w:rsidRDefault="00961BD0" w:rsidP="00AE3BDA">
      <w:pPr>
        <w:spacing w:before="120"/>
        <w:jc w:val="both"/>
      </w:pPr>
      <w:r w:rsidRPr="001E0A02">
        <w:rPr>
          <w:b/>
        </w:rPr>
        <w:t>Финансовые деривативы</w:t>
      </w:r>
      <w:r w:rsidR="008D1360" w:rsidRPr="001E0A02">
        <w:rPr>
          <w:b/>
        </w:rPr>
        <w:t xml:space="preserve"> </w:t>
      </w:r>
      <w:r w:rsidR="008D1360" w:rsidRPr="00A20637">
        <w:t>–</w:t>
      </w:r>
      <w:r w:rsidRPr="001E0A02">
        <w:t xml:space="preserve"> это финансовые инструменты, которые привязаны к </w:t>
      </w:r>
      <w:r w:rsidR="00AC0959" w:rsidRPr="001E0A02">
        <w:t>определённым</w:t>
      </w:r>
      <w:r w:rsidRPr="001E0A02">
        <w:t xml:space="preserve"> финансовым инструментам, показателям или сырьевым товарам и через которые специфические финансовые риски могут продаваться и</w:t>
      </w:r>
      <w:r w:rsidR="00E112F7" w:rsidRPr="001E0A02">
        <w:t> </w:t>
      </w:r>
      <w:r w:rsidRPr="001E0A02">
        <w:t>покупаться. Финансовые деривативы включают транзакции по свопам, опционам, гарантиям, депозитам и т.п. и оцениваются на чистой основе.</w:t>
      </w:r>
    </w:p>
    <w:p w:rsidR="00961BD0" w:rsidRPr="001E0A02" w:rsidRDefault="00961BD0" w:rsidP="00AE3BDA">
      <w:pPr>
        <w:spacing w:before="120"/>
        <w:jc w:val="both"/>
      </w:pPr>
      <w:r w:rsidRPr="001E0A02">
        <w:rPr>
          <w:b/>
        </w:rPr>
        <w:t>Другие инвестиции</w:t>
      </w:r>
      <w:r w:rsidRPr="001E0A02">
        <w:t xml:space="preserve"> в первую очередь подразделяются на чистое изменение финансовых активов и чистое изменение обязательств. Другие инвестиции охватывают другие ценные бумаги, валюту и депозиты, займы, страховые и</w:t>
      </w:r>
      <w:r w:rsidR="00E112F7" w:rsidRPr="001E0A02">
        <w:t> </w:t>
      </w:r>
      <w:r w:rsidRPr="001E0A02">
        <w:t>пенсионные схемы, торговые кредиты и авансы, другие счета к получению/выплате.</w:t>
      </w:r>
    </w:p>
    <w:p w:rsidR="00961BD0" w:rsidRPr="001E0A02" w:rsidRDefault="00961BD0" w:rsidP="00AE3BDA">
      <w:pPr>
        <w:spacing w:before="120"/>
        <w:jc w:val="both"/>
      </w:pPr>
      <w:r w:rsidRPr="001E0A02">
        <w:t>Другие ценные бумаги включают инвестиции, которые не являются прямыми инвестициями либо резервными активами. Другие ценные бумаги не</w:t>
      </w:r>
      <w:r w:rsidR="00E112F7" w:rsidRPr="001E0A02">
        <w:t> </w:t>
      </w:r>
      <w:r w:rsidR="00146D51" w:rsidRPr="001E0A02">
        <w:t>имеют</w:t>
      </w:r>
      <w:r w:rsidRPr="001E0A02">
        <w:t xml:space="preserve"> форм</w:t>
      </w:r>
      <w:r w:rsidR="00146D51" w:rsidRPr="001E0A02">
        <w:t>у</w:t>
      </w:r>
      <w:r w:rsidRPr="001E0A02">
        <w:t xml:space="preserve"> ценных бумаг</w:t>
      </w:r>
      <w:r w:rsidR="007811D8" w:rsidRPr="001E0A02">
        <w:t>,</w:t>
      </w:r>
      <w:r w:rsidRPr="001E0A02">
        <w:t xml:space="preserve"> поэтому не</w:t>
      </w:r>
      <w:r w:rsidR="00E112F7" w:rsidRPr="001E0A02">
        <w:t> </w:t>
      </w:r>
      <w:r w:rsidRPr="001E0A02">
        <w:t>включаются в ценные бумаги.</w:t>
      </w:r>
    </w:p>
    <w:p w:rsidR="00961BD0" w:rsidRPr="001E0A02" w:rsidRDefault="00961BD0" w:rsidP="00AE3BDA">
      <w:pPr>
        <w:spacing w:before="120"/>
        <w:jc w:val="both"/>
      </w:pPr>
      <w:r w:rsidRPr="001E0A02">
        <w:t xml:space="preserve">Валюта и депозиты включают все требования </w:t>
      </w:r>
      <w:r w:rsidRPr="001E0A02">
        <w:lastRenderedPageBreak/>
        <w:t>к</w:t>
      </w:r>
      <w:r w:rsidR="00E112F7" w:rsidRPr="001E0A02">
        <w:t> </w:t>
      </w:r>
      <w:r w:rsidRPr="001E0A02">
        <w:t>Центральному банку и коммерческим банкам, в</w:t>
      </w:r>
      <w:r w:rsidR="00E112F7" w:rsidRPr="001E0A02">
        <w:t> </w:t>
      </w:r>
      <w:r w:rsidRPr="001E0A02">
        <w:t>некоторых случаях</w:t>
      </w:r>
      <w:r w:rsidR="007811D8" w:rsidRPr="001E0A02">
        <w:t xml:space="preserve"> </w:t>
      </w:r>
      <w:r w:rsidR="00146D51" w:rsidRPr="001E0A02">
        <w:t>–</w:t>
      </w:r>
      <w:r w:rsidRPr="001E0A02">
        <w:t xml:space="preserve"> </w:t>
      </w:r>
      <w:r w:rsidR="00146D51" w:rsidRPr="001E0A02">
        <w:t xml:space="preserve">к </w:t>
      </w:r>
      <w:r w:rsidRPr="001E0A02">
        <w:t>другим институциональным секторам, в форме наличных банкнот и монет, а</w:t>
      </w:r>
      <w:r w:rsidR="00E112F7" w:rsidRPr="001E0A02">
        <w:t> </w:t>
      </w:r>
      <w:r w:rsidRPr="001E0A02">
        <w:t>также депозитов.</w:t>
      </w:r>
    </w:p>
    <w:p w:rsidR="00961BD0" w:rsidRPr="001E0A02" w:rsidRDefault="00961BD0" w:rsidP="00AE3BDA">
      <w:pPr>
        <w:spacing w:before="120"/>
        <w:jc w:val="both"/>
      </w:pPr>
      <w:r w:rsidRPr="001E0A02">
        <w:t>Страховые, пенсионные программы и программы стандартных гарантий включают (а) страховые технические резервы (кроме страхования жизни)</w:t>
      </w:r>
      <w:r w:rsidR="00C679D3" w:rsidRPr="001E0A02">
        <w:t>;</w:t>
      </w:r>
      <w:r w:rsidRPr="001E0A02">
        <w:t xml:space="preserve"> (б) права на выплаты по страхованию жизни и</w:t>
      </w:r>
      <w:r w:rsidR="00E112F7" w:rsidRPr="001E0A02">
        <w:t> </w:t>
      </w:r>
      <w:r w:rsidRPr="001E0A02">
        <w:t>аннуитетам</w:t>
      </w:r>
      <w:r w:rsidR="00C679D3" w:rsidRPr="001E0A02">
        <w:t>;</w:t>
      </w:r>
      <w:r w:rsidRPr="001E0A02">
        <w:t xml:space="preserve"> (в) права на получение пенсии, (г)</w:t>
      </w:r>
      <w:r w:rsidR="00E112F7" w:rsidRPr="001E0A02">
        <w:t> </w:t>
      </w:r>
      <w:r w:rsidRPr="001E0A02">
        <w:t>требования пенсионных фондов к компаниям, управляющим средствами пенсионных фондов</w:t>
      </w:r>
      <w:r w:rsidR="00C679D3" w:rsidRPr="001E0A02">
        <w:t>;</w:t>
      </w:r>
      <w:r w:rsidRPr="001E0A02">
        <w:t xml:space="preserve"> (д)</w:t>
      </w:r>
      <w:r w:rsidR="00E112F7" w:rsidRPr="001E0A02">
        <w:t> </w:t>
      </w:r>
      <w:r w:rsidRPr="001E0A02">
        <w:t>права на пособия, не связанные с пенсионными программами</w:t>
      </w:r>
      <w:r w:rsidR="00C679D3" w:rsidRPr="001E0A02">
        <w:t>;</w:t>
      </w:r>
      <w:r w:rsidR="00A20637">
        <w:t xml:space="preserve"> (е) </w:t>
      </w:r>
      <w:r w:rsidRPr="001E0A02">
        <w:t>резервы на покрытие требований по стандартным гарантиям.</w:t>
      </w:r>
    </w:p>
    <w:p w:rsidR="00961BD0" w:rsidRPr="001E0A02" w:rsidRDefault="00961BD0" w:rsidP="00AE3BDA">
      <w:pPr>
        <w:spacing w:before="120"/>
        <w:jc w:val="both"/>
      </w:pPr>
      <w:r w:rsidRPr="001E0A02">
        <w:t xml:space="preserve">Торговые кредиты и авансы возникают, когда платёж за товары и услуги не производится в </w:t>
      </w:r>
      <w:r w:rsidR="00720B79" w:rsidRPr="001E0A02">
        <w:t xml:space="preserve">момент </w:t>
      </w:r>
      <w:r w:rsidRPr="001E0A02">
        <w:t>переход</w:t>
      </w:r>
      <w:r w:rsidR="00720B79" w:rsidRPr="001E0A02">
        <w:t>а</w:t>
      </w:r>
      <w:r w:rsidRPr="001E0A02">
        <w:t xml:space="preserve"> права собственности </w:t>
      </w:r>
      <w:r w:rsidR="007811D8" w:rsidRPr="001E0A02">
        <w:t xml:space="preserve">на </w:t>
      </w:r>
      <w:r w:rsidRPr="001E0A02">
        <w:t xml:space="preserve">товар или оказание услуги. Если платёж </w:t>
      </w:r>
      <w:r w:rsidR="00AC0959" w:rsidRPr="001E0A02">
        <w:t>осуществлён</w:t>
      </w:r>
      <w:r w:rsidRPr="001E0A02">
        <w:t xml:space="preserve"> до перехода права собственности</w:t>
      </w:r>
      <w:r w:rsidR="007811D8" w:rsidRPr="001E0A02">
        <w:t>,</w:t>
      </w:r>
      <w:r w:rsidRPr="001E0A02">
        <w:t xml:space="preserve"> имеет место аванс.</w:t>
      </w:r>
    </w:p>
    <w:p w:rsidR="00961BD0" w:rsidRPr="001E0A02" w:rsidRDefault="00961BD0" w:rsidP="00AE3BDA">
      <w:pPr>
        <w:spacing w:before="120"/>
        <w:jc w:val="both"/>
      </w:pPr>
      <w:r w:rsidRPr="001E0A02">
        <w:t>Другие счета к получению/выплате включают счета к получению/выплате</w:t>
      </w:r>
      <w:r w:rsidR="007811D8" w:rsidRPr="001E0A02">
        <w:t>,</w:t>
      </w:r>
      <w:r w:rsidRPr="001E0A02">
        <w:t xml:space="preserve"> кроме </w:t>
      </w:r>
      <w:r w:rsidR="00AC0959" w:rsidRPr="001E0A02">
        <w:t>включённых</w:t>
      </w:r>
      <w:r w:rsidRPr="001E0A02">
        <w:t xml:space="preserve"> в</w:t>
      </w:r>
      <w:r w:rsidR="00E112F7" w:rsidRPr="001E0A02">
        <w:t> </w:t>
      </w:r>
      <w:r w:rsidRPr="001E0A02">
        <w:t>вышеназванные категории.</w:t>
      </w:r>
    </w:p>
    <w:p w:rsidR="00961BD0" w:rsidRPr="001E0A02" w:rsidRDefault="00961BD0" w:rsidP="00AE3BDA">
      <w:pPr>
        <w:spacing w:before="120"/>
        <w:jc w:val="both"/>
      </w:pPr>
      <w:r w:rsidRPr="001E0A02">
        <w:rPr>
          <w:b/>
        </w:rPr>
        <w:t>Специальные права заимствования</w:t>
      </w:r>
      <w:r w:rsidR="00573796" w:rsidRPr="001E0A02">
        <w:rPr>
          <w:b/>
        </w:rPr>
        <w:t xml:space="preserve"> (СПЗ)</w:t>
      </w:r>
      <w:r w:rsidRPr="001E0A02">
        <w:t xml:space="preserve"> являются международными резервными активами, созданными МВФ и выделяемы</w:t>
      </w:r>
      <w:r w:rsidR="001F5E3F" w:rsidRPr="001E0A02">
        <w:t>ми</w:t>
      </w:r>
      <w:r w:rsidRPr="001E0A02">
        <w:t xml:space="preserve"> со стороны МВФ членам для поддержания официальных резервов. СПЗ имеются во владении только монетарных органов членов МВФ и</w:t>
      </w:r>
      <w:r w:rsidR="00E112F7" w:rsidRPr="001E0A02">
        <w:t> </w:t>
      </w:r>
      <w:r w:rsidRPr="001E0A02">
        <w:t xml:space="preserve">ограниченного количества международных финансовых институтов. </w:t>
      </w:r>
    </w:p>
    <w:p w:rsidR="00961BD0" w:rsidRPr="001E0A02" w:rsidRDefault="00961BD0" w:rsidP="00AE3BDA">
      <w:pPr>
        <w:spacing w:before="120"/>
        <w:jc w:val="both"/>
      </w:pPr>
      <w:r w:rsidRPr="001E0A02">
        <w:rPr>
          <w:b/>
        </w:rPr>
        <w:t xml:space="preserve">Резервные активы </w:t>
      </w:r>
      <w:r w:rsidRPr="001E0A02">
        <w:t xml:space="preserve">являются внешними активами, которые находятся во владении </w:t>
      </w:r>
      <w:r w:rsidR="00583728" w:rsidRPr="001E0A02">
        <w:t>Центрального банка</w:t>
      </w:r>
      <w:r w:rsidRPr="001E0A02">
        <w:t xml:space="preserve"> и могут ими использоваться для</w:t>
      </w:r>
      <w:r w:rsidR="00C035F5" w:rsidRPr="001E0A02">
        <w:t xml:space="preserve"> </w:t>
      </w:r>
      <w:r w:rsidRPr="001E0A02">
        <w:t>финансирования платёжного баланса, осуществления интервенций на валютном рынке и</w:t>
      </w:r>
      <w:r w:rsidR="000D0FE2">
        <w:t xml:space="preserve"> </w:t>
      </w:r>
      <w:r w:rsidR="00361639" w:rsidRPr="001E0A02">
        <w:t>в</w:t>
      </w:r>
      <w:r w:rsidR="00573796" w:rsidRPr="001E0A02">
        <w:t xml:space="preserve"> </w:t>
      </w:r>
      <w:r w:rsidRPr="001E0A02">
        <w:t>других связанных целях.</w:t>
      </w:r>
    </w:p>
    <w:p w:rsidR="00961BD0" w:rsidRPr="001E0A02" w:rsidRDefault="00961BD0" w:rsidP="00AE3BDA">
      <w:pPr>
        <w:spacing w:before="120"/>
        <w:jc w:val="both"/>
      </w:pPr>
      <w:r w:rsidRPr="001E0A02">
        <w:t xml:space="preserve">Платёжный баланс составляется на основе </w:t>
      </w:r>
      <w:r w:rsidRPr="001E0A02">
        <w:rPr>
          <w:b/>
        </w:rPr>
        <w:t>системы двойной записи</w:t>
      </w:r>
      <w:r w:rsidRPr="001E0A02">
        <w:t>. Каждая транзакция отражается двумя записями с соразмерными величинами. Одна из записей осуществляется по</w:t>
      </w:r>
      <w:r w:rsidR="00E112F7" w:rsidRPr="001E0A02">
        <w:t> </w:t>
      </w:r>
      <w:r w:rsidRPr="001E0A02">
        <w:t>кредиту, другая по дебету. Например, когда осуществлена экспортная операция</w:t>
      </w:r>
      <w:r w:rsidR="001F5E3F" w:rsidRPr="001E0A02">
        <w:t>,</w:t>
      </w:r>
      <w:r w:rsidRPr="001E0A02">
        <w:t xml:space="preserve"> транзакция в</w:t>
      </w:r>
      <w:r w:rsidR="00E112F7" w:rsidRPr="001E0A02">
        <w:t> </w:t>
      </w:r>
      <w:r w:rsidRPr="001E0A02">
        <w:t xml:space="preserve">платёжном балансе будет </w:t>
      </w:r>
      <w:r w:rsidRPr="001E0A02">
        <w:lastRenderedPageBreak/>
        <w:t>отражена по кредиту в</w:t>
      </w:r>
      <w:r w:rsidR="00E112F7" w:rsidRPr="001E0A02">
        <w:t> </w:t>
      </w:r>
      <w:r w:rsidRPr="001E0A02">
        <w:t>«экспорте» и по дебету в «Активах – валюта и</w:t>
      </w:r>
      <w:r w:rsidR="00E112F7" w:rsidRPr="001E0A02">
        <w:t> </w:t>
      </w:r>
      <w:r w:rsidRPr="001E0A02">
        <w:t>депозиты». Сумма всех кредитовых и дебетовых записей должна быть равна нулю. Однако на</w:t>
      </w:r>
      <w:r w:rsidR="00E112F7" w:rsidRPr="001E0A02">
        <w:t> </w:t>
      </w:r>
      <w:r w:rsidR="00720B79" w:rsidRPr="001E0A02">
        <w:t xml:space="preserve">практике </w:t>
      </w:r>
      <w:r w:rsidRPr="001E0A02">
        <w:t xml:space="preserve">счёта </w:t>
      </w:r>
      <w:r w:rsidR="00720B79" w:rsidRPr="001E0A02">
        <w:t xml:space="preserve">часто </w:t>
      </w:r>
      <w:r w:rsidRPr="001E0A02">
        <w:t xml:space="preserve">не балансируют. Данные для платёжного баланса зачастую получаются </w:t>
      </w:r>
      <w:r w:rsidR="00720B79" w:rsidRPr="001E0A02">
        <w:br/>
      </w:r>
      <w:r w:rsidRPr="001E0A02">
        <w:t>и</w:t>
      </w:r>
      <w:r w:rsidR="001F5E3F" w:rsidRPr="001E0A02">
        <w:t>з</w:t>
      </w:r>
      <w:r w:rsidRPr="001E0A02">
        <w:t xml:space="preserve"> разных источников и</w:t>
      </w:r>
      <w:r w:rsidR="001F5E3F" w:rsidRPr="001E0A02">
        <w:t>,</w:t>
      </w:r>
      <w:r w:rsidRPr="001E0A02">
        <w:t xml:space="preserve"> как результат</w:t>
      </w:r>
      <w:r w:rsidR="001F5E3F" w:rsidRPr="001E0A02">
        <w:t>,</w:t>
      </w:r>
      <w:r w:rsidRPr="001E0A02">
        <w:t xml:space="preserve"> могут возникать расхождения, которые отражаются по строке «чистые ошибки и</w:t>
      </w:r>
      <w:r w:rsidR="00E112F7" w:rsidRPr="001E0A02">
        <w:t> </w:t>
      </w:r>
      <w:r w:rsidRPr="001E0A02">
        <w:t>пропуски».</w:t>
      </w:r>
    </w:p>
    <w:p w:rsidR="00961BD0" w:rsidRPr="001E0A02" w:rsidRDefault="00961BD0" w:rsidP="00AE3BDA">
      <w:pPr>
        <w:spacing w:before="120"/>
        <w:jc w:val="both"/>
      </w:pPr>
      <w:r w:rsidRPr="001E0A02">
        <w:rPr>
          <w:b/>
        </w:rPr>
        <w:t>Кредитовые записи</w:t>
      </w:r>
      <w:r w:rsidRPr="001E0A02">
        <w:t xml:space="preserve"> осуществляются по экспорту, </w:t>
      </w:r>
      <w:r w:rsidR="0004547E" w:rsidRPr="001E0A02">
        <w:t xml:space="preserve">полученным </w:t>
      </w:r>
      <w:r w:rsidRPr="001E0A02">
        <w:t>первичным и вторичным доходам и</w:t>
      </w:r>
      <w:r w:rsidR="00E112F7" w:rsidRPr="001E0A02">
        <w:t> </w:t>
      </w:r>
      <w:r w:rsidRPr="001E0A02">
        <w:t xml:space="preserve">приобретению </w:t>
      </w:r>
      <w:r w:rsidR="00AC0959" w:rsidRPr="001E0A02">
        <w:t>непроизведённых</w:t>
      </w:r>
      <w:r w:rsidRPr="001E0A02">
        <w:t xml:space="preserve"> нефинансовых активов.</w:t>
      </w:r>
    </w:p>
    <w:p w:rsidR="00961BD0" w:rsidRPr="001E0A02" w:rsidRDefault="00961BD0" w:rsidP="00AE3BDA">
      <w:pPr>
        <w:spacing w:before="120"/>
        <w:jc w:val="both"/>
      </w:pPr>
      <w:r w:rsidRPr="001E0A02">
        <w:rPr>
          <w:b/>
        </w:rPr>
        <w:t>Дебетовые записи</w:t>
      </w:r>
      <w:r w:rsidRPr="001E0A02">
        <w:t xml:space="preserve"> осуществляются по импорту, </w:t>
      </w:r>
      <w:r w:rsidR="0004547E" w:rsidRPr="001E0A02">
        <w:t xml:space="preserve">оплаченным </w:t>
      </w:r>
      <w:r w:rsidRPr="001E0A02">
        <w:t>первичным и вторичным доходам и</w:t>
      </w:r>
      <w:r w:rsidR="00E112F7" w:rsidRPr="001E0A02">
        <w:t> </w:t>
      </w:r>
      <w:r w:rsidRPr="001E0A02">
        <w:t xml:space="preserve">отчуждению </w:t>
      </w:r>
      <w:r w:rsidR="00AC0959" w:rsidRPr="001E0A02">
        <w:t>непроизведённых</w:t>
      </w:r>
      <w:r w:rsidRPr="001E0A02">
        <w:t xml:space="preserve"> нефинансовых активов.</w:t>
      </w:r>
    </w:p>
    <w:p w:rsidR="00961BD0" w:rsidRPr="001E0A02" w:rsidRDefault="00961BD0" w:rsidP="00AE3BDA">
      <w:pPr>
        <w:spacing w:before="120"/>
        <w:jc w:val="both"/>
      </w:pPr>
      <w:r w:rsidRPr="001E0A02">
        <w:t xml:space="preserve">Международные счета следуют принципу </w:t>
      </w:r>
      <w:r w:rsidRPr="001E0A02">
        <w:rPr>
          <w:b/>
        </w:rPr>
        <w:t>записи чистых изменений в финансовом счёте</w:t>
      </w:r>
      <w:r w:rsidRPr="001E0A02">
        <w:t>. Принцип чистой записи означает агрегирование или комбинирование, которое показывает чистые изменения (рост минус уменьшение) в</w:t>
      </w:r>
      <w:r w:rsidR="00E112F7" w:rsidRPr="001E0A02">
        <w:t> </w:t>
      </w:r>
      <w:r w:rsidR="00AC0959" w:rsidRPr="001E0A02">
        <w:t>определённом</w:t>
      </w:r>
      <w:r w:rsidRPr="001E0A02">
        <w:t xml:space="preserve"> финансовом активе или обязательстве на одной и той же стороне баланса. Транзакции по финансовым активам и</w:t>
      </w:r>
      <w:r w:rsidR="00E112F7" w:rsidRPr="001E0A02">
        <w:t> </w:t>
      </w:r>
      <w:r w:rsidRPr="001E0A02">
        <w:t>обязательствам показаны под «Чистым приобретением финансовых активов» и «Чистым приобретением обязательств». Чистое приобретение финансовых активов равно разнице между ростом актива и уменьшением того же актива. Записи с позитивным значением означают увеличение, тогда как записи с негативным значением означают уменьшение активов.</w:t>
      </w:r>
      <w:r w:rsidR="0080395E" w:rsidRPr="001E0A02">
        <w:t xml:space="preserve"> Чистое приобретение финансовых обязательств рассчитывается в порядке, аналогичном</w:t>
      </w:r>
      <w:r w:rsidR="00EC48D6" w:rsidRPr="001E0A02">
        <w:t xml:space="preserve"> расчёту активов.</w:t>
      </w:r>
    </w:p>
    <w:p w:rsidR="00961BD0" w:rsidRPr="001E0A02" w:rsidRDefault="00961BD0" w:rsidP="00AE3BDA">
      <w:pPr>
        <w:spacing w:before="120"/>
        <w:jc w:val="both"/>
      </w:pPr>
      <w:r w:rsidRPr="001E0A02">
        <w:rPr>
          <w:b/>
        </w:rPr>
        <w:t>Рыночные цены</w:t>
      </w:r>
      <w:r w:rsidRPr="001E0A02">
        <w:t xml:space="preserve"> являются основой оценки международных счетов. Рыночные цены по транзакциям определяются как </w:t>
      </w:r>
      <w:r w:rsidR="009F57A2" w:rsidRPr="001E0A02">
        <w:t>сумма</w:t>
      </w:r>
      <w:r w:rsidRPr="001E0A02">
        <w:t xml:space="preserve"> средств, котор</w:t>
      </w:r>
      <w:r w:rsidR="009F57A2" w:rsidRPr="001E0A02">
        <w:t>ую</w:t>
      </w:r>
      <w:r w:rsidRPr="001E0A02">
        <w:t xml:space="preserve"> </w:t>
      </w:r>
      <w:r w:rsidR="009F57A2" w:rsidRPr="001E0A02">
        <w:t>покупатель, действующий добровольно, платит за приобретение чего-либо у продавца, действующего добровольно</w:t>
      </w:r>
      <w:r w:rsidRPr="001E0A02">
        <w:t>. Обмены происходят только между независимыми лицами и</w:t>
      </w:r>
      <w:r w:rsidR="00744AEF" w:rsidRPr="001E0A02">
        <w:t> </w:t>
      </w:r>
      <w:r w:rsidRPr="001E0A02">
        <w:t>исключительно на основе коммерческих соображений.</w:t>
      </w:r>
    </w:p>
    <w:p w:rsidR="00961BD0" w:rsidRPr="001E0A02" w:rsidRDefault="00961BD0" w:rsidP="00AE3BDA">
      <w:pPr>
        <w:spacing w:before="120"/>
        <w:jc w:val="both"/>
      </w:pPr>
      <w:r w:rsidRPr="001E0A02">
        <w:rPr>
          <w:b/>
        </w:rPr>
        <w:t>Время записи транзакций</w:t>
      </w:r>
      <w:r w:rsidRPr="001E0A02">
        <w:t xml:space="preserve"> — </w:t>
      </w:r>
      <w:r w:rsidR="0080395E" w:rsidRPr="001E0A02">
        <w:t xml:space="preserve">это реальное </w:t>
      </w:r>
      <w:r w:rsidR="0080395E" w:rsidRPr="001E0A02">
        <w:lastRenderedPageBreak/>
        <w:t>либо оценённое время перехода права собственности</w:t>
      </w:r>
      <w:r w:rsidRPr="001E0A02">
        <w:t>. Это время, когда транзакция была отражена в финансовых отчётах.</w:t>
      </w:r>
    </w:p>
    <w:p w:rsidR="00961BD0" w:rsidRPr="001E0A02" w:rsidRDefault="00961BD0" w:rsidP="00CF4A7F">
      <w:pPr>
        <w:spacing w:before="120"/>
        <w:rPr>
          <w:b/>
        </w:rPr>
      </w:pPr>
      <w:r w:rsidRPr="001E0A02">
        <w:rPr>
          <w:b/>
        </w:rPr>
        <w:t>Стандартное и аналитическое представление платёжного баланса</w:t>
      </w:r>
    </w:p>
    <w:p w:rsidR="00720B79" w:rsidRPr="001E0A02" w:rsidRDefault="00720B79" w:rsidP="00720B79">
      <w:pPr>
        <w:spacing w:before="120"/>
        <w:jc w:val="both"/>
      </w:pPr>
      <w:r w:rsidRPr="001E0A02">
        <w:t>Стандартное представление – группировка показателей платёжного баланса в формате, соответствующем национальным счётам и другой макроэкономической статистике.</w:t>
      </w:r>
    </w:p>
    <w:p w:rsidR="00961BD0" w:rsidRPr="001E0A02" w:rsidRDefault="00961BD0" w:rsidP="00AE3BDA">
      <w:pPr>
        <w:spacing w:before="120"/>
        <w:jc w:val="both"/>
      </w:pPr>
      <w:r w:rsidRPr="001E0A02">
        <w:t xml:space="preserve">Аналитическое представление </w:t>
      </w:r>
      <w:r w:rsidR="0080395E" w:rsidRPr="001E0A02">
        <w:t>–</w:t>
      </w:r>
      <w:r w:rsidRPr="001E0A02">
        <w:t xml:space="preserve"> реорганизаци</w:t>
      </w:r>
      <w:r w:rsidR="0080395E" w:rsidRPr="001E0A02">
        <w:t>я</w:t>
      </w:r>
      <w:r w:rsidRPr="001E0A02">
        <w:t xml:space="preserve"> стандартного представления платёжного баланса для отражения источника финансирования общего сальдо платёжного баланса международными резервами, кредитами международных доноров и прочими исключительными источниками.</w:t>
      </w:r>
    </w:p>
    <w:p w:rsidR="00961BD0" w:rsidRPr="001E0A02" w:rsidRDefault="00961BD0" w:rsidP="00CF4A7F">
      <w:pPr>
        <w:spacing w:before="120"/>
        <w:rPr>
          <w:b/>
          <w:lang w:val="uz-Cyrl-UZ"/>
        </w:rPr>
      </w:pPr>
      <w:r w:rsidRPr="001E0A02">
        <w:rPr>
          <w:b/>
        </w:rPr>
        <w:t xml:space="preserve">1.2. Источники данных </w:t>
      </w:r>
      <w:r w:rsidRPr="001E0A02">
        <w:rPr>
          <w:b/>
          <w:lang w:val="uz-Cyrl-UZ"/>
        </w:rPr>
        <w:t>и пояснения по</w:t>
      </w:r>
      <w:r w:rsidR="00CF4A7F" w:rsidRPr="001E0A02">
        <w:rPr>
          <w:b/>
          <w:lang w:val="uz-Cyrl-UZ"/>
        </w:rPr>
        <w:t> </w:t>
      </w:r>
      <w:r w:rsidRPr="001E0A02">
        <w:rPr>
          <w:b/>
          <w:lang w:val="uz-Cyrl-UZ"/>
        </w:rPr>
        <w:t>составлению компонентов</w:t>
      </w:r>
    </w:p>
    <w:p w:rsidR="00961BD0" w:rsidRPr="001E0A02" w:rsidRDefault="00961BD0" w:rsidP="00AE3BDA">
      <w:pPr>
        <w:spacing w:before="120"/>
        <w:jc w:val="both"/>
      </w:pPr>
      <w:r w:rsidRPr="001E0A02">
        <w:t>Основными источниками информации для составления данных платёжного баланса являются Государственный таможенный комитет, Государственный комитет по статистике, данные предприятий и операторов по соглашениям о</w:t>
      </w:r>
      <w:r w:rsidR="000D0FE2">
        <w:t xml:space="preserve"> </w:t>
      </w:r>
      <w:r w:rsidRPr="001E0A02">
        <w:t>разделе продукции, Комитет охраны государственной границы, Государственный центр персонализации, Центральн</w:t>
      </w:r>
      <w:r w:rsidR="002D09F2" w:rsidRPr="001E0A02">
        <w:t>ый</w:t>
      </w:r>
      <w:r w:rsidRPr="001E0A02">
        <w:t xml:space="preserve"> банк, Министерство финансов, Министерство иностранных дел и другие государственные и</w:t>
      </w:r>
      <w:r w:rsidR="00CF4A7F" w:rsidRPr="001E0A02">
        <w:t> </w:t>
      </w:r>
      <w:r w:rsidRPr="001E0A02">
        <w:t>частные организации.</w:t>
      </w:r>
    </w:p>
    <w:p w:rsidR="00961BD0" w:rsidRPr="001E0A02" w:rsidRDefault="00961BD0" w:rsidP="00AE3BDA">
      <w:pPr>
        <w:spacing w:before="120"/>
        <w:jc w:val="both"/>
      </w:pPr>
      <w:r w:rsidRPr="001E0A02">
        <w:t>Вместе с получаемыми отчётами</w:t>
      </w:r>
      <w:r w:rsidR="00640B14" w:rsidRPr="001E0A02">
        <w:t>,</w:t>
      </w:r>
      <w:r w:rsidRPr="001E0A02">
        <w:t xml:space="preserve"> некоторые изменения вносятся для улучшения качества данных и обеспечения их соответствия методологии.</w:t>
      </w:r>
    </w:p>
    <w:p w:rsidR="00961BD0" w:rsidRPr="001E0A02" w:rsidRDefault="00961BD0" w:rsidP="00AE3BDA">
      <w:pPr>
        <w:spacing w:before="120"/>
        <w:jc w:val="both"/>
        <w:rPr>
          <w:b/>
        </w:rPr>
      </w:pPr>
      <w:r w:rsidRPr="001E0A02">
        <w:rPr>
          <w:b/>
        </w:rPr>
        <w:t>Данные импорта/экспорта товаров</w:t>
      </w:r>
    </w:p>
    <w:p w:rsidR="00961BD0" w:rsidRPr="001E0A02" w:rsidRDefault="00961BD0" w:rsidP="00AE3BDA">
      <w:pPr>
        <w:spacing w:before="120"/>
        <w:jc w:val="both"/>
      </w:pPr>
      <w:r w:rsidRPr="001E0A02">
        <w:t>Данные экспорта и импорта отражаются в ценах ФОБ в платёжном балансе. Данные о ввоз</w:t>
      </w:r>
      <w:r w:rsidR="00E5791E" w:rsidRPr="001E0A02">
        <w:t>е</w:t>
      </w:r>
      <w:r w:rsidRPr="001E0A02">
        <w:t xml:space="preserve"> и</w:t>
      </w:r>
      <w:r w:rsidR="00E112F7" w:rsidRPr="001E0A02">
        <w:t> </w:t>
      </w:r>
      <w:r w:rsidRPr="001E0A02">
        <w:t>вывоз</w:t>
      </w:r>
      <w:r w:rsidR="00E5791E" w:rsidRPr="001E0A02">
        <w:t>е</w:t>
      </w:r>
      <w:r w:rsidRPr="001E0A02">
        <w:t xml:space="preserve"> товаров получаются от Государственного таможенного комитета. Цены СИФ импортируемых товаров корректируются на</w:t>
      </w:r>
      <w:r w:rsidR="00313B90" w:rsidRPr="001E0A02">
        <w:rPr>
          <w:lang w:val="uz-Cyrl-UZ"/>
        </w:rPr>
        <w:t xml:space="preserve"> </w:t>
      </w:r>
      <w:r w:rsidRPr="001E0A02">
        <w:t>основе коэффициентов, рассчитанных по весу</w:t>
      </w:r>
      <w:r w:rsidR="00640B14" w:rsidRPr="001E0A02">
        <w:t>,</w:t>
      </w:r>
      <w:r w:rsidRPr="001E0A02">
        <w:t xml:space="preserve"> с учётом вида транспорта на границе и региона отгрузки товара.</w:t>
      </w:r>
    </w:p>
    <w:p w:rsidR="00961BD0" w:rsidRPr="001E0A02" w:rsidRDefault="00961BD0" w:rsidP="00AE3BDA">
      <w:pPr>
        <w:spacing w:before="120"/>
        <w:jc w:val="both"/>
      </w:pPr>
      <w:r w:rsidRPr="001E0A02">
        <w:t>Официальные данные</w:t>
      </w:r>
      <w:r w:rsidR="00640B14" w:rsidRPr="001E0A02">
        <w:t>,</w:t>
      </w:r>
      <w:r w:rsidRPr="001E0A02">
        <w:t xml:space="preserve"> полученные от</w:t>
      </w:r>
      <w:r w:rsidR="00313B90" w:rsidRPr="001E0A02">
        <w:rPr>
          <w:lang w:val="uz-Cyrl-UZ"/>
        </w:rPr>
        <w:t xml:space="preserve"> </w:t>
      </w:r>
      <w:r w:rsidRPr="001E0A02">
        <w:lastRenderedPageBreak/>
        <w:t>Государственного таможенного комитета</w:t>
      </w:r>
      <w:r w:rsidR="008D1360" w:rsidRPr="001E0A02">
        <w:t>,</w:t>
      </w:r>
      <w:r w:rsidRPr="001E0A02">
        <w:t xml:space="preserve"> дополняются данными об экспорте золота </w:t>
      </w:r>
      <w:r w:rsidR="002D09F2" w:rsidRPr="001E0A02">
        <w:br/>
      </w:r>
      <w:r w:rsidRPr="001E0A02">
        <w:t xml:space="preserve">и корректируются на основании </w:t>
      </w:r>
      <w:r w:rsidR="0004547E" w:rsidRPr="001E0A02">
        <w:t xml:space="preserve">осуществляемых </w:t>
      </w:r>
      <w:r w:rsidR="00640B14" w:rsidRPr="001E0A02">
        <w:t>Центральн</w:t>
      </w:r>
      <w:r w:rsidR="0004547E" w:rsidRPr="001E0A02">
        <w:t>ым</w:t>
      </w:r>
      <w:r w:rsidR="00640B14" w:rsidRPr="001E0A02">
        <w:t xml:space="preserve"> банк</w:t>
      </w:r>
      <w:r w:rsidR="0004547E" w:rsidRPr="001E0A02">
        <w:t>ом оценок</w:t>
      </w:r>
      <w:r w:rsidR="00640B14" w:rsidRPr="001E0A02">
        <w:t xml:space="preserve"> </w:t>
      </w:r>
      <w:r w:rsidRPr="001E0A02">
        <w:t>челночного экспорта и импорта</w:t>
      </w:r>
      <w:r w:rsidR="00640B14" w:rsidRPr="001E0A02">
        <w:t>,</w:t>
      </w:r>
      <w:r w:rsidRPr="001E0A02">
        <w:t xml:space="preserve"> а также дополнительно полученными данными и выявленными статистическими расхождениями зеркальной статистики</w:t>
      </w:r>
      <w:r w:rsidR="002D09F2" w:rsidRPr="001E0A02">
        <w:t xml:space="preserve"> по</w:t>
      </w:r>
      <w:r w:rsidR="00E112F7" w:rsidRPr="001E0A02">
        <w:t> </w:t>
      </w:r>
      <w:r w:rsidR="002D09F2" w:rsidRPr="001E0A02">
        <w:t>основным торговым партнёрам</w:t>
      </w:r>
      <w:r w:rsidRPr="001E0A02">
        <w:t>.</w:t>
      </w:r>
    </w:p>
    <w:p w:rsidR="00961BD0" w:rsidRPr="001E0A02" w:rsidRDefault="00961BD0" w:rsidP="00AE3BDA">
      <w:pPr>
        <w:spacing w:before="120"/>
        <w:jc w:val="both"/>
      </w:pPr>
      <w:r w:rsidRPr="001E0A02">
        <w:t xml:space="preserve">Оценка стоимости товаров, </w:t>
      </w:r>
      <w:r w:rsidR="00AC0959" w:rsidRPr="001E0A02">
        <w:t>ввезённых</w:t>
      </w:r>
      <w:r w:rsidRPr="001E0A02">
        <w:t>/</w:t>
      </w:r>
      <w:r w:rsidR="00250B7D" w:rsidRPr="001E0A02">
        <w:t xml:space="preserve"> </w:t>
      </w:r>
      <w:r w:rsidRPr="001E0A02">
        <w:t xml:space="preserve">вывезенных физическими лицами с целью последующей перепродажи, рассчитывается как произведение количества "челноков" </w:t>
      </w:r>
      <w:r w:rsidR="000D0FE2">
        <w:br/>
      </w:r>
      <w:r w:rsidRPr="001E0A02">
        <w:t xml:space="preserve">на среднюю стоимость импортируемых </w:t>
      </w:r>
      <w:r w:rsidR="000D0FE2">
        <w:br/>
      </w:r>
      <w:r w:rsidRPr="001E0A02">
        <w:t>и экспортируемых ими товаров</w:t>
      </w:r>
      <w:r w:rsidR="0004547E" w:rsidRPr="001E0A02">
        <w:t>,</w:t>
      </w:r>
      <w:r w:rsidRPr="001E0A02">
        <w:t xml:space="preserve"> сформи</w:t>
      </w:r>
      <w:r w:rsidR="00F53694">
        <w:t>-</w:t>
      </w:r>
      <w:r w:rsidRPr="001E0A02">
        <w:t>рованную на основании ежеквартального опроса, проводимого на</w:t>
      </w:r>
      <w:r w:rsidR="00CF4A7F" w:rsidRPr="001E0A02">
        <w:t> </w:t>
      </w:r>
      <w:r w:rsidRPr="001E0A02">
        <w:t>пограничных постах и аэропортах во всех регионах страны.</w:t>
      </w:r>
    </w:p>
    <w:p w:rsidR="00961BD0" w:rsidRPr="001E0A02" w:rsidRDefault="00961BD0" w:rsidP="00AE3BDA">
      <w:pPr>
        <w:spacing w:before="120"/>
        <w:jc w:val="both"/>
        <w:rPr>
          <w:b/>
        </w:rPr>
      </w:pPr>
      <w:r w:rsidRPr="001E0A02">
        <w:rPr>
          <w:b/>
        </w:rPr>
        <w:t>Международные услуги</w:t>
      </w:r>
    </w:p>
    <w:p w:rsidR="00961BD0" w:rsidRPr="001E0A02" w:rsidRDefault="00961BD0" w:rsidP="00AE3BDA">
      <w:pPr>
        <w:spacing w:before="120"/>
        <w:jc w:val="both"/>
      </w:pPr>
      <w:r w:rsidRPr="001E0A02">
        <w:t>Исходные данные</w:t>
      </w:r>
      <w:r w:rsidR="00E5791E" w:rsidRPr="001E0A02">
        <w:t xml:space="preserve"> об</w:t>
      </w:r>
      <w:r w:rsidRPr="001E0A02">
        <w:t xml:space="preserve"> экспорт</w:t>
      </w:r>
      <w:r w:rsidR="00E5791E" w:rsidRPr="001E0A02">
        <w:t>е</w:t>
      </w:r>
      <w:r w:rsidRPr="001E0A02">
        <w:t xml:space="preserve"> и импорт</w:t>
      </w:r>
      <w:r w:rsidR="00E5791E" w:rsidRPr="001E0A02">
        <w:t>е</w:t>
      </w:r>
      <w:r w:rsidRPr="001E0A02">
        <w:t xml:space="preserve"> транспортных услуг получаются от</w:t>
      </w:r>
      <w:r w:rsidR="00CF4A7F" w:rsidRPr="001E0A02">
        <w:t xml:space="preserve"> </w:t>
      </w:r>
      <w:r w:rsidRPr="001E0A02">
        <w:t>Государственного комитета по статистике. По</w:t>
      </w:r>
      <w:r w:rsidR="00CF4A7F" w:rsidRPr="001E0A02">
        <w:t> </w:t>
      </w:r>
      <w:r w:rsidRPr="001E0A02">
        <w:t>наиболее значимым и недостающим компонентам получаются дополнительные данные и</w:t>
      </w:r>
      <w:r w:rsidR="00CF4A7F" w:rsidRPr="001E0A02">
        <w:t> </w:t>
      </w:r>
      <w:r w:rsidRPr="001E0A02">
        <w:t>осуществляются расчёты</w:t>
      </w:r>
      <w:r w:rsidR="005A24AD">
        <w:t>,</w:t>
      </w:r>
      <w:r w:rsidRPr="001E0A02">
        <w:t xml:space="preserve"> </w:t>
      </w:r>
      <w:r w:rsidR="00BD7BEF">
        <w:br/>
      </w:r>
      <w:r w:rsidR="005A24AD">
        <w:t>в</w:t>
      </w:r>
      <w:r w:rsidRPr="001E0A02">
        <w:t xml:space="preserve"> частности:</w:t>
      </w:r>
    </w:p>
    <w:p w:rsidR="00961BD0" w:rsidRPr="001E0A02" w:rsidRDefault="002D09F2" w:rsidP="00AE3BDA">
      <w:pPr>
        <w:spacing w:before="120"/>
        <w:jc w:val="both"/>
        <w:rPr>
          <w:b/>
          <w:i/>
        </w:rPr>
      </w:pPr>
      <w:r w:rsidRPr="001E0A02">
        <w:rPr>
          <w:b/>
          <w:i/>
        </w:rPr>
        <w:t>П</w:t>
      </w:r>
      <w:r w:rsidR="00961BD0" w:rsidRPr="001E0A02">
        <w:rPr>
          <w:b/>
          <w:i/>
        </w:rPr>
        <w:t>о транспортным услугам</w:t>
      </w:r>
    </w:p>
    <w:p w:rsidR="00961BD0" w:rsidRPr="001E0A02" w:rsidRDefault="00961BD0" w:rsidP="00AE3BDA">
      <w:pPr>
        <w:spacing w:before="120"/>
        <w:jc w:val="both"/>
      </w:pPr>
      <w:r w:rsidRPr="001E0A02">
        <w:t>- </w:t>
      </w:r>
      <w:r w:rsidR="00663BAE" w:rsidRPr="001E0A02">
        <w:t>оценива</w:t>
      </w:r>
      <w:r w:rsidR="0080395E" w:rsidRPr="001E0A02">
        <w:t>е</w:t>
      </w:r>
      <w:r w:rsidR="00663BAE" w:rsidRPr="001E0A02">
        <w:t xml:space="preserve">тся </w:t>
      </w:r>
      <w:r w:rsidRPr="001E0A02">
        <w:t>объём импорта услуг воздушного, железнодорожного и автомобильного транспорта. К примеру, импорт воздушного транспорта рассчитывается путём умножения количества лиц, въехавших и выехавших из</w:t>
      </w:r>
      <w:r w:rsidR="00CF4A7F" w:rsidRPr="001E0A02">
        <w:t> </w:t>
      </w:r>
      <w:r w:rsidRPr="001E0A02">
        <w:t>страны воздушным транспортом, за вычетом количества граждан Узбекистана</w:t>
      </w:r>
      <w:r w:rsidR="0004547E" w:rsidRPr="001E0A02">
        <w:t>,</w:t>
      </w:r>
      <w:r w:rsidRPr="001E0A02">
        <w:t xml:space="preserve"> </w:t>
      </w:r>
      <w:r w:rsidR="00AC0959" w:rsidRPr="001E0A02">
        <w:t>перевезённых</w:t>
      </w:r>
      <w:r w:rsidRPr="001E0A02">
        <w:t xml:space="preserve"> национальным авиа</w:t>
      </w:r>
      <w:r w:rsidR="00BD7BEF">
        <w:t>-</w:t>
      </w:r>
      <w:r w:rsidRPr="001E0A02">
        <w:t xml:space="preserve">перевозчиком, на </w:t>
      </w:r>
      <w:r w:rsidR="00AC0959" w:rsidRPr="001E0A02">
        <w:t>усреднённую</w:t>
      </w:r>
      <w:r w:rsidRPr="001E0A02">
        <w:t xml:space="preserve"> стоимость билета в основные страны выезда граждан Узбекистана;</w:t>
      </w:r>
    </w:p>
    <w:p w:rsidR="00961BD0" w:rsidRPr="001E0A02" w:rsidRDefault="00961BD0" w:rsidP="00AE3BDA">
      <w:pPr>
        <w:spacing w:before="120"/>
        <w:jc w:val="both"/>
      </w:pPr>
      <w:r w:rsidRPr="001E0A02">
        <w:t>- информация об объёме экспорт</w:t>
      </w:r>
      <w:r w:rsidR="002D09F2" w:rsidRPr="001E0A02">
        <w:t>а</w:t>
      </w:r>
      <w:r w:rsidRPr="001E0A02">
        <w:t xml:space="preserve"> воздушного транспорта по</w:t>
      </w:r>
      <w:r w:rsidR="0004547E" w:rsidRPr="001E0A02">
        <w:t>л</w:t>
      </w:r>
      <w:r w:rsidRPr="001E0A02">
        <w:t xml:space="preserve">учается от </w:t>
      </w:r>
      <w:r w:rsidR="0094234F">
        <w:t>национального авиаперевозчика</w:t>
      </w:r>
      <w:r w:rsidRPr="001E0A02">
        <w:t>, в том числе по товарам</w:t>
      </w:r>
      <w:r w:rsidR="0004547E" w:rsidRPr="001E0A02">
        <w:t>,</w:t>
      </w:r>
      <w:r w:rsidRPr="001E0A02">
        <w:t xml:space="preserve"> реализованным иностранным судам в аэропортах Узбекистана и</w:t>
      </w:r>
      <w:r w:rsidR="00CF4A7F" w:rsidRPr="001E0A02">
        <w:t> </w:t>
      </w:r>
      <w:r w:rsidRPr="001E0A02">
        <w:t>купленны</w:t>
      </w:r>
      <w:r w:rsidR="0004547E" w:rsidRPr="001E0A02">
        <w:t>м</w:t>
      </w:r>
      <w:r w:rsidRPr="001E0A02">
        <w:t xml:space="preserve"> судами Узбекистана в иностранных аэропортах;</w:t>
      </w:r>
    </w:p>
    <w:p w:rsidR="00961BD0" w:rsidRPr="001E0A02" w:rsidRDefault="00961BD0" w:rsidP="00AE3BDA">
      <w:pPr>
        <w:spacing w:before="120"/>
        <w:jc w:val="both"/>
      </w:pPr>
      <w:r w:rsidRPr="001E0A02">
        <w:lastRenderedPageBreak/>
        <w:t xml:space="preserve">- информация об объёме и стоимости грузов, </w:t>
      </w:r>
      <w:r w:rsidR="00AC0959" w:rsidRPr="001E0A02">
        <w:t>перевезённых</w:t>
      </w:r>
      <w:r w:rsidRPr="001E0A02">
        <w:t xml:space="preserve"> д</w:t>
      </w:r>
      <w:r w:rsidR="0001498B" w:rsidRPr="001E0A02">
        <w:t xml:space="preserve">ля нерезидентов, получается </w:t>
      </w:r>
      <w:r w:rsidR="0001498B" w:rsidRPr="001E0A02">
        <w:br/>
        <w:t xml:space="preserve">от </w:t>
      </w:r>
      <w:r w:rsidRPr="001E0A02">
        <w:t>АК «Узбекистон темир йуллари»;</w:t>
      </w:r>
    </w:p>
    <w:p w:rsidR="00961BD0" w:rsidRPr="001E0A02" w:rsidRDefault="00961BD0" w:rsidP="00AE3BDA">
      <w:pPr>
        <w:spacing w:before="120"/>
        <w:jc w:val="both"/>
      </w:pPr>
      <w:r w:rsidRPr="001E0A02">
        <w:t>- корректировки СИФ-ФОБ добавляются раздельно к сумме импорта по каждому виду транспорта исходя из доли импорта данным видом транспорта в совокупном его объёме.</w:t>
      </w:r>
    </w:p>
    <w:p w:rsidR="00961BD0" w:rsidRPr="001E0A02" w:rsidRDefault="002D09F2" w:rsidP="00AE3BDA">
      <w:pPr>
        <w:spacing w:before="120"/>
        <w:jc w:val="both"/>
        <w:rPr>
          <w:b/>
          <w:i/>
        </w:rPr>
      </w:pPr>
      <w:r w:rsidRPr="001E0A02">
        <w:rPr>
          <w:b/>
          <w:i/>
        </w:rPr>
        <w:t>П</w:t>
      </w:r>
      <w:r w:rsidR="00961BD0" w:rsidRPr="001E0A02">
        <w:rPr>
          <w:b/>
          <w:i/>
        </w:rPr>
        <w:t>о поездкам</w:t>
      </w:r>
    </w:p>
    <w:p w:rsidR="00961BD0" w:rsidRPr="001E0A02" w:rsidRDefault="00961BD0" w:rsidP="00AE3BDA">
      <w:pPr>
        <w:spacing w:before="120"/>
        <w:jc w:val="both"/>
      </w:pPr>
      <w:r w:rsidRPr="001E0A02">
        <w:t>- по дебету и кредиту деловых поездок к данным Госкомстата добавляются расходы краткосрочных работников в период пребывания за рубежом;</w:t>
      </w:r>
    </w:p>
    <w:p w:rsidR="00961BD0" w:rsidRPr="001E0A02" w:rsidRDefault="00961BD0" w:rsidP="00AE3BDA">
      <w:pPr>
        <w:spacing w:before="120"/>
        <w:jc w:val="both"/>
      </w:pPr>
      <w:r w:rsidRPr="001E0A02">
        <w:t xml:space="preserve">- по дебету и кредиту личных поездок (туризм) рассчитывается сумма экспорта и импорта туристических услуг на основании данных пограничной службы и результатов опроса статистики туризма, </w:t>
      </w:r>
      <w:r w:rsidR="0096090C" w:rsidRPr="001E0A02">
        <w:t>проведённого</w:t>
      </w:r>
      <w:r w:rsidRPr="001E0A02">
        <w:t xml:space="preserve"> </w:t>
      </w:r>
      <w:r w:rsidRPr="009D6E6C">
        <w:t>Госкомстатом в</w:t>
      </w:r>
      <w:r w:rsidR="00CF4A7F" w:rsidRPr="009D6E6C">
        <w:t> </w:t>
      </w:r>
      <w:r w:rsidRPr="009D6E6C">
        <w:t>мае 2018 года.</w:t>
      </w:r>
      <w:r w:rsidRPr="001E0A02">
        <w:t xml:space="preserve"> Так как коэффициенты, сформированные по результатам туристического опроса резидентов, также включают сумму транспортных расходов, они вычитываются из</w:t>
      </w:r>
      <w:r w:rsidR="00CF4A7F" w:rsidRPr="001E0A02">
        <w:t> </w:t>
      </w:r>
      <w:r w:rsidRPr="001E0A02">
        <w:t>дебета поездок во избежание двойного учёта.</w:t>
      </w:r>
    </w:p>
    <w:p w:rsidR="00961BD0" w:rsidRPr="001E0A02" w:rsidRDefault="002D09F2" w:rsidP="00AE3BDA">
      <w:pPr>
        <w:spacing w:before="120"/>
        <w:jc w:val="both"/>
        <w:rPr>
          <w:b/>
          <w:i/>
        </w:rPr>
      </w:pPr>
      <w:r w:rsidRPr="001E0A02">
        <w:rPr>
          <w:b/>
          <w:i/>
        </w:rPr>
        <w:t>П</w:t>
      </w:r>
      <w:r w:rsidR="00961BD0" w:rsidRPr="001E0A02">
        <w:rPr>
          <w:b/>
          <w:i/>
        </w:rPr>
        <w:t>о другим услугам</w:t>
      </w:r>
    </w:p>
    <w:p w:rsidR="00961BD0" w:rsidRPr="001E0A02" w:rsidRDefault="00961BD0" w:rsidP="00AE3BDA">
      <w:pPr>
        <w:spacing w:before="120"/>
        <w:jc w:val="both"/>
      </w:pPr>
      <w:r w:rsidRPr="001E0A02">
        <w:t>- для отражения информации о государственных услугах</w:t>
      </w:r>
      <w:r w:rsidR="0004547E" w:rsidRPr="001E0A02">
        <w:t>,</w:t>
      </w:r>
      <w:r w:rsidRPr="001E0A02">
        <w:t xml:space="preserve"> не </w:t>
      </w:r>
      <w:r w:rsidR="0096090C" w:rsidRPr="001E0A02">
        <w:t>отнесённых</w:t>
      </w:r>
      <w:r w:rsidRPr="001E0A02">
        <w:t xml:space="preserve"> к другим категориям</w:t>
      </w:r>
      <w:r w:rsidR="0004547E" w:rsidRPr="001E0A02">
        <w:t>,</w:t>
      </w:r>
      <w:r w:rsidRPr="001E0A02">
        <w:t xml:space="preserve"> используется информация, получаемая от</w:t>
      </w:r>
      <w:r w:rsidR="00CF4A7F" w:rsidRPr="001E0A02">
        <w:t> </w:t>
      </w:r>
      <w:r w:rsidRPr="001E0A02">
        <w:t>Министерства иностранных дел;</w:t>
      </w:r>
    </w:p>
    <w:p w:rsidR="00961BD0" w:rsidRPr="001E0A02" w:rsidRDefault="00961BD0" w:rsidP="00AE3BDA">
      <w:pPr>
        <w:spacing w:before="120"/>
        <w:jc w:val="both"/>
      </w:pPr>
      <w:r w:rsidRPr="001E0A02">
        <w:t>- для отражения страховых услуг данные получаются от страховых компаний и</w:t>
      </w:r>
      <w:r w:rsidR="0004547E" w:rsidRPr="001E0A02">
        <w:t>,</w:t>
      </w:r>
      <w:r w:rsidRPr="001E0A02">
        <w:t xml:space="preserve"> в случае обнаружения расхождений</w:t>
      </w:r>
      <w:r w:rsidR="0004547E" w:rsidRPr="001E0A02">
        <w:t>,</w:t>
      </w:r>
      <w:r w:rsidRPr="001E0A02">
        <w:t xml:space="preserve"> делаются корректировки. Кроме того, отражается стоимость услуги страхования грузов, рассчит</w:t>
      </w:r>
      <w:r w:rsidR="000C5E4E" w:rsidRPr="001E0A02">
        <w:t>анная при СИФ-ФОБ корректировке.</w:t>
      </w:r>
    </w:p>
    <w:p w:rsidR="00564344" w:rsidRDefault="00564344" w:rsidP="00AE3BDA">
      <w:pPr>
        <w:spacing w:before="120"/>
        <w:jc w:val="both"/>
        <w:rPr>
          <w:b/>
        </w:rPr>
      </w:pPr>
    </w:p>
    <w:p w:rsidR="00564344" w:rsidRDefault="00564344" w:rsidP="00AE3BDA">
      <w:pPr>
        <w:spacing w:before="120"/>
        <w:jc w:val="both"/>
        <w:rPr>
          <w:b/>
        </w:rPr>
      </w:pPr>
    </w:p>
    <w:p w:rsidR="00961BD0" w:rsidRPr="001E0A02" w:rsidRDefault="00961BD0" w:rsidP="00AE3BDA">
      <w:pPr>
        <w:spacing w:before="120"/>
        <w:jc w:val="both"/>
        <w:rPr>
          <w:b/>
        </w:rPr>
      </w:pPr>
      <w:r w:rsidRPr="001E0A02">
        <w:rPr>
          <w:b/>
        </w:rPr>
        <w:t>Первичные доходы</w:t>
      </w:r>
    </w:p>
    <w:p w:rsidR="00961BD0" w:rsidRPr="001E0A02" w:rsidRDefault="00961BD0" w:rsidP="00AE3BDA">
      <w:pPr>
        <w:spacing w:before="120"/>
        <w:jc w:val="both"/>
      </w:pPr>
      <w:r w:rsidRPr="001E0A02">
        <w:t>- расчёт первичных доходов осуществляется на</w:t>
      </w:r>
      <w:r w:rsidR="00CF4A7F" w:rsidRPr="001E0A02">
        <w:t> </w:t>
      </w:r>
      <w:r w:rsidRPr="001E0A02">
        <w:t xml:space="preserve">основе данных </w:t>
      </w:r>
      <w:r w:rsidR="0004547E" w:rsidRPr="001E0A02">
        <w:t xml:space="preserve">о </w:t>
      </w:r>
      <w:r w:rsidRPr="001E0A02">
        <w:t>денежных перевод</w:t>
      </w:r>
      <w:r w:rsidR="0004547E" w:rsidRPr="001E0A02">
        <w:t>ах</w:t>
      </w:r>
      <w:r w:rsidRPr="001E0A02">
        <w:t>, формируемых Центральным банком</w:t>
      </w:r>
      <w:r w:rsidR="0004547E" w:rsidRPr="001E0A02">
        <w:t>,</w:t>
      </w:r>
      <w:r w:rsidRPr="001E0A02">
        <w:t xml:space="preserve"> и налично</w:t>
      </w:r>
      <w:r w:rsidR="00315FA2" w:rsidRPr="001E0A02">
        <w:t>м</w:t>
      </w:r>
      <w:r w:rsidRPr="001E0A02">
        <w:t xml:space="preserve"> ввоз</w:t>
      </w:r>
      <w:r w:rsidR="00315FA2" w:rsidRPr="001E0A02">
        <w:t>е</w:t>
      </w:r>
      <w:r w:rsidRPr="001E0A02">
        <w:t xml:space="preserve"> </w:t>
      </w:r>
      <w:r w:rsidR="00511DAB" w:rsidRPr="001E0A02">
        <w:t>иностранных валют,</w:t>
      </w:r>
      <w:r w:rsidRPr="001E0A02">
        <w:t xml:space="preserve"> </w:t>
      </w:r>
      <w:r w:rsidR="00511DAB" w:rsidRPr="001E0A02">
        <w:t>сформированных Государственным</w:t>
      </w:r>
      <w:r w:rsidR="00A20637">
        <w:t xml:space="preserve"> </w:t>
      </w:r>
      <w:r w:rsidRPr="001E0A02">
        <w:t xml:space="preserve">таможенным комитетом </w:t>
      </w:r>
      <w:r w:rsidR="00A20637" w:rsidRPr="00F53694">
        <w:t>до 2</w:t>
      </w:r>
      <w:r w:rsidR="004D0908">
        <w:t>018</w:t>
      </w:r>
      <w:r w:rsidR="00A20637" w:rsidRPr="00F53694">
        <w:t xml:space="preserve"> года</w:t>
      </w:r>
      <w:r w:rsidR="00A20637">
        <w:t xml:space="preserve">. </w:t>
      </w:r>
      <w:r w:rsidRPr="001E0A02">
        <w:lastRenderedPageBreak/>
        <w:t>Данные дополняются оценкой доходов резидентов, работающих в посольствах и</w:t>
      </w:r>
      <w:r w:rsidR="00CF4A7F" w:rsidRPr="001E0A02">
        <w:t> </w:t>
      </w:r>
      <w:r w:rsidRPr="001E0A02">
        <w:t>международных учреждениях на территории Республики Узбекистан.</w:t>
      </w:r>
    </w:p>
    <w:p w:rsidR="00961BD0" w:rsidRPr="001E0A02" w:rsidRDefault="00961BD0" w:rsidP="00AE3BDA">
      <w:pPr>
        <w:spacing w:before="120"/>
        <w:jc w:val="both"/>
      </w:pPr>
      <w:r w:rsidRPr="001E0A02">
        <w:t>Оценка оплаты труда крат</w:t>
      </w:r>
      <w:r w:rsidR="008D1360" w:rsidRPr="001E0A02">
        <w:t>косрочных работников осуществляе</w:t>
      </w:r>
      <w:r w:rsidRPr="001E0A02">
        <w:t>тся в порядке, рекомендованном экспертом МВФ в ходе миссии технического содействия. При этом, для определения остатка краткосрочных работников в расчётах применяются уменьшающие коэффициенты остатка количества граждан Узбекистана</w:t>
      </w:r>
      <w:r w:rsidR="00CB0FED" w:rsidRPr="001E0A02">
        <w:t>,</w:t>
      </w:r>
      <w:r w:rsidRPr="001E0A02">
        <w:t xml:space="preserve"> выехавших с целью работы в текущем и</w:t>
      </w:r>
      <w:r w:rsidR="00CF4A7F" w:rsidRPr="001E0A02">
        <w:t> </w:t>
      </w:r>
      <w:r w:rsidRPr="001E0A02">
        <w:t>предыдущ</w:t>
      </w:r>
      <w:r w:rsidR="008D1360" w:rsidRPr="001E0A02">
        <w:t>их</w:t>
      </w:r>
      <w:r w:rsidRPr="001E0A02">
        <w:t xml:space="preserve"> </w:t>
      </w:r>
      <w:r w:rsidR="0096090C" w:rsidRPr="001E0A02">
        <w:t>трёх</w:t>
      </w:r>
      <w:r w:rsidRPr="001E0A02">
        <w:t xml:space="preserve"> кварталах. </w:t>
      </w:r>
      <w:r w:rsidR="0096090C" w:rsidRPr="001E0A02">
        <w:t>Оценённое</w:t>
      </w:r>
      <w:r w:rsidRPr="001E0A02">
        <w:t xml:space="preserve"> количество краткосрочных работников умножается на </w:t>
      </w:r>
      <w:r w:rsidR="0096090C" w:rsidRPr="001E0A02">
        <w:t>усреднённую</w:t>
      </w:r>
      <w:r w:rsidRPr="001E0A02">
        <w:t xml:space="preserve"> сумму их доходов для определения общей суммы их заработка. С</w:t>
      </w:r>
      <w:r w:rsidR="00CF4A7F" w:rsidRPr="001E0A02">
        <w:t> </w:t>
      </w:r>
      <w:r w:rsidRPr="001E0A02">
        <w:t>применением данного подхода опреде</w:t>
      </w:r>
      <w:r w:rsidR="00F53694">
        <w:t>-</w:t>
      </w:r>
      <w:r w:rsidRPr="001E0A02">
        <w:t>ляются также их расходы на поездки и выплачиваемые в</w:t>
      </w:r>
      <w:r w:rsidR="00CF4A7F" w:rsidRPr="001E0A02">
        <w:t> </w:t>
      </w:r>
      <w:r w:rsidRPr="001E0A02">
        <w:t xml:space="preserve">виде налогов и патентных пошлин обязательные платежи. </w:t>
      </w:r>
    </w:p>
    <w:p w:rsidR="00961BD0" w:rsidRPr="001E0A02" w:rsidRDefault="00961BD0" w:rsidP="00AE3BDA">
      <w:pPr>
        <w:spacing w:before="120"/>
        <w:jc w:val="both"/>
      </w:pPr>
      <w:r w:rsidRPr="001E0A02">
        <w:t>- инвестиционные доходы рассчитываются на</w:t>
      </w:r>
      <w:r w:rsidR="00CF4A7F" w:rsidRPr="001E0A02">
        <w:t> </w:t>
      </w:r>
      <w:r w:rsidRPr="001E0A02">
        <w:t xml:space="preserve">основании </w:t>
      </w:r>
      <w:r w:rsidR="00511DAB" w:rsidRPr="001E0A02">
        <w:t>данных Центрального</w:t>
      </w:r>
      <w:r w:rsidRPr="001E0A02">
        <w:t xml:space="preserve"> банка, коммерческих банков, Министерства финансов и</w:t>
      </w:r>
      <w:r w:rsidR="00CF4A7F" w:rsidRPr="001E0A02">
        <w:t> </w:t>
      </w:r>
      <w:r w:rsidRPr="001E0A02">
        <w:t>предприятий</w:t>
      </w:r>
      <w:r w:rsidR="008D1360" w:rsidRPr="001E0A02">
        <w:t>,</w:t>
      </w:r>
      <w:r w:rsidRPr="001E0A02">
        <w:t xml:space="preserve"> осуществляющих свою деятельность на основании СРП. При этом коммерческие банки представляют данные о</w:t>
      </w:r>
      <w:r w:rsidR="00CF4A7F" w:rsidRPr="001E0A02">
        <w:t> </w:t>
      </w:r>
      <w:r w:rsidRPr="001E0A02">
        <w:t>начисления</w:t>
      </w:r>
      <w:r w:rsidR="00315FA2" w:rsidRPr="001E0A02">
        <w:t>х</w:t>
      </w:r>
      <w:r w:rsidR="00F53694">
        <w:t xml:space="preserve"> по </w:t>
      </w:r>
      <w:r w:rsidRPr="001E0A02">
        <w:t>негарантиро</w:t>
      </w:r>
      <w:r w:rsidR="00F53694">
        <w:t>-</w:t>
      </w:r>
      <w:r w:rsidRPr="001E0A02">
        <w:t>ванному частному долгу, тогда как Министерство финансов представляет данные о начисления</w:t>
      </w:r>
      <w:r w:rsidR="00315FA2" w:rsidRPr="001E0A02">
        <w:t>х</w:t>
      </w:r>
      <w:r w:rsidRPr="001E0A02">
        <w:t xml:space="preserve"> по займам, </w:t>
      </w:r>
      <w:r w:rsidR="0096090C" w:rsidRPr="001E0A02">
        <w:t>привлечённым</w:t>
      </w:r>
      <w:r w:rsidRPr="001E0A02">
        <w:t xml:space="preserve"> правительством или под его гарантию.</w:t>
      </w:r>
    </w:p>
    <w:p w:rsidR="00961BD0" w:rsidRPr="001E0A02" w:rsidRDefault="00961BD0" w:rsidP="00AE3BDA">
      <w:pPr>
        <w:spacing w:before="120"/>
        <w:jc w:val="both"/>
        <w:rPr>
          <w:b/>
        </w:rPr>
      </w:pPr>
      <w:r w:rsidRPr="001E0A02">
        <w:rPr>
          <w:b/>
        </w:rPr>
        <w:t>Вторичные доходы</w:t>
      </w:r>
    </w:p>
    <w:p w:rsidR="00961BD0" w:rsidRPr="001E0A02" w:rsidRDefault="00961BD0" w:rsidP="00AE3BDA">
      <w:pPr>
        <w:spacing w:before="120"/>
        <w:jc w:val="both"/>
      </w:pPr>
      <w:r w:rsidRPr="001E0A02">
        <w:t>- расчёт личных переводов осуществляется на</w:t>
      </w:r>
      <w:r w:rsidR="00CF4A7F" w:rsidRPr="001E0A02">
        <w:t> </w:t>
      </w:r>
      <w:r w:rsidRPr="001E0A02">
        <w:t xml:space="preserve">основе данных </w:t>
      </w:r>
      <w:r w:rsidR="00CB0FED" w:rsidRPr="001E0A02">
        <w:t xml:space="preserve">о </w:t>
      </w:r>
      <w:r w:rsidR="001A5C91" w:rsidRPr="001E0A02">
        <w:t xml:space="preserve">трансграничных </w:t>
      </w:r>
      <w:r w:rsidRPr="001E0A02">
        <w:t>денежных перевод</w:t>
      </w:r>
      <w:r w:rsidR="00CB0FED" w:rsidRPr="001E0A02">
        <w:t>ах</w:t>
      </w:r>
      <w:r w:rsidRPr="001E0A02">
        <w:t>, формируемых Центральным банком</w:t>
      </w:r>
      <w:r w:rsidR="00315FA2" w:rsidRPr="001E0A02">
        <w:t>,</w:t>
      </w:r>
      <w:r w:rsidRPr="001E0A02">
        <w:t xml:space="preserve"> и</w:t>
      </w:r>
      <w:r w:rsidR="00CF4A7F" w:rsidRPr="001E0A02">
        <w:t> </w:t>
      </w:r>
      <w:r w:rsidRPr="001E0A02">
        <w:t>налично</w:t>
      </w:r>
      <w:r w:rsidR="00315FA2" w:rsidRPr="001E0A02">
        <w:t>м</w:t>
      </w:r>
      <w:r w:rsidRPr="001E0A02">
        <w:t xml:space="preserve"> ввоз</w:t>
      </w:r>
      <w:r w:rsidR="00315FA2" w:rsidRPr="001E0A02">
        <w:t>е</w:t>
      </w:r>
      <w:r w:rsidRPr="001E0A02">
        <w:t xml:space="preserve"> иностранных валют</w:t>
      </w:r>
      <w:r w:rsidR="00CB0FED" w:rsidRPr="001E0A02">
        <w:t>,</w:t>
      </w:r>
      <w:r w:rsidRPr="001E0A02">
        <w:t xml:space="preserve"> </w:t>
      </w:r>
      <w:r w:rsidR="00CB0FED" w:rsidRPr="001E0A02">
        <w:t>с</w:t>
      </w:r>
      <w:r w:rsidRPr="001E0A02">
        <w:t>формирова</w:t>
      </w:r>
      <w:r w:rsidR="00CB0FED" w:rsidRPr="001E0A02">
        <w:t>нных</w:t>
      </w:r>
      <w:r w:rsidRPr="001E0A02">
        <w:t xml:space="preserve"> Государствен</w:t>
      </w:r>
      <w:r w:rsidR="004D0908">
        <w:t>ным таможенным комитетом до 2018</w:t>
      </w:r>
      <w:r w:rsidRPr="001E0A02">
        <w:t xml:space="preserve"> года. При этом из общей суммы денежных переводов в страну и наличного ввоза иностранной валюты гражданами Узбекистана вычит</w:t>
      </w:r>
      <w:r w:rsidR="008E453F" w:rsidRPr="001E0A02">
        <w:t>ается</w:t>
      </w:r>
      <w:r w:rsidRPr="001E0A02">
        <w:t xml:space="preserve"> сумма чистого заработка краткосрочных работников и остаток указывается в форме трансферта</w:t>
      </w:r>
      <w:r w:rsidR="008D1360" w:rsidRPr="001E0A02">
        <w:t>;</w:t>
      </w:r>
    </w:p>
    <w:p w:rsidR="00961BD0" w:rsidRPr="001E0A02" w:rsidRDefault="00961BD0" w:rsidP="00AE3BDA">
      <w:pPr>
        <w:spacing w:before="120"/>
        <w:jc w:val="both"/>
      </w:pPr>
      <w:r w:rsidRPr="001E0A02">
        <w:t>- данные о представлени</w:t>
      </w:r>
      <w:r w:rsidR="00E5791E" w:rsidRPr="001E0A02">
        <w:t>и</w:t>
      </w:r>
      <w:r w:rsidRPr="001E0A02">
        <w:t xml:space="preserve"> грантов в денежной форме </w:t>
      </w:r>
      <w:r w:rsidR="00315FA2" w:rsidRPr="001E0A02">
        <w:t xml:space="preserve">получаются от </w:t>
      </w:r>
      <w:r w:rsidRPr="001E0A02">
        <w:lastRenderedPageBreak/>
        <w:t>коммерчески</w:t>
      </w:r>
      <w:r w:rsidR="00315FA2" w:rsidRPr="001E0A02">
        <w:t>х</w:t>
      </w:r>
      <w:r w:rsidRPr="001E0A02">
        <w:t xml:space="preserve"> банк</w:t>
      </w:r>
      <w:r w:rsidR="00315FA2" w:rsidRPr="001E0A02">
        <w:t>ов</w:t>
      </w:r>
      <w:r w:rsidRPr="001E0A02">
        <w:t>, тогда как</w:t>
      </w:r>
      <w:r w:rsidR="00315FA2" w:rsidRPr="001E0A02">
        <w:t xml:space="preserve"> сведения о</w:t>
      </w:r>
      <w:r w:rsidRPr="001E0A02">
        <w:t xml:space="preserve"> гуманитарн</w:t>
      </w:r>
      <w:r w:rsidR="00315FA2" w:rsidRPr="001E0A02">
        <w:t>ой</w:t>
      </w:r>
      <w:r w:rsidRPr="001E0A02">
        <w:t xml:space="preserve"> помощ</w:t>
      </w:r>
      <w:r w:rsidR="00315FA2" w:rsidRPr="001E0A02">
        <w:t>и</w:t>
      </w:r>
      <w:r w:rsidRPr="001E0A02">
        <w:t xml:space="preserve">, </w:t>
      </w:r>
      <w:r w:rsidR="00315FA2" w:rsidRPr="001E0A02">
        <w:t>предоставле</w:t>
      </w:r>
      <w:r w:rsidRPr="001E0A02">
        <w:t>нн</w:t>
      </w:r>
      <w:r w:rsidR="00315FA2" w:rsidRPr="001E0A02">
        <w:t>ой</w:t>
      </w:r>
      <w:r w:rsidRPr="001E0A02">
        <w:t xml:space="preserve"> в</w:t>
      </w:r>
      <w:r w:rsidR="00CF4A7F" w:rsidRPr="001E0A02">
        <w:t> </w:t>
      </w:r>
      <w:r w:rsidRPr="001E0A02">
        <w:t>виде товаров, получа</w:t>
      </w:r>
      <w:r w:rsidR="00315FA2" w:rsidRPr="001E0A02">
        <w:t>ю</w:t>
      </w:r>
      <w:r w:rsidRPr="001E0A02">
        <w:t xml:space="preserve">тся из базы данных </w:t>
      </w:r>
      <w:r w:rsidR="002D09F2" w:rsidRPr="001E0A02">
        <w:t>Государственного таможенного комитета</w:t>
      </w:r>
      <w:r w:rsidRPr="001E0A02">
        <w:t>;</w:t>
      </w:r>
    </w:p>
    <w:p w:rsidR="00961BD0" w:rsidRPr="001E0A02" w:rsidRDefault="00961BD0" w:rsidP="00AE3BDA">
      <w:pPr>
        <w:spacing w:before="120"/>
        <w:jc w:val="both"/>
      </w:pPr>
      <w:r w:rsidRPr="001E0A02">
        <w:t xml:space="preserve">- Министерство финансов </w:t>
      </w:r>
      <w:r w:rsidR="002C291F" w:rsidRPr="001E0A02">
        <w:t xml:space="preserve">Республики Узбекистан </w:t>
      </w:r>
      <w:r w:rsidRPr="001E0A02">
        <w:t xml:space="preserve">представляет информацию </w:t>
      </w:r>
      <w:r w:rsidR="002C291F">
        <w:br/>
      </w:r>
      <w:r w:rsidRPr="001E0A02">
        <w:t xml:space="preserve">о взносах Республики Узбекистан </w:t>
      </w:r>
      <w:r w:rsidR="002C291F">
        <w:br/>
      </w:r>
      <w:r w:rsidRPr="001E0A02">
        <w:t>в</w:t>
      </w:r>
      <w:r w:rsidR="002C291F">
        <w:t xml:space="preserve"> </w:t>
      </w:r>
      <w:r w:rsidRPr="001E0A02">
        <w:t>международные организации.</w:t>
      </w:r>
    </w:p>
    <w:p w:rsidR="00961BD0" w:rsidRPr="001E0A02" w:rsidRDefault="00961BD0" w:rsidP="00AE3BDA">
      <w:pPr>
        <w:spacing w:before="120"/>
        <w:jc w:val="both"/>
        <w:rPr>
          <w:b/>
        </w:rPr>
      </w:pPr>
      <w:r w:rsidRPr="001E0A02">
        <w:rPr>
          <w:b/>
        </w:rPr>
        <w:t>Капитальный счёт</w:t>
      </w:r>
    </w:p>
    <w:p w:rsidR="00961BD0" w:rsidRPr="001E0A02" w:rsidRDefault="001B62A8" w:rsidP="00AE3BDA">
      <w:pPr>
        <w:spacing w:before="120"/>
        <w:jc w:val="both"/>
      </w:pPr>
      <w:r w:rsidRPr="001E0A02">
        <w:t>- к</w:t>
      </w:r>
      <w:r w:rsidR="00961BD0" w:rsidRPr="001E0A02">
        <w:t>апитальные трансферты формируются на</w:t>
      </w:r>
      <w:r w:rsidR="00CF4A7F" w:rsidRPr="001E0A02">
        <w:t> </w:t>
      </w:r>
      <w:r w:rsidR="00961BD0" w:rsidRPr="001E0A02">
        <w:t>основании данных</w:t>
      </w:r>
      <w:r w:rsidR="00CB0FED" w:rsidRPr="001E0A02">
        <w:t>,</w:t>
      </w:r>
      <w:r w:rsidR="00961BD0" w:rsidRPr="001E0A02">
        <w:t xml:space="preserve"> получаемых от коммерческих банков и других источников информации.</w:t>
      </w:r>
    </w:p>
    <w:p w:rsidR="00961BD0" w:rsidRPr="001E0A02" w:rsidRDefault="00961BD0" w:rsidP="00AE3BDA">
      <w:pPr>
        <w:spacing w:before="120"/>
        <w:jc w:val="both"/>
        <w:rPr>
          <w:b/>
        </w:rPr>
      </w:pPr>
      <w:r w:rsidRPr="001E0A02">
        <w:rPr>
          <w:b/>
        </w:rPr>
        <w:t>Финансовый счёт</w:t>
      </w:r>
    </w:p>
    <w:p w:rsidR="00961BD0" w:rsidRPr="001E0A02" w:rsidRDefault="00961BD0" w:rsidP="00AE3BDA">
      <w:pPr>
        <w:spacing w:before="120"/>
        <w:jc w:val="both"/>
        <w:rPr>
          <w:i/>
        </w:rPr>
      </w:pPr>
      <w:r w:rsidRPr="001E0A02">
        <w:rPr>
          <w:i/>
        </w:rPr>
        <w:t>Прямые инвестиции</w:t>
      </w:r>
    </w:p>
    <w:p w:rsidR="00961BD0" w:rsidRPr="001E0A02" w:rsidRDefault="001B62A8" w:rsidP="00AE3BDA">
      <w:pPr>
        <w:spacing w:before="120"/>
        <w:jc w:val="both"/>
      </w:pPr>
      <w:r w:rsidRPr="001E0A02">
        <w:t>- д</w:t>
      </w:r>
      <w:r w:rsidR="00961BD0" w:rsidRPr="001E0A02">
        <w:t>анные о прямы</w:t>
      </w:r>
      <w:r w:rsidR="00E5791E" w:rsidRPr="001E0A02">
        <w:t>х</w:t>
      </w:r>
      <w:r w:rsidR="00961BD0" w:rsidRPr="001E0A02">
        <w:t xml:space="preserve"> инвестиция</w:t>
      </w:r>
      <w:r w:rsidR="00E5791E" w:rsidRPr="001E0A02">
        <w:t>х</w:t>
      </w:r>
      <w:r w:rsidR="00961BD0" w:rsidRPr="001E0A02">
        <w:t xml:space="preserve"> </w:t>
      </w:r>
      <w:r w:rsidR="001A5C91" w:rsidRPr="001E0A02">
        <w:t>формируются</w:t>
      </w:r>
      <w:r w:rsidR="00961BD0" w:rsidRPr="001E0A02">
        <w:t xml:space="preserve"> на основании опроса, проводимого Государственным комитетом по статистике на основе </w:t>
      </w:r>
      <w:r w:rsidR="00315FA2" w:rsidRPr="001E0A02">
        <w:t xml:space="preserve">форм отчётностей, </w:t>
      </w:r>
      <w:r w:rsidR="00961BD0" w:rsidRPr="001E0A02">
        <w:t xml:space="preserve">рекомендованных </w:t>
      </w:r>
      <w:r w:rsidR="001A5C91" w:rsidRPr="001E0A02">
        <w:t>Международным валютным фондом</w:t>
      </w:r>
      <w:r w:rsidR="00961BD0" w:rsidRPr="001E0A02">
        <w:t>. Вместе с</w:t>
      </w:r>
      <w:r w:rsidR="00CF4A7F" w:rsidRPr="001E0A02">
        <w:t> </w:t>
      </w:r>
      <w:r w:rsidR="00961BD0" w:rsidRPr="001E0A02">
        <w:t>тем, предприятиями, осуществляющими деятельность на основании СРП</w:t>
      </w:r>
      <w:r w:rsidR="00CB0FED" w:rsidRPr="001E0A02">
        <w:t>,</w:t>
      </w:r>
      <w:r w:rsidR="00961BD0" w:rsidRPr="001E0A02">
        <w:t xml:space="preserve"> представляются данные о вносимы</w:t>
      </w:r>
      <w:r w:rsidR="00E5791E" w:rsidRPr="001E0A02">
        <w:t>х</w:t>
      </w:r>
      <w:r w:rsidR="00961BD0" w:rsidRPr="001E0A02">
        <w:t xml:space="preserve"> инвестиция</w:t>
      </w:r>
      <w:r w:rsidR="00E5791E" w:rsidRPr="001E0A02">
        <w:t>х</w:t>
      </w:r>
      <w:r w:rsidR="00961BD0" w:rsidRPr="001E0A02">
        <w:t>.</w:t>
      </w:r>
      <w:r w:rsidR="00985C9A" w:rsidRPr="001E0A02">
        <w:t xml:space="preserve"> Также, данные о прямы</w:t>
      </w:r>
      <w:r w:rsidR="00E5791E" w:rsidRPr="001E0A02">
        <w:t>х</w:t>
      </w:r>
      <w:r w:rsidR="00985C9A" w:rsidRPr="001E0A02">
        <w:t xml:space="preserve"> инвестиция</w:t>
      </w:r>
      <w:r w:rsidR="00E5791E" w:rsidRPr="001E0A02">
        <w:t>х</w:t>
      </w:r>
      <w:r w:rsidR="00985C9A" w:rsidRPr="001E0A02">
        <w:t xml:space="preserve"> в коммерческие банки и другие небанковские финансовые учреждения (страховые компании, лизинговые компании и др.) получаются от коммерческих банков и других небанковских финансовых учреждений.</w:t>
      </w:r>
      <w:r w:rsidR="00961BD0" w:rsidRPr="001E0A02">
        <w:t xml:space="preserve"> Данные о</w:t>
      </w:r>
      <w:r w:rsidR="00CF4A7F" w:rsidRPr="001E0A02">
        <w:t> </w:t>
      </w:r>
      <w:r w:rsidR="00961BD0" w:rsidRPr="001E0A02">
        <w:t>межфирменны</w:t>
      </w:r>
      <w:r w:rsidR="00E5791E" w:rsidRPr="001E0A02">
        <w:t>х</w:t>
      </w:r>
      <w:r w:rsidR="00961BD0" w:rsidRPr="001E0A02">
        <w:t xml:space="preserve"> займа</w:t>
      </w:r>
      <w:r w:rsidR="00E5791E" w:rsidRPr="001E0A02">
        <w:t>х</w:t>
      </w:r>
      <w:r w:rsidR="00961BD0" w:rsidRPr="001E0A02">
        <w:t xml:space="preserve"> связанных предприятий представляются коммерческими банками;</w:t>
      </w:r>
    </w:p>
    <w:p w:rsidR="00961BD0" w:rsidRPr="001E0A02" w:rsidRDefault="001B62A8" w:rsidP="00AE3BDA">
      <w:pPr>
        <w:spacing w:before="120"/>
        <w:jc w:val="both"/>
      </w:pPr>
      <w:r w:rsidRPr="001E0A02">
        <w:t>- п</w:t>
      </w:r>
      <w:r w:rsidR="00961BD0" w:rsidRPr="001E0A02">
        <w:t>рямые инвестиции предприятий Узбе</w:t>
      </w:r>
      <w:r w:rsidR="001A5C91" w:rsidRPr="001E0A02">
        <w:t>кистана за</w:t>
      </w:r>
      <w:r w:rsidR="00CF4A7F" w:rsidRPr="001E0A02">
        <w:t> </w:t>
      </w:r>
      <w:r w:rsidR="001A5C91" w:rsidRPr="001E0A02">
        <w:t xml:space="preserve">рубеж незначительны. При этом определение их </w:t>
      </w:r>
      <w:r w:rsidR="00E96B66" w:rsidRPr="001E0A02">
        <w:t xml:space="preserve">реального </w:t>
      </w:r>
      <w:r w:rsidR="001A5C91" w:rsidRPr="001E0A02">
        <w:t xml:space="preserve">объёма </w:t>
      </w:r>
      <w:r w:rsidR="00E96B66" w:rsidRPr="001E0A02">
        <w:t xml:space="preserve">по административным данным </w:t>
      </w:r>
      <w:r w:rsidR="001A5C91" w:rsidRPr="001E0A02">
        <w:t>не представляется возможным</w:t>
      </w:r>
      <w:r w:rsidR="00961BD0" w:rsidRPr="001E0A02">
        <w:t>.</w:t>
      </w:r>
    </w:p>
    <w:p w:rsidR="00564344" w:rsidRDefault="00564344" w:rsidP="00AE3BDA">
      <w:pPr>
        <w:spacing w:before="120"/>
        <w:jc w:val="both"/>
        <w:rPr>
          <w:i/>
        </w:rPr>
      </w:pPr>
    </w:p>
    <w:p w:rsidR="00961BD0" w:rsidRPr="001E0A02" w:rsidRDefault="00961BD0" w:rsidP="00AE3BDA">
      <w:pPr>
        <w:spacing w:before="120"/>
        <w:jc w:val="both"/>
        <w:rPr>
          <w:i/>
        </w:rPr>
      </w:pPr>
      <w:r w:rsidRPr="001E0A02">
        <w:rPr>
          <w:i/>
        </w:rPr>
        <w:t>Портфельные инвестиции</w:t>
      </w:r>
    </w:p>
    <w:p w:rsidR="009D6E6C" w:rsidRPr="00F1606D" w:rsidRDefault="001B62A8" w:rsidP="00AE3BDA">
      <w:pPr>
        <w:spacing w:before="120"/>
        <w:jc w:val="both"/>
      </w:pPr>
      <w:r w:rsidRPr="001E0A02">
        <w:t>- д</w:t>
      </w:r>
      <w:r w:rsidR="00961BD0" w:rsidRPr="001E0A02">
        <w:t xml:space="preserve">анные о </w:t>
      </w:r>
      <w:r w:rsidR="00985C9A" w:rsidRPr="001E0A02">
        <w:t>портфельны</w:t>
      </w:r>
      <w:r w:rsidR="00E5791E" w:rsidRPr="001E0A02">
        <w:t>х</w:t>
      </w:r>
      <w:r w:rsidR="00961BD0" w:rsidRPr="001E0A02">
        <w:t xml:space="preserve"> инвестиция</w:t>
      </w:r>
      <w:r w:rsidR="00E5791E" w:rsidRPr="001E0A02">
        <w:t>х</w:t>
      </w:r>
      <w:r w:rsidR="00961BD0" w:rsidRPr="001E0A02">
        <w:t xml:space="preserve"> </w:t>
      </w:r>
      <w:r w:rsidR="00E96B66" w:rsidRPr="001E0A02">
        <w:t xml:space="preserve">формируются </w:t>
      </w:r>
      <w:r w:rsidR="00961BD0" w:rsidRPr="001E0A02">
        <w:t xml:space="preserve">на основании опроса, проводимого Государственным комитетом по статистике на основе </w:t>
      </w:r>
      <w:r w:rsidR="001C36A1" w:rsidRPr="001E0A02">
        <w:t xml:space="preserve">форм отчётностей, </w:t>
      </w:r>
      <w:r w:rsidR="00961BD0" w:rsidRPr="001E0A02">
        <w:t xml:space="preserve">рекомендованных </w:t>
      </w:r>
      <w:r w:rsidR="00E96B66" w:rsidRPr="001E0A02">
        <w:t>Международным валютным фондом</w:t>
      </w:r>
      <w:r w:rsidR="00F11A2C" w:rsidRPr="001E0A02">
        <w:t>. Данные о портфельны</w:t>
      </w:r>
      <w:r w:rsidR="00E5791E" w:rsidRPr="001E0A02">
        <w:t>х</w:t>
      </w:r>
      <w:r w:rsidR="00F11A2C" w:rsidRPr="001E0A02">
        <w:t xml:space="preserve"> </w:t>
      </w:r>
      <w:r w:rsidR="00F11A2C" w:rsidRPr="001E0A02">
        <w:lastRenderedPageBreak/>
        <w:t>инвестиция</w:t>
      </w:r>
      <w:r w:rsidR="00E5791E" w:rsidRPr="001E0A02">
        <w:t>х</w:t>
      </w:r>
      <w:r w:rsidR="00F11A2C" w:rsidRPr="001E0A02">
        <w:t xml:space="preserve"> в коммерческие банки и другие небанковские финансовые учреждения (страховые компании, лизинговые компании и др.) получаются от коммерческих банков и других небанковских финансовых </w:t>
      </w:r>
      <w:r w:rsidR="00F11A2C" w:rsidRPr="00F1606D">
        <w:t>учреждений.</w:t>
      </w:r>
      <w:r w:rsidR="009D6E6C" w:rsidRPr="00F1606D">
        <w:t xml:space="preserve"> Информация о рыночных ценах обращающихся ценных бумаг получается </w:t>
      </w:r>
      <w:r w:rsidR="00BE3CE5">
        <w:br/>
      </w:r>
      <w:r w:rsidR="009D6E6C" w:rsidRPr="00F1606D">
        <w:t xml:space="preserve">из </w:t>
      </w:r>
      <w:r w:rsidR="009D6E6C" w:rsidRPr="00F1606D">
        <w:rPr>
          <w:lang w:val="en-US"/>
        </w:rPr>
        <w:t>Bloomberg</w:t>
      </w:r>
      <w:r w:rsidR="009D6E6C" w:rsidRPr="00F1606D">
        <w:t xml:space="preserve">. </w:t>
      </w:r>
    </w:p>
    <w:p w:rsidR="00961BD0" w:rsidRPr="001E0A02" w:rsidRDefault="00961BD0" w:rsidP="00AE3BDA">
      <w:pPr>
        <w:spacing w:before="120"/>
        <w:jc w:val="both"/>
        <w:rPr>
          <w:i/>
        </w:rPr>
      </w:pPr>
      <w:r w:rsidRPr="00F1606D">
        <w:rPr>
          <w:i/>
        </w:rPr>
        <w:t>Другие инвестиции</w:t>
      </w:r>
    </w:p>
    <w:p w:rsidR="00961BD0" w:rsidRPr="001E0A02" w:rsidRDefault="00961BD0" w:rsidP="00AE3BDA">
      <w:pPr>
        <w:spacing w:before="120"/>
        <w:jc w:val="both"/>
      </w:pPr>
      <w:r w:rsidRPr="001E0A02">
        <w:t>- данные о внешни</w:t>
      </w:r>
      <w:r w:rsidR="00E5791E" w:rsidRPr="001E0A02">
        <w:t>х</w:t>
      </w:r>
      <w:r w:rsidRPr="001E0A02">
        <w:t xml:space="preserve"> займа</w:t>
      </w:r>
      <w:r w:rsidR="00E5791E" w:rsidRPr="001E0A02">
        <w:t>х</w:t>
      </w:r>
      <w:r w:rsidRPr="001E0A02">
        <w:t xml:space="preserve"> и остатка</w:t>
      </w:r>
      <w:r w:rsidR="00E5791E" w:rsidRPr="001E0A02">
        <w:t>х</w:t>
      </w:r>
      <w:r w:rsidRPr="001E0A02">
        <w:t xml:space="preserve"> корреспондентских счетов </w:t>
      </w:r>
      <w:r w:rsidR="00E96B66" w:rsidRPr="001E0A02">
        <w:t xml:space="preserve">формируются на основе данных </w:t>
      </w:r>
      <w:r w:rsidR="002D09F2" w:rsidRPr="001E0A02">
        <w:t>Центрального банка</w:t>
      </w:r>
      <w:r w:rsidRPr="001E0A02">
        <w:t>, Мин</w:t>
      </w:r>
      <w:r w:rsidR="002D09F2" w:rsidRPr="001E0A02">
        <w:t>истерства финансов</w:t>
      </w:r>
      <w:r w:rsidRPr="001E0A02">
        <w:t xml:space="preserve"> и коммерческих банков;</w:t>
      </w:r>
    </w:p>
    <w:p w:rsidR="00961BD0" w:rsidRPr="001E0A02" w:rsidRDefault="00961BD0" w:rsidP="00AE3BDA">
      <w:pPr>
        <w:spacing w:before="120"/>
        <w:jc w:val="both"/>
      </w:pPr>
      <w:r w:rsidRPr="001E0A02">
        <w:t>- торговые кредиты рассчитываются на основе данных</w:t>
      </w:r>
      <w:r w:rsidR="00CB0FED" w:rsidRPr="001E0A02">
        <w:t>,</w:t>
      </w:r>
      <w:r w:rsidRPr="001E0A02">
        <w:t xml:space="preserve"> получаемых от коммерческих банков.</w:t>
      </w:r>
    </w:p>
    <w:p w:rsidR="00961BD0" w:rsidRPr="001E0A02" w:rsidRDefault="00961BD0" w:rsidP="00AE3BDA">
      <w:pPr>
        <w:spacing w:before="120"/>
        <w:jc w:val="both"/>
        <w:rPr>
          <w:b/>
        </w:rPr>
      </w:pPr>
      <w:r w:rsidRPr="001E0A02">
        <w:rPr>
          <w:b/>
        </w:rPr>
        <w:t>Резервные активы</w:t>
      </w:r>
    </w:p>
    <w:p w:rsidR="00961BD0" w:rsidRPr="001E0A02" w:rsidRDefault="00961BD0" w:rsidP="00AE3BDA">
      <w:pPr>
        <w:spacing w:before="120"/>
        <w:jc w:val="both"/>
      </w:pPr>
      <w:r w:rsidRPr="001E0A02">
        <w:t>- источник информации о резервны</w:t>
      </w:r>
      <w:r w:rsidR="00E5791E" w:rsidRPr="001E0A02">
        <w:t>х</w:t>
      </w:r>
      <w:r w:rsidRPr="001E0A02">
        <w:t xml:space="preserve"> актива</w:t>
      </w:r>
      <w:r w:rsidR="00E5791E" w:rsidRPr="001E0A02">
        <w:t>х</w:t>
      </w:r>
      <w:r w:rsidR="001C36A1" w:rsidRPr="001E0A02">
        <w:t xml:space="preserve"> –</w:t>
      </w:r>
      <w:r w:rsidRPr="001E0A02">
        <w:t xml:space="preserve"> Центральн</w:t>
      </w:r>
      <w:r w:rsidR="002D09F2" w:rsidRPr="001E0A02">
        <w:t>ый</w:t>
      </w:r>
      <w:r w:rsidRPr="001E0A02">
        <w:t xml:space="preserve"> банк.</w:t>
      </w:r>
    </w:p>
    <w:p w:rsidR="00961BD0" w:rsidRPr="001E0A02" w:rsidRDefault="00961BD0" w:rsidP="001817D5">
      <w:pPr>
        <w:spacing w:before="120"/>
        <w:ind w:right="566"/>
        <w:rPr>
          <w:b/>
        </w:rPr>
      </w:pPr>
      <w:r w:rsidRPr="001E0A02">
        <w:rPr>
          <w:b/>
        </w:rPr>
        <w:t>1.3. Методологические стандарты международной инвестиционной позиции</w:t>
      </w:r>
    </w:p>
    <w:p w:rsidR="00961BD0" w:rsidRPr="001E0A02" w:rsidRDefault="00961BD0" w:rsidP="00AE3BDA">
      <w:pPr>
        <w:spacing w:before="120"/>
        <w:jc w:val="both"/>
      </w:pPr>
      <w:r w:rsidRPr="001E0A02">
        <w:t>Международная инвестиционная позиция (МИП) Республики Узбекистан составляется в</w:t>
      </w:r>
      <w:r w:rsidR="001817D5" w:rsidRPr="001E0A02">
        <w:t> </w:t>
      </w:r>
      <w:r w:rsidRPr="001E0A02">
        <w:t xml:space="preserve">соответствии с шестым изданием </w:t>
      </w:r>
      <w:r w:rsidR="001C36A1" w:rsidRPr="001E0A02">
        <w:t xml:space="preserve">Руководства </w:t>
      </w:r>
      <w:r w:rsidRPr="001E0A02">
        <w:t>по</w:t>
      </w:r>
      <w:r w:rsidR="001817D5" w:rsidRPr="001E0A02">
        <w:t> </w:t>
      </w:r>
      <w:r w:rsidRPr="001E0A02">
        <w:t xml:space="preserve">платёжному балансу и международной инвестиционной позиции </w:t>
      </w:r>
      <w:r w:rsidR="001C36A1" w:rsidRPr="001E0A02">
        <w:t>(РПБ6, МВФ, 2009)</w:t>
      </w:r>
      <w:r w:rsidRPr="001E0A02">
        <w:t>.</w:t>
      </w:r>
    </w:p>
    <w:p w:rsidR="00961BD0" w:rsidRPr="001E0A02" w:rsidRDefault="00961BD0" w:rsidP="00AE3BDA">
      <w:pPr>
        <w:spacing w:before="120"/>
        <w:jc w:val="both"/>
      </w:pPr>
      <w:r w:rsidRPr="001E0A02">
        <w:t xml:space="preserve">МИП показывает остаток внешних финансовых активов и обязательств страны на </w:t>
      </w:r>
      <w:r w:rsidR="0096090C" w:rsidRPr="001E0A02">
        <w:t>определённый</w:t>
      </w:r>
      <w:r w:rsidRPr="001E0A02">
        <w:t xml:space="preserve"> период времени. МИП включает полный состав требований и обязательств к нерезидентам со</w:t>
      </w:r>
      <w:r w:rsidR="001817D5" w:rsidRPr="001E0A02">
        <w:t> </w:t>
      </w:r>
      <w:r w:rsidRPr="001E0A02">
        <w:t xml:space="preserve">стороны разных институциональных секторов: </w:t>
      </w:r>
      <w:r w:rsidR="00E96B66" w:rsidRPr="001E0A02">
        <w:t xml:space="preserve">Центральный </w:t>
      </w:r>
      <w:r w:rsidRPr="001E0A02">
        <w:t xml:space="preserve">банк, депозитарные корпорации кроме </w:t>
      </w:r>
      <w:r w:rsidR="00E96B66" w:rsidRPr="001E0A02">
        <w:t xml:space="preserve">Центрального </w:t>
      </w:r>
      <w:r w:rsidRPr="001E0A02">
        <w:t xml:space="preserve">банка, </w:t>
      </w:r>
      <w:r w:rsidR="00E96B66" w:rsidRPr="001E0A02">
        <w:t xml:space="preserve">Правительство </w:t>
      </w:r>
      <w:r w:rsidRPr="001E0A02">
        <w:t>и</w:t>
      </w:r>
      <w:r w:rsidR="001817D5" w:rsidRPr="001E0A02">
        <w:t> </w:t>
      </w:r>
      <w:r w:rsidRPr="001E0A02">
        <w:t xml:space="preserve">другие сектора. Основные </w:t>
      </w:r>
      <w:r w:rsidR="00E96B66" w:rsidRPr="001E0A02">
        <w:t>статьи</w:t>
      </w:r>
      <w:r w:rsidRPr="001E0A02">
        <w:t xml:space="preserve"> данного отчёта идентичны </w:t>
      </w:r>
      <w:r w:rsidR="00AE693C" w:rsidRPr="001E0A02">
        <w:t>статьям</w:t>
      </w:r>
      <w:r w:rsidRPr="001E0A02">
        <w:t xml:space="preserve"> финансового счёта: прямые инвестиции, портфельные инвестиции, финансовые деривативы, другие инвестиции и</w:t>
      </w:r>
      <w:r w:rsidR="001817D5" w:rsidRPr="001E0A02">
        <w:t> </w:t>
      </w:r>
      <w:r w:rsidRPr="001E0A02">
        <w:t>резервные активы.</w:t>
      </w:r>
    </w:p>
    <w:p w:rsidR="00961BD0" w:rsidRPr="001E0A02" w:rsidRDefault="00961BD0" w:rsidP="00AE3BDA">
      <w:pPr>
        <w:spacing w:before="120"/>
        <w:jc w:val="both"/>
      </w:pPr>
      <w:r w:rsidRPr="001E0A02">
        <w:t>Разница между финансовыми активами и</w:t>
      </w:r>
      <w:r w:rsidR="001817D5" w:rsidRPr="001E0A02">
        <w:t> </w:t>
      </w:r>
      <w:r w:rsidRPr="001E0A02">
        <w:t>обязательствами экономики является чистой инвестиционной позицией. Таким образом</w:t>
      </w:r>
      <w:r w:rsidR="001C36A1" w:rsidRPr="001E0A02">
        <w:t>,</w:t>
      </w:r>
      <w:r w:rsidRPr="001E0A02">
        <w:t xml:space="preserve"> сектор в МИП может являться «чистым </w:t>
      </w:r>
      <w:r w:rsidRPr="001E0A02">
        <w:lastRenderedPageBreak/>
        <w:t>кредитором» или «чистым заёмщиком».</w:t>
      </w:r>
    </w:p>
    <w:p w:rsidR="00961BD0" w:rsidRDefault="00961BD0" w:rsidP="00AE3BDA">
      <w:pPr>
        <w:spacing w:before="120"/>
        <w:jc w:val="both"/>
      </w:pPr>
      <w:r w:rsidRPr="001E0A02">
        <w:t>МИП составляется в форме таблицы</w:t>
      </w:r>
      <w:r w:rsidR="00CB0FED" w:rsidRPr="001E0A02">
        <w:t>,</w:t>
      </w:r>
      <w:r w:rsidRPr="001E0A02">
        <w:t xml:space="preserve"> отражающ</w:t>
      </w:r>
      <w:r w:rsidR="00CB0FED" w:rsidRPr="001E0A02">
        <w:t>е</w:t>
      </w:r>
      <w:r w:rsidRPr="001E0A02">
        <w:t>й потоки и остатки по операциям.</w:t>
      </w:r>
    </w:p>
    <w:p w:rsidR="00D32A99" w:rsidRPr="001E0A02" w:rsidRDefault="00AE693C" w:rsidP="00AE3BDA">
      <w:pPr>
        <w:spacing w:before="120"/>
        <w:jc w:val="both"/>
        <w:rPr>
          <w:b/>
        </w:rPr>
      </w:pPr>
      <w:r w:rsidRPr="001E0A02">
        <w:rPr>
          <w:b/>
        </w:rPr>
        <w:t>1.4. Источники информации и формирование данных по в</w:t>
      </w:r>
      <w:r w:rsidR="00D32A99" w:rsidRPr="001E0A02">
        <w:rPr>
          <w:b/>
        </w:rPr>
        <w:t>нешн</w:t>
      </w:r>
      <w:r w:rsidRPr="001E0A02">
        <w:rPr>
          <w:b/>
        </w:rPr>
        <w:t>ему</w:t>
      </w:r>
      <w:r w:rsidR="00D32A99" w:rsidRPr="001E0A02">
        <w:rPr>
          <w:b/>
        </w:rPr>
        <w:t xml:space="preserve"> долг</w:t>
      </w:r>
      <w:r w:rsidRPr="001E0A02">
        <w:rPr>
          <w:b/>
        </w:rPr>
        <w:t>у Республики Узбекистан</w:t>
      </w:r>
    </w:p>
    <w:p w:rsidR="00AE693C" w:rsidRPr="001E0A02" w:rsidRDefault="00AE693C" w:rsidP="00AE3BDA">
      <w:pPr>
        <w:spacing w:before="120"/>
        <w:jc w:val="both"/>
      </w:pPr>
      <w:r w:rsidRPr="001E0A02">
        <w:t xml:space="preserve">Внешний долг Республики Узбекистан </w:t>
      </w:r>
      <w:r w:rsidR="001D6169" w:rsidRPr="001E0A02">
        <w:t>отражается как</w:t>
      </w:r>
      <w:r w:rsidR="001A547D" w:rsidRPr="001E0A02">
        <w:t xml:space="preserve"> остаток задолженности по внешни</w:t>
      </w:r>
      <w:r w:rsidR="00CD25EC" w:rsidRPr="001E0A02">
        <w:t>м</w:t>
      </w:r>
      <w:r w:rsidR="001A547D" w:rsidRPr="001E0A02">
        <w:t xml:space="preserve"> заимствования</w:t>
      </w:r>
      <w:r w:rsidR="00CD25EC" w:rsidRPr="001E0A02">
        <w:t>м</w:t>
      </w:r>
      <w:r w:rsidRPr="001E0A02">
        <w:t xml:space="preserve"> резидент</w:t>
      </w:r>
      <w:r w:rsidR="00CD25EC" w:rsidRPr="001E0A02">
        <w:t>ов</w:t>
      </w:r>
      <w:r w:rsidR="001A547D" w:rsidRPr="001E0A02">
        <w:t xml:space="preserve"> Республики</w:t>
      </w:r>
      <w:r w:rsidRPr="001E0A02">
        <w:t xml:space="preserve"> Узбекистана, а также начисленны</w:t>
      </w:r>
      <w:r w:rsidR="001A547D" w:rsidRPr="001E0A02">
        <w:t>м</w:t>
      </w:r>
      <w:r w:rsidRPr="001E0A02">
        <w:t>, но</w:t>
      </w:r>
      <w:r w:rsidR="001817D5" w:rsidRPr="001E0A02">
        <w:t> </w:t>
      </w:r>
      <w:r w:rsidRPr="001E0A02">
        <w:t>невыплаченны</w:t>
      </w:r>
      <w:r w:rsidR="001A547D" w:rsidRPr="001E0A02">
        <w:t>м</w:t>
      </w:r>
      <w:r w:rsidRPr="001E0A02">
        <w:t xml:space="preserve"> процент</w:t>
      </w:r>
      <w:r w:rsidR="001A547D" w:rsidRPr="001E0A02">
        <w:t>ам</w:t>
      </w:r>
      <w:r w:rsidRPr="001E0A02">
        <w:t xml:space="preserve"> по </w:t>
      </w:r>
      <w:r w:rsidR="00CD25EC" w:rsidRPr="001E0A02">
        <w:t>внешним заимствованиям</w:t>
      </w:r>
      <w:r w:rsidRPr="001E0A02">
        <w:t xml:space="preserve">. </w:t>
      </w:r>
      <w:r w:rsidR="001A547D" w:rsidRPr="001E0A02">
        <w:t>Внешний долг разделяется на</w:t>
      </w:r>
      <w:r w:rsidR="001817D5" w:rsidRPr="001E0A02">
        <w:t> </w:t>
      </w:r>
      <w:r w:rsidR="001A547D" w:rsidRPr="001E0A02">
        <w:t>внешний долг частного сектора и</w:t>
      </w:r>
      <w:r w:rsidR="001817D5" w:rsidRPr="001E0A02">
        <w:t> </w:t>
      </w:r>
      <w:r w:rsidRPr="001E0A02">
        <w:t xml:space="preserve">государственный внешний долг. </w:t>
      </w:r>
    </w:p>
    <w:p w:rsidR="001C0248" w:rsidRPr="001E0A02" w:rsidRDefault="00AE693C" w:rsidP="00AE3BDA">
      <w:pPr>
        <w:spacing w:before="120"/>
        <w:jc w:val="both"/>
      </w:pPr>
      <w:r w:rsidRPr="001E0A02">
        <w:t>Государственный внешний долг включает в себ</w:t>
      </w:r>
      <w:r w:rsidR="001C36A1" w:rsidRPr="001E0A02">
        <w:t>я</w:t>
      </w:r>
      <w:r w:rsidRPr="001E0A02">
        <w:t xml:space="preserve"> кредиты, полученные правительством или под гарантию прави</w:t>
      </w:r>
      <w:r w:rsidR="009D6E6C">
        <w:t>тельства Республики Узбекистан.</w:t>
      </w:r>
    </w:p>
    <w:p w:rsidR="00AE693C" w:rsidRPr="001E0A02" w:rsidRDefault="001A547D" w:rsidP="00AE3BDA">
      <w:pPr>
        <w:spacing w:before="120"/>
        <w:jc w:val="both"/>
      </w:pPr>
      <w:r w:rsidRPr="001E0A02">
        <w:t>Министерство финансов Республики Узбекистан представляет д</w:t>
      </w:r>
      <w:r w:rsidR="00AE693C" w:rsidRPr="001E0A02">
        <w:t>анные о поступлени</w:t>
      </w:r>
      <w:r w:rsidRPr="001E0A02">
        <w:t>и средств</w:t>
      </w:r>
      <w:r w:rsidR="00AE693C" w:rsidRPr="001E0A02">
        <w:t>, начислении процентов и</w:t>
      </w:r>
      <w:r w:rsidR="00CD25EC" w:rsidRPr="001E0A02">
        <w:t xml:space="preserve"> осуществлении</w:t>
      </w:r>
      <w:r w:rsidR="00AE693C" w:rsidRPr="001E0A02">
        <w:t xml:space="preserve"> п</w:t>
      </w:r>
      <w:r w:rsidRPr="001E0A02">
        <w:t>латежей</w:t>
      </w:r>
      <w:r w:rsidR="00AE693C" w:rsidRPr="001E0A02">
        <w:t xml:space="preserve"> по </w:t>
      </w:r>
      <w:r w:rsidRPr="001E0A02">
        <w:t>государст</w:t>
      </w:r>
      <w:r w:rsidR="00F53694">
        <w:t>-</w:t>
      </w:r>
      <w:r w:rsidRPr="001E0A02">
        <w:t xml:space="preserve">венному </w:t>
      </w:r>
      <w:r w:rsidR="00AE693C" w:rsidRPr="001E0A02">
        <w:t xml:space="preserve">внешнему </w:t>
      </w:r>
      <w:r w:rsidRPr="001E0A02">
        <w:t>долгу</w:t>
      </w:r>
      <w:r w:rsidR="00AE693C" w:rsidRPr="001E0A02">
        <w:t>.</w:t>
      </w:r>
    </w:p>
    <w:p w:rsidR="001D6169" w:rsidRPr="001E0A02" w:rsidRDefault="001A547D" w:rsidP="00AE3BDA">
      <w:pPr>
        <w:spacing w:before="120"/>
        <w:jc w:val="both"/>
      </w:pPr>
      <w:r w:rsidRPr="001E0A02">
        <w:t xml:space="preserve">Внешний долг частного сектора состоит </w:t>
      </w:r>
      <w:r w:rsidR="00511DAB" w:rsidRPr="001E0A02">
        <w:br/>
      </w:r>
      <w:r w:rsidRPr="001E0A02">
        <w:t>из внешни</w:t>
      </w:r>
      <w:r w:rsidR="00CD25EC" w:rsidRPr="001E0A02">
        <w:t>х</w:t>
      </w:r>
      <w:r w:rsidRPr="001E0A02">
        <w:t xml:space="preserve"> заимствований, </w:t>
      </w:r>
      <w:r w:rsidR="00CD25EC" w:rsidRPr="001E0A02">
        <w:t xml:space="preserve">полученных без гарантии правительства Республики Узбекистан, включая задолженность по займам, представленным зарубежными материнскими компаниями. Информация </w:t>
      </w:r>
      <w:r w:rsidR="00E5791E" w:rsidRPr="001E0A02">
        <w:t>о внешнем</w:t>
      </w:r>
      <w:r w:rsidR="00CD25EC" w:rsidRPr="001E0A02">
        <w:t xml:space="preserve"> долг</w:t>
      </w:r>
      <w:r w:rsidR="00E5791E" w:rsidRPr="001E0A02">
        <w:t>е</w:t>
      </w:r>
      <w:r w:rsidR="00CD25EC" w:rsidRPr="001E0A02">
        <w:t xml:space="preserve"> частного сектора представляется коммерческими банками. </w:t>
      </w:r>
    </w:p>
    <w:p w:rsidR="001C0248" w:rsidRPr="001E0A02" w:rsidRDefault="00D17C5E" w:rsidP="00AE3BDA">
      <w:pPr>
        <w:spacing w:before="120"/>
        <w:jc w:val="both"/>
      </w:pPr>
      <w:r w:rsidRPr="001E0A02">
        <w:t>Данные о внешнем долг</w:t>
      </w:r>
      <w:r w:rsidR="00E5791E" w:rsidRPr="001E0A02">
        <w:t>е</w:t>
      </w:r>
      <w:r w:rsidRPr="001E0A02">
        <w:t xml:space="preserve"> частного сектора формируются в разрезе секторов экономики (нефтегазовый и энергетический, банковский, телекоммуникационный, текстильный и другие сектора). </w:t>
      </w:r>
    </w:p>
    <w:p w:rsidR="00D32A99" w:rsidRDefault="00D17C5E" w:rsidP="00AE3BDA">
      <w:pPr>
        <w:spacing w:before="120"/>
        <w:jc w:val="both"/>
      </w:pPr>
      <w:r w:rsidRPr="001E0A02">
        <w:t>Также, банками представляются данные о</w:t>
      </w:r>
      <w:r w:rsidR="001817D5" w:rsidRPr="001E0A02">
        <w:t> </w:t>
      </w:r>
      <w:r w:rsidRPr="001E0A02">
        <w:t>прогнозах погашения основного долга и</w:t>
      </w:r>
      <w:r w:rsidR="001817D5" w:rsidRPr="001E0A02">
        <w:t> </w:t>
      </w:r>
      <w:r w:rsidRPr="001E0A02">
        <w:t>процентов.</w:t>
      </w:r>
    </w:p>
    <w:p w:rsidR="00BD7BEF" w:rsidRPr="002C3CB8" w:rsidRDefault="00BD7BEF" w:rsidP="00AE3BDA">
      <w:pPr>
        <w:spacing w:before="120"/>
        <w:jc w:val="both"/>
        <w:rPr>
          <w:b/>
        </w:rPr>
      </w:pPr>
      <w:r w:rsidRPr="002C3CB8">
        <w:rPr>
          <w:b/>
        </w:rPr>
        <w:t>1.5.</w:t>
      </w:r>
      <w:r w:rsidR="00C5399B">
        <w:rPr>
          <w:b/>
        </w:rPr>
        <w:t> </w:t>
      </w:r>
      <w:r w:rsidRPr="002C3CB8">
        <w:rPr>
          <w:b/>
        </w:rPr>
        <w:t>Юридическая основа составления данных</w:t>
      </w:r>
    </w:p>
    <w:p w:rsidR="00F824DC" w:rsidRDefault="00BD7BEF" w:rsidP="00AE3BDA">
      <w:pPr>
        <w:spacing w:before="120"/>
        <w:jc w:val="both"/>
        <w:rPr>
          <w:rFonts w:cs="Arial"/>
        </w:rPr>
      </w:pPr>
      <w:r w:rsidRPr="002C3CB8">
        <w:lastRenderedPageBreak/>
        <w:t>1. </w:t>
      </w:r>
      <w:r w:rsidR="00F824DC" w:rsidRPr="00F1606D">
        <w:rPr>
          <w:rFonts w:cs="Arial"/>
        </w:rPr>
        <w:t xml:space="preserve">Законы Республики Узбекистан </w:t>
      </w:r>
      <w:r w:rsidR="00F824DC" w:rsidRPr="00F1606D">
        <w:rPr>
          <w:rFonts w:cs="Arial"/>
        </w:rPr>
        <w:br/>
        <w:t xml:space="preserve">«О Центральном банке Республики Узбекистан» и «О валютном регулировании» </w:t>
      </w:r>
      <w:r w:rsidR="00F824DC">
        <w:rPr>
          <w:rFonts w:cs="Arial"/>
        </w:rPr>
        <w:br/>
      </w:r>
      <w:r w:rsidR="00F824DC" w:rsidRPr="00F1606D">
        <w:rPr>
          <w:rFonts w:cs="Arial"/>
        </w:rPr>
        <w:t>(в новой редакции).</w:t>
      </w:r>
    </w:p>
    <w:p w:rsidR="00F824DC" w:rsidRDefault="00F824DC" w:rsidP="00AE3BDA">
      <w:pPr>
        <w:spacing w:before="120"/>
        <w:jc w:val="both"/>
        <w:rPr>
          <w:rFonts w:cs="Arial"/>
        </w:rPr>
      </w:pPr>
      <w:r>
        <w:t>2. </w:t>
      </w:r>
      <w:r w:rsidRPr="002C3CB8">
        <w:t>Указ Президента Республики Узбекистан от 09</w:t>
      </w:r>
      <w:r>
        <w:t xml:space="preserve"> января </w:t>
      </w:r>
      <w:r w:rsidRPr="002C3CB8">
        <w:t>2018 г</w:t>
      </w:r>
      <w:r>
        <w:t>ода</w:t>
      </w:r>
      <w:r w:rsidRPr="002C3CB8">
        <w:t xml:space="preserve"> </w:t>
      </w:r>
      <w:r>
        <w:t>№ </w:t>
      </w:r>
      <w:r w:rsidRPr="002C3CB8">
        <w:t xml:space="preserve">УП-5296 </w:t>
      </w:r>
      <w:r>
        <w:t>«</w:t>
      </w:r>
      <w:r w:rsidRPr="002C3CB8">
        <w:t>О мерах по коренному совершенствованию деятельности Центрального банка Республики Узбекистан</w:t>
      </w:r>
      <w:r>
        <w:t>»</w:t>
      </w:r>
    </w:p>
    <w:p w:rsidR="002C3CB8" w:rsidRDefault="00F824DC" w:rsidP="00AE3BDA">
      <w:pPr>
        <w:spacing w:before="120"/>
        <w:jc w:val="both"/>
      </w:pPr>
      <w:r>
        <w:t>3. </w:t>
      </w:r>
      <w:r w:rsidR="002C3CB8" w:rsidRPr="002C3CB8">
        <w:t>Распоряжение Президента Республики Узбекистан от 12 сентября 2017 года № Р-5054 «О мерах по обеспечению доступности и открытости экономических и</w:t>
      </w:r>
      <w:r w:rsidR="002C3CB8">
        <w:t xml:space="preserve"> </w:t>
      </w:r>
      <w:r w:rsidR="002C3CB8" w:rsidRPr="002C3CB8">
        <w:t>финансовых данных по Республике Узбекистан</w:t>
      </w:r>
      <w:r w:rsidR="002C3CB8">
        <w:t>»</w:t>
      </w:r>
    </w:p>
    <w:p w:rsidR="002C3CB8" w:rsidRPr="002C3CB8" w:rsidRDefault="00F824DC" w:rsidP="002C3CB8">
      <w:pPr>
        <w:spacing w:before="120"/>
        <w:jc w:val="both"/>
      </w:pPr>
      <w:r>
        <w:t>4</w:t>
      </w:r>
      <w:r w:rsidR="002C3CB8">
        <w:t>. </w:t>
      </w:r>
      <w:r w:rsidR="002C3CB8" w:rsidRPr="002C3CB8">
        <w:t>Постановление Кабинета Министров Республики Узбекистан от 3</w:t>
      </w:r>
      <w:r w:rsidR="002C3CB8">
        <w:t xml:space="preserve"> апреля </w:t>
      </w:r>
      <w:r w:rsidR="002C3CB8" w:rsidRPr="002C3CB8">
        <w:t>2018 г</w:t>
      </w:r>
      <w:r w:rsidR="002C3CB8">
        <w:t>ода</w:t>
      </w:r>
      <w:r w:rsidR="002C3CB8" w:rsidRPr="002C3CB8">
        <w:t xml:space="preserve"> </w:t>
      </w:r>
      <w:r w:rsidR="002C3CB8">
        <w:t>№ </w:t>
      </w:r>
      <w:r w:rsidR="002C3CB8" w:rsidRPr="002C3CB8">
        <w:t xml:space="preserve">263 </w:t>
      </w:r>
      <w:r w:rsidR="002C3CB8">
        <w:t>«</w:t>
      </w:r>
      <w:r w:rsidR="002C3CB8" w:rsidRPr="002C3CB8">
        <w:t>О мерах по обеспечению составления статистики внешнего сектора Республики Узбекистан</w:t>
      </w:r>
      <w:r w:rsidR="002C3CB8">
        <w:t>».</w:t>
      </w:r>
    </w:p>
    <w:p w:rsidR="00564344" w:rsidRDefault="00564344" w:rsidP="00AE3BDA">
      <w:pPr>
        <w:spacing w:before="120"/>
        <w:jc w:val="both"/>
        <w:rPr>
          <w:rFonts w:cs="Arial"/>
        </w:rPr>
      </w:pPr>
    </w:p>
    <w:p w:rsidR="00F824DC" w:rsidRDefault="00F824DC" w:rsidP="00AE3BDA">
      <w:pPr>
        <w:spacing w:before="120"/>
        <w:jc w:val="both"/>
        <w:rPr>
          <w:rFonts w:cs="Arial"/>
        </w:rPr>
      </w:pPr>
    </w:p>
    <w:p w:rsidR="00F824DC" w:rsidRDefault="00F824DC" w:rsidP="00AE3BDA">
      <w:pPr>
        <w:spacing w:before="120"/>
        <w:jc w:val="both"/>
        <w:rPr>
          <w:rFonts w:cs="Arial"/>
        </w:rPr>
      </w:pPr>
    </w:p>
    <w:p w:rsidR="00F824DC" w:rsidRDefault="00F824DC" w:rsidP="00AE3BDA">
      <w:pPr>
        <w:spacing w:before="120"/>
        <w:jc w:val="both"/>
        <w:rPr>
          <w:rFonts w:cs="Arial"/>
        </w:rPr>
      </w:pPr>
    </w:p>
    <w:p w:rsidR="00F824DC" w:rsidRDefault="00F824DC" w:rsidP="00AE3BDA">
      <w:pPr>
        <w:spacing w:before="120"/>
        <w:jc w:val="both"/>
        <w:rPr>
          <w:rFonts w:cs="Arial"/>
        </w:rPr>
      </w:pPr>
    </w:p>
    <w:p w:rsidR="00F824DC" w:rsidRDefault="00F824DC" w:rsidP="00AE3BDA">
      <w:pPr>
        <w:spacing w:before="120"/>
        <w:jc w:val="both"/>
        <w:rPr>
          <w:rFonts w:cs="Arial"/>
        </w:rPr>
      </w:pPr>
    </w:p>
    <w:p w:rsidR="00F824DC" w:rsidRDefault="00F824DC" w:rsidP="00AE3BDA">
      <w:pPr>
        <w:spacing w:before="120"/>
        <w:jc w:val="both"/>
        <w:rPr>
          <w:rFonts w:cs="Arial"/>
        </w:rPr>
      </w:pPr>
    </w:p>
    <w:p w:rsidR="00F824DC" w:rsidRDefault="00F824DC" w:rsidP="00AE3BDA">
      <w:pPr>
        <w:spacing w:before="120"/>
        <w:jc w:val="both"/>
        <w:rPr>
          <w:rFonts w:cs="Arial"/>
        </w:rPr>
      </w:pPr>
    </w:p>
    <w:p w:rsidR="00F824DC" w:rsidRDefault="00F824DC" w:rsidP="00AE3BDA">
      <w:pPr>
        <w:spacing w:before="120"/>
        <w:jc w:val="both"/>
        <w:rPr>
          <w:rFonts w:cs="Arial"/>
        </w:rPr>
      </w:pPr>
    </w:p>
    <w:p w:rsidR="00564344" w:rsidRDefault="00564344" w:rsidP="00AE3BDA">
      <w:pPr>
        <w:spacing w:before="120"/>
        <w:jc w:val="both"/>
        <w:rPr>
          <w:rFonts w:cs="Arial"/>
        </w:rPr>
      </w:pPr>
    </w:p>
    <w:p w:rsidR="00EA4EF7" w:rsidRDefault="00EA4EF7" w:rsidP="00AE3BDA">
      <w:pPr>
        <w:spacing w:before="120"/>
        <w:jc w:val="both"/>
        <w:rPr>
          <w:rFonts w:cs="Arial"/>
        </w:rPr>
      </w:pPr>
    </w:p>
    <w:p w:rsidR="00EA4EF7" w:rsidRDefault="00EA4EF7" w:rsidP="00AE3BDA">
      <w:pPr>
        <w:spacing w:before="120"/>
        <w:jc w:val="both"/>
        <w:rPr>
          <w:rFonts w:cs="Arial"/>
        </w:rPr>
      </w:pPr>
    </w:p>
    <w:p w:rsidR="00EA4EF7" w:rsidRDefault="00EA4EF7" w:rsidP="00AE3BDA">
      <w:pPr>
        <w:spacing w:before="120"/>
        <w:jc w:val="both"/>
        <w:rPr>
          <w:rFonts w:cs="Arial"/>
        </w:rPr>
      </w:pPr>
    </w:p>
    <w:p w:rsidR="00EA4EF7" w:rsidRDefault="00EA4EF7" w:rsidP="00AE3BDA">
      <w:pPr>
        <w:spacing w:before="120"/>
        <w:jc w:val="both"/>
        <w:rPr>
          <w:rFonts w:cs="Arial"/>
        </w:rPr>
      </w:pPr>
    </w:p>
    <w:p w:rsidR="008D544B" w:rsidRDefault="008D544B" w:rsidP="00AE3BDA">
      <w:pPr>
        <w:spacing w:before="120"/>
        <w:jc w:val="both"/>
        <w:rPr>
          <w:rFonts w:cs="Arial"/>
        </w:rPr>
      </w:pPr>
    </w:p>
    <w:p w:rsidR="00597FA6" w:rsidRDefault="00597FA6" w:rsidP="00AE3BDA">
      <w:pPr>
        <w:spacing w:before="120"/>
        <w:jc w:val="both"/>
        <w:rPr>
          <w:rFonts w:cs="Arial"/>
        </w:rPr>
      </w:pPr>
    </w:p>
    <w:p w:rsidR="006F0FAC" w:rsidRDefault="006F0FAC" w:rsidP="00AE3BDA">
      <w:pPr>
        <w:spacing w:before="120"/>
        <w:jc w:val="both"/>
        <w:rPr>
          <w:rFonts w:cs="Arial"/>
        </w:rPr>
      </w:pPr>
    </w:p>
    <w:p w:rsidR="006F0FAC" w:rsidRPr="001E0A02" w:rsidRDefault="006F0FAC" w:rsidP="00AE3BDA">
      <w:pPr>
        <w:spacing w:before="120"/>
        <w:jc w:val="both"/>
        <w:rPr>
          <w:rFonts w:cs="Arial"/>
        </w:rPr>
        <w:sectPr w:rsidR="006F0FAC" w:rsidRPr="001E0A02" w:rsidSect="00EA4EF7">
          <w:type w:val="continuous"/>
          <w:pgSz w:w="11906" w:h="16838" w:code="9"/>
          <w:pgMar w:top="1134" w:right="851" w:bottom="1134" w:left="1134" w:header="709" w:footer="394" w:gutter="0"/>
          <w:cols w:num="2" w:space="281"/>
          <w:titlePg/>
          <w:docGrid w:linePitch="360"/>
        </w:sectPr>
      </w:pPr>
    </w:p>
    <w:p w:rsidR="006F0FAC" w:rsidRPr="00980DC2" w:rsidRDefault="006F0FAC" w:rsidP="000D0DA3">
      <w:pPr>
        <w:pStyle w:val="1"/>
        <w:ind w:left="709"/>
        <w:rPr>
          <w:rFonts w:ascii="Calibri" w:hAnsi="Calibri" w:cs="Calibri"/>
          <w:lang w:val="ru-RU"/>
        </w:rPr>
      </w:pPr>
      <w:r>
        <w:lastRenderedPageBreak/>
        <w:br w:type="page"/>
      </w:r>
      <w:bookmarkStart w:id="2" w:name="_Toc35458602"/>
      <w:r w:rsidRPr="00980DC2">
        <w:rPr>
          <w:rFonts w:ascii="Calibri" w:hAnsi="Calibri" w:cs="Calibri"/>
          <w:lang w:val="ru-RU"/>
        </w:rPr>
        <w:lastRenderedPageBreak/>
        <w:t>ГЛОССАРИЙ ТЕРМИНОВ</w:t>
      </w:r>
      <w:bookmarkEnd w:id="2"/>
    </w:p>
    <w:p w:rsidR="006F0FAC" w:rsidRPr="000D0DA3" w:rsidRDefault="006F0FAC" w:rsidP="006F0FAC">
      <w:pPr>
        <w:rPr>
          <w:rFonts w:cs="Calibri"/>
          <w:sz w:val="18"/>
          <w:szCs w:val="18"/>
          <w:lang/>
        </w:rPr>
      </w:pPr>
    </w:p>
    <w:p w:rsidR="000D0DA3" w:rsidRPr="000D0DA3" w:rsidRDefault="000D0DA3" w:rsidP="006F0FAC">
      <w:pPr>
        <w:rPr>
          <w:rFonts w:cs="Calibri"/>
          <w:sz w:val="18"/>
          <w:szCs w:val="18"/>
          <w:lang/>
        </w:rPr>
      </w:pPr>
    </w:p>
    <w:tbl>
      <w:tblPr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0A0"/>
      </w:tblPr>
      <w:tblGrid>
        <w:gridCol w:w="2693"/>
        <w:gridCol w:w="7088"/>
      </w:tblGrid>
      <w:tr w:rsidR="006F0FAC" w:rsidRPr="000842AD" w:rsidTr="002B1663">
        <w:trPr>
          <w:trHeight w:val="482"/>
          <w:tblHeader/>
        </w:trPr>
        <w:tc>
          <w:tcPr>
            <w:tcW w:w="2693" w:type="dxa"/>
            <w:tcBorders>
              <w:bottom w:val="nil"/>
              <w:right w:val="nil"/>
            </w:tcBorders>
            <w:shd w:val="clear" w:color="auto" w:fill="BDD6EE" w:themeFill="accent1" w:themeFillTint="66"/>
          </w:tcPr>
          <w:p w:rsidR="006F0FAC" w:rsidRPr="000842AD" w:rsidRDefault="006F0FAC" w:rsidP="000842A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>Термин</w:t>
            </w:r>
          </w:p>
        </w:tc>
        <w:tc>
          <w:tcPr>
            <w:tcW w:w="7088" w:type="dxa"/>
            <w:shd w:val="clear" w:color="auto" w:fill="BDD6EE" w:themeFill="accent1" w:themeFillTint="66"/>
          </w:tcPr>
          <w:p w:rsidR="006F0FAC" w:rsidRPr="000842AD" w:rsidRDefault="006F0FAC" w:rsidP="000842A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>Определение</w:t>
            </w:r>
          </w:p>
        </w:tc>
      </w:tr>
      <w:tr w:rsidR="006F0FAC" w:rsidRPr="000842AD" w:rsidTr="000842AD">
        <w:trPr>
          <w:trHeight w:val="375"/>
        </w:trPr>
        <w:tc>
          <w:tcPr>
            <w:tcW w:w="2693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6F0FAC" w:rsidRPr="000842AD" w:rsidRDefault="006F0FAC" w:rsidP="003A13F3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>Стагнация</w:t>
            </w:r>
          </w:p>
        </w:tc>
        <w:tc>
          <w:tcPr>
            <w:tcW w:w="708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6F0FAC" w:rsidRPr="000842AD" w:rsidRDefault="006F0FAC" w:rsidP="000842AD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  <w:lang w:val="uz-Cyrl-UZ"/>
              </w:rPr>
              <w:t xml:space="preserve">Замедление или практическое неизменное состояние экономического процесса за </w:t>
            </w:r>
            <w:r w:rsidRPr="000842AD">
              <w:rPr>
                <w:rFonts w:cs="Calibri"/>
                <w:color w:val="000000"/>
              </w:rPr>
              <w:t>определенный период</w:t>
            </w:r>
          </w:p>
        </w:tc>
      </w:tr>
      <w:tr w:rsidR="006F0FAC" w:rsidRPr="000842AD" w:rsidTr="000842AD">
        <w:trPr>
          <w:trHeight w:val="750"/>
        </w:trPr>
        <w:tc>
          <w:tcPr>
            <w:tcW w:w="2693" w:type="dxa"/>
            <w:tcBorders>
              <w:right w:val="nil"/>
            </w:tcBorders>
            <w:shd w:val="clear" w:color="auto" w:fill="FFFFFF"/>
          </w:tcPr>
          <w:p w:rsidR="006F0FAC" w:rsidRPr="000842AD" w:rsidRDefault="006F0FAC" w:rsidP="002C291F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>Трансграничные денежные переводы</w:t>
            </w:r>
          </w:p>
        </w:tc>
        <w:tc>
          <w:tcPr>
            <w:tcW w:w="7088" w:type="dxa"/>
            <w:shd w:val="clear" w:color="auto" w:fill="auto"/>
          </w:tcPr>
          <w:p w:rsidR="006F0FAC" w:rsidRPr="000842AD" w:rsidRDefault="006F0FAC" w:rsidP="000842AD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bCs/>
                <w:color w:val="000000"/>
                <w:shd w:val="clear" w:color="auto" w:fill="FFFFFF"/>
              </w:rPr>
              <w:t>Перевод (движение) денежных средств</w:t>
            </w:r>
            <w:r w:rsidRPr="000842AD">
              <w:rPr>
                <w:rStyle w:val="apple-converted-space"/>
                <w:rFonts w:cs="Calibri"/>
                <w:color w:val="000000"/>
                <w:shd w:val="clear" w:color="auto" w:fill="FFFFFF"/>
              </w:rPr>
              <w:t> 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>от</w:t>
            </w:r>
            <w:r w:rsidR="00844B36" w:rsidRPr="000842AD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>отправителя к получателю через международные платежные системы с целью зачисления денежных средств на счет получателя или выдачи ему их в наличной форме.</w:t>
            </w:r>
          </w:p>
        </w:tc>
      </w:tr>
      <w:tr w:rsidR="006F0FAC" w:rsidRPr="000842AD" w:rsidTr="000842AD">
        <w:trPr>
          <w:trHeight w:val="375"/>
        </w:trPr>
        <w:tc>
          <w:tcPr>
            <w:tcW w:w="2693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6F0FAC" w:rsidRPr="000842AD" w:rsidRDefault="006F0FAC" w:rsidP="003A13F3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 xml:space="preserve">Факторные доходы </w:t>
            </w:r>
          </w:p>
        </w:tc>
        <w:tc>
          <w:tcPr>
            <w:tcW w:w="708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6F0FAC" w:rsidRPr="000842AD" w:rsidRDefault="006F0FAC" w:rsidP="000842AD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 xml:space="preserve">Доходы, получаемые от 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>эксплуатации ресурсов или факторов производства (земля, труд, капитал).</w:t>
            </w:r>
          </w:p>
        </w:tc>
      </w:tr>
      <w:tr w:rsidR="006F0FAC" w:rsidRPr="000842AD" w:rsidTr="000842AD">
        <w:trPr>
          <w:trHeight w:val="375"/>
        </w:trPr>
        <w:tc>
          <w:tcPr>
            <w:tcW w:w="2693" w:type="dxa"/>
            <w:tcBorders>
              <w:right w:val="nil"/>
            </w:tcBorders>
            <w:shd w:val="clear" w:color="auto" w:fill="FFFFFF"/>
          </w:tcPr>
          <w:p w:rsidR="006F0FAC" w:rsidRPr="000842AD" w:rsidRDefault="006F0FAC" w:rsidP="003A13F3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 xml:space="preserve">Внешнеторговый оборот </w:t>
            </w:r>
          </w:p>
        </w:tc>
        <w:tc>
          <w:tcPr>
            <w:tcW w:w="7088" w:type="dxa"/>
            <w:shd w:val="clear" w:color="auto" w:fill="auto"/>
          </w:tcPr>
          <w:p w:rsidR="006F0FAC" w:rsidRPr="000842AD" w:rsidRDefault="006F0FAC" w:rsidP="000842AD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>И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>змеряемый в денежном выражении экономический показатель, характеризующий объём</w:t>
            </w:r>
            <w:r w:rsidRPr="000842AD">
              <w:rPr>
                <w:rStyle w:val="apple-converted-space"/>
                <w:rFonts w:cs="Calibri"/>
                <w:color w:val="000000"/>
                <w:shd w:val="clear" w:color="auto" w:fill="FFFFFF"/>
              </w:rPr>
              <w:t xml:space="preserve"> 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>внешней торговли страны, группы стран или административно-территориального образования (региона) за определенный период времени: месяц,</w:t>
            </w:r>
            <w:r w:rsidRPr="000842AD">
              <w:rPr>
                <w:rStyle w:val="apple-converted-space"/>
                <w:rFonts w:cs="Calibri"/>
                <w:color w:val="000000"/>
                <w:shd w:val="clear" w:color="auto" w:fill="FFFFFF"/>
              </w:rPr>
              <w:t> 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>квартал,</w:t>
            </w:r>
            <w:r w:rsidRPr="000842AD">
              <w:rPr>
                <w:rStyle w:val="apple-converted-space"/>
                <w:rFonts w:cs="Calibri"/>
                <w:color w:val="000000"/>
                <w:shd w:val="clear" w:color="auto" w:fill="FFFFFF"/>
              </w:rPr>
              <w:t> 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>год. Равен сумме стоимостей экспорта и</w:t>
            </w:r>
            <w:r w:rsidRPr="000842AD">
              <w:rPr>
                <w:rStyle w:val="apple-converted-space"/>
                <w:rFonts w:cs="Calibri"/>
                <w:color w:val="000000"/>
                <w:shd w:val="clear" w:color="auto" w:fill="FFFFFF"/>
              </w:rPr>
              <w:t> 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>импорта</w:t>
            </w:r>
          </w:p>
        </w:tc>
      </w:tr>
      <w:tr w:rsidR="006F0FAC" w:rsidRPr="000842AD" w:rsidTr="000842AD">
        <w:trPr>
          <w:trHeight w:val="375"/>
        </w:trPr>
        <w:tc>
          <w:tcPr>
            <w:tcW w:w="2693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6F0FAC" w:rsidRPr="000842AD" w:rsidRDefault="006F0FAC" w:rsidP="003A13F3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 xml:space="preserve">Корректировки в платёжном балансе </w:t>
            </w:r>
          </w:p>
        </w:tc>
        <w:tc>
          <w:tcPr>
            <w:tcW w:w="708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6F0FAC" w:rsidRPr="000842AD" w:rsidRDefault="006F0FAC" w:rsidP="000D0DA3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 xml:space="preserve">Любые необходимые изменения охвата, классификации, времени отражения в учете и стоимостной оценки для приведения </w:t>
            </w:r>
            <w:r w:rsidR="000D0DA3">
              <w:rPr>
                <w:rFonts w:cs="Calibri"/>
                <w:color w:val="000000"/>
              </w:rPr>
              <w:t>данных</w:t>
            </w:r>
            <w:r w:rsidRPr="000842AD">
              <w:rPr>
                <w:rFonts w:cs="Calibri"/>
                <w:color w:val="000000"/>
              </w:rPr>
              <w:t xml:space="preserve"> в более близкое соответствие требованиям платежного баланса</w:t>
            </w:r>
          </w:p>
        </w:tc>
      </w:tr>
      <w:tr w:rsidR="006F0FAC" w:rsidRPr="000842AD" w:rsidTr="000842AD">
        <w:trPr>
          <w:trHeight w:val="375"/>
        </w:trPr>
        <w:tc>
          <w:tcPr>
            <w:tcW w:w="2693" w:type="dxa"/>
            <w:tcBorders>
              <w:right w:val="nil"/>
            </w:tcBorders>
            <w:shd w:val="clear" w:color="auto" w:fill="FFFFFF"/>
          </w:tcPr>
          <w:p w:rsidR="006F0FAC" w:rsidRPr="000842AD" w:rsidRDefault="006F0FAC" w:rsidP="003A13F3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>Челночная торговля</w:t>
            </w:r>
          </w:p>
        </w:tc>
        <w:tc>
          <w:tcPr>
            <w:tcW w:w="7088" w:type="dxa"/>
            <w:shd w:val="clear" w:color="auto" w:fill="auto"/>
          </w:tcPr>
          <w:p w:rsidR="006F0FAC" w:rsidRPr="000842AD" w:rsidRDefault="006F0FAC" w:rsidP="000842AD">
            <w:pPr>
              <w:shd w:val="clear" w:color="auto" w:fill="F8F9FA"/>
              <w:spacing w:before="100" w:beforeAutospacing="1" w:after="24"/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>Означа</w:t>
            </w:r>
            <w:r w:rsidR="00DC5648" w:rsidRPr="000842AD">
              <w:rPr>
                <w:rFonts w:cs="Calibri"/>
                <w:color w:val="000000"/>
              </w:rPr>
              <w:t>е</w:t>
            </w:r>
            <w:r w:rsidRPr="000842AD">
              <w:rPr>
                <w:rFonts w:cs="Calibri"/>
                <w:color w:val="000000"/>
              </w:rPr>
              <w:t>т операции по покупке товаров для перепродажи в стране (либо за её пределами) лицами, находящимся в поездке</w:t>
            </w:r>
          </w:p>
        </w:tc>
      </w:tr>
      <w:tr w:rsidR="006F0FAC" w:rsidRPr="000842AD" w:rsidTr="000842AD">
        <w:trPr>
          <w:trHeight w:val="375"/>
        </w:trPr>
        <w:tc>
          <w:tcPr>
            <w:tcW w:w="2693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6F0FAC" w:rsidRPr="000842AD" w:rsidRDefault="006F0FAC" w:rsidP="003A13F3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>Экспорт FOB</w:t>
            </w:r>
          </w:p>
        </w:tc>
        <w:tc>
          <w:tcPr>
            <w:tcW w:w="708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6F0FAC" w:rsidRPr="000842AD" w:rsidRDefault="006F0FAC" w:rsidP="000842AD">
            <w:pPr>
              <w:jc w:val="both"/>
              <w:rPr>
                <w:rFonts w:cs="Calibri"/>
                <w:color w:val="000000"/>
                <w:shd w:val="clear" w:color="auto" w:fill="FFFFFF"/>
              </w:rPr>
            </w:pPr>
            <w:r w:rsidRPr="000842AD">
              <w:rPr>
                <w:rFonts w:cs="Calibri"/>
                <w:color w:val="000000"/>
                <w:shd w:val="clear" w:color="auto" w:fill="FFFFFF"/>
              </w:rPr>
              <w:t xml:space="preserve">Международный торговый термин </w:t>
            </w:r>
            <w:hyperlink r:id="rId21" w:tooltip="Инкотермс" w:history="1">
              <w:r w:rsidRPr="000842AD">
                <w:rPr>
                  <w:rStyle w:val="af0"/>
                  <w:rFonts w:cs="Calibri"/>
                  <w:color w:val="000000"/>
                  <w:shd w:val="clear" w:color="auto" w:fill="FFFFFF"/>
                </w:rPr>
                <w:t>Инкотермс</w:t>
              </w:r>
            </w:hyperlink>
            <w:r w:rsidR="00DC5648" w:rsidRPr="000842AD">
              <w:rPr>
                <w:rFonts w:cs="Calibri"/>
                <w:color w:val="000000"/>
              </w:rPr>
              <w:t>, который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 xml:space="preserve"> обозначает</w:t>
            </w:r>
            <w:r w:rsidR="00844B36" w:rsidRPr="000842AD">
              <w:rPr>
                <w:rFonts w:cs="Calibri"/>
                <w:color w:val="000000"/>
                <w:shd w:val="clear" w:color="auto" w:fill="FFFFFF"/>
              </w:rPr>
              <w:t>,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 xml:space="preserve"> что продавец обязан доставить товар в порт и погрузить на указанное покупателем судно; расходы по доставке товара на борт судна ложатся на продавца. </w:t>
            </w:r>
          </w:p>
        </w:tc>
      </w:tr>
      <w:tr w:rsidR="006F0FAC" w:rsidRPr="000842AD" w:rsidTr="000842AD">
        <w:trPr>
          <w:trHeight w:val="375"/>
        </w:trPr>
        <w:tc>
          <w:tcPr>
            <w:tcW w:w="2693" w:type="dxa"/>
            <w:tcBorders>
              <w:right w:val="nil"/>
            </w:tcBorders>
            <w:shd w:val="clear" w:color="auto" w:fill="FFFFFF"/>
          </w:tcPr>
          <w:p w:rsidR="006F0FAC" w:rsidRPr="000842AD" w:rsidRDefault="006F0FAC" w:rsidP="003A13F3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>Импорт CIF</w:t>
            </w:r>
          </w:p>
        </w:tc>
        <w:tc>
          <w:tcPr>
            <w:tcW w:w="7088" w:type="dxa"/>
            <w:shd w:val="clear" w:color="auto" w:fill="auto"/>
          </w:tcPr>
          <w:p w:rsidR="006F0FAC" w:rsidRPr="000842AD" w:rsidRDefault="006F0FAC" w:rsidP="000842AD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  <w:shd w:val="clear" w:color="auto" w:fill="FFFFFF"/>
              </w:rPr>
              <w:t xml:space="preserve">Международный торговый термин </w:t>
            </w:r>
            <w:hyperlink r:id="rId22" w:tooltip="Инкотермс" w:history="1">
              <w:r w:rsidRPr="000842AD">
                <w:rPr>
                  <w:rStyle w:val="af0"/>
                  <w:rFonts w:cs="Calibri"/>
                  <w:color w:val="000000"/>
                  <w:shd w:val="clear" w:color="auto" w:fill="FFFFFF"/>
                </w:rPr>
                <w:t>Инкотермс</w:t>
              </w:r>
            </w:hyperlink>
            <w:r w:rsidR="00DC5648" w:rsidRPr="000842AD">
              <w:rPr>
                <w:rFonts w:cs="Calibri"/>
                <w:color w:val="000000"/>
              </w:rPr>
              <w:t>,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="00DC5648" w:rsidRPr="000842AD">
              <w:rPr>
                <w:rFonts w:cs="Calibri"/>
                <w:color w:val="000000"/>
                <w:shd w:val="clear" w:color="auto" w:fill="FFFFFF"/>
              </w:rPr>
              <w:t xml:space="preserve">который 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>обозначает, что продавец выполнил поставку, когда товар погружен на транспортное средство в порту отгрузки, а продажная цена включает в себя стоимость товара, фрахт или транспортные расходы, а также стоимость страховки при перевозке.</w:t>
            </w:r>
          </w:p>
        </w:tc>
      </w:tr>
      <w:tr w:rsidR="006F0FAC" w:rsidRPr="000842AD" w:rsidTr="000842AD">
        <w:trPr>
          <w:trHeight w:val="375"/>
        </w:trPr>
        <w:tc>
          <w:tcPr>
            <w:tcW w:w="2693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6F0FAC" w:rsidRPr="000842AD" w:rsidRDefault="006F0FAC" w:rsidP="003A13F3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>Товары в портах</w:t>
            </w:r>
          </w:p>
        </w:tc>
        <w:tc>
          <w:tcPr>
            <w:tcW w:w="708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6F0FAC" w:rsidRPr="000842AD" w:rsidRDefault="006F0FAC" w:rsidP="000842AD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>Товары, закупаемые в портах перевозчиками-нерезидентами. Включает в себе товары такие, как топливо, провизия, запасы, балласт, крепежные материалы и т.д</w:t>
            </w:r>
            <w:r w:rsidR="00F53694" w:rsidRPr="000842AD">
              <w:rPr>
                <w:rFonts w:cs="Calibri"/>
                <w:color w:val="000000"/>
              </w:rPr>
              <w:t>.</w:t>
            </w:r>
          </w:p>
        </w:tc>
      </w:tr>
      <w:tr w:rsidR="006F0FAC" w:rsidRPr="000842AD" w:rsidTr="000842AD">
        <w:trPr>
          <w:trHeight w:val="375"/>
        </w:trPr>
        <w:tc>
          <w:tcPr>
            <w:tcW w:w="2693" w:type="dxa"/>
            <w:tcBorders>
              <w:right w:val="nil"/>
            </w:tcBorders>
            <w:shd w:val="clear" w:color="auto" w:fill="FFFFFF"/>
          </w:tcPr>
          <w:p w:rsidR="006F0FAC" w:rsidRPr="000842AD" w:rsidRDefault="006F0FAC" w:rsidP="003A13F3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>Немонетарное золото</w:t>
            </w:r>
          </w:p>
        </w:tc>
        <w:tc>
          <w:tcPr>
            <w:tcW w:w="7088" w:type="dxa"/>
            <w:shd w:val="clear" w:color="auto" w:fill="auto"/>
          </w:tcPr>
          <w:p w:rsidR="006F0FAC" w:rsidRPr="000842AD" w:rsidRDefault="006F0FAC" w:rsidP="000842AD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>Включает вс</w:t>
            </w:r>
            <w:r w:rsidR="00E277B8" w:rsidRPr="000842AD">
              <w:rPr>
                <w:rFonts w:cs="Calibri"/>
                <w:color w:val="000000"/>
              </w:rPr>
              <w:t>ё</w:t>
            </w:r>
            <w:r w:rsidRPr="000842AD">
              <w:rPr>
                <w:rFonts w:cs="Calibri"/>
                <w:color w:val="000000"/>
              </w:rPr>
              <w:t xml:space="preserve"> золото, помимо монетарного (золотых слитков, принадлежащих орган</w:t>
            </w:r>
            <w:r w:rsidR="004C2A19" w:rsidRPr="000842AD">
              <w:rPr>
                <w:rFonts w:cs="Calibri"/>
                <w:color w:val="000000"/>
              </w:rPr>
              <w:t>а</w:t>
            </w:r>
            <w:r w:rsidRPr="000842AD">
              <w:rPr>
                <w:rFonts w:cs="Calibri"/>
                <w:color w:val="000000"/>
              </w:rPr>
              <w:t>м денежно-кредитного регулирования и хранимых в качестве резервных активов). Не включа</w:t>
            </w:r>
            <w:r w:rsidR="00E277B8" w:rsidRPr="000842AD">
              <w:rPr>
                <w:rFonts w:cs="Calibri"/>
                <w:color w:val="000000"/>
              </w:rPr>
              <w:t>ю</w:t>
            </w:r>
            <w:r w:rsidRPr="000842AD">
              <w:rPr>
                <w:rFonts w:cs="Calibri"/>
                <w:color w:val="000000"/>
              </w:rPr>
              <w:t>тся ювелирные изделия, части и т.п., которые содержат золото</w:t>
            </w:r>
            <w:r w:rsidR="000D0DA3">
              <w:rPr>
                <w:rFonts w:cs="Calibri"/>
                <w:color w:val="000000"/>
              </w:rPr>
              <w:t xml:space="preserve"> </w:t>
            </w:r>
            <w:r w:rsidRPr="000842AD">
              <w:rPr>
                <w:rFonts w:cs="Calibri"/>
                <w:color w:val="000000"/>
              </w:rPr>
              <w:t xml:space="preserve">- они отражаются в составе экспорта и импорта товаров. </w:t>
            </w:r>
          </w:p>
        </w:tc>
      </w:tr>
      <w:tr w:rsidR="006F0FAC" w:rsidRPr="000842AD" w:rsidTr="000842AD">
        <w:trPr>
          <w:trHeight w:val="750"/>
        </w:trPr>
        <w:tc>
          <w:tcPr>
            <w:tcW w:w="2693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6F0FAC" w:rsidRPr="000842AD" w:rsidRDefault="006F0FAC" w:rsidP="003A13F3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 xml:space="preserve">Специальные права заимствования </w:t>
            </w:r>
          </w:p>
        </w:tc>
        <w:tc>
          <w:tcPr>
            <w:tcW w:w="708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6F0FAC" w:rsidRPr="000842AD" w:rsidRDefault="006F0FAC" w:rsidP="000842AD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>Международные резервные активы, созданные МВФ и выделяемые со стороны МВФ членам для поддержания официальных резервов.</w:t>
            </w:r>
          </w:p>
        </w:tc>
      </w:tr>
      <w:tr w:rsidR="00985BE3" w:rsidRPr="000842AD" w:rsidTr="000842AD">
        <w:trPr>
          <w:trHeight w:val="750"/>
        </w:trPr>
        <w:tc>
          <w:tcPr>
            <w:tcW w:w="2693" w:type="dxa"/>
            <w:tcBorders>
              <w:right w:val="nil"/>
            </w:tcBorders>
            <w:shd w:val="clear" w:color="auto" w:fill="FFFFFF"/>
          </w:tcPr>
          <w:p w:rsidR="00985BE3" w:rsidRPr="000842AD" w:rsidRDefault="00985BE3" w:rsidP="00985BE3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 xml:space="preserve">Международная инвестиционная позиция </w:t>
            </w:r>
          </w:p>
        </w:tc>
        <w:tc>
          <w:tcPr>
            <w:tcW w:w="7088" w:type="dxa"/>
            <w:shd w:val="clear" w:color="auto" w:fill="auto"/>
          </w:tcPr>
          <w:p w:rsidR="00985BE3" w:rsidRPr="000842AD" w:rsidRDefault="00985BE3" w:rsidP="000842AD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  <w:shd w:val="clear" w:color="auto" w:fill="FFFFFF"/>
              </w:rPr>
              <w:t>Международная</w:t>
            </w:r>
            <w:r w:rsidRPr="000842AD">
              <w:rPr>
                <w:rStyle w:val="apple-converted-space"/>
                <w:rFonts w:cs="Calibri"/>
                <w:color w:val="000000"/>
                <w:shd w:val="clear" w:color="auto" w:fill="FFFFFF"/>
              </w:rPr>
              <w:t> </w:t>
            </w:r>
            <w:r w:rsidRPr="000842AD">
              <w:rPr>
                <w:rFonts w:cs="Calibri"/>
                <w:bCs/>
                <w:color w:val="000000"/>
                <w:shd w:val="clear" w:color="auto" w:fill="FFFFFF"/>
              </w:rPr>
              <w:t>инвестиционная позиция</w:t>
            </w:r>
            <w:r w:rsidRPr="000842AD">
              <w:rPr>
                <w:rStyle w:val="apple-converted-space"/>
                <w:rFonts w:cs="Calibri"/>
                <w:color w:val="000000"/>
                <w:shd w:val="clear" w:color="auto" w:fill="FFFFFF"/>
              </w:rPr>
              <w:t> </w:t>
            </w:r>
            <w:r w:rsidRPr="000842AD">
              <w:rPr>
                <w:rFonts w:cs="Calibri"/>
                <w:color w:val="000000"/>
                <w:shd w:val="clear" w:color="auto" w:fill="FFFFFF"/>
              </w:rPr>
              <w:t>(МИП) — макроэкономическое понятие, обозначающее общий объём и структуру финансовых активов и обязательств страны перед нерезидентами.</w:t>
            </w:r>
          </w:p>
        </w:tc>
      </w:tr>
      <w:tr w:rsidR="00985BE3" w:rsidRPr="000842AD" w:rsidTr="000842AD">
        <w:trPr>
          <w:trHeight w:val="750"/>
        </w:trPr>
        <w:tc>
          <w:tcPr>
            <w:tcW w:w="2693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985BE3" w:rsidRPr="000842AD" w:rsidRDefault="00985BE3" w:rsidP="00985BE3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lastRenderedPageBreak/>
              <w:t xml:space="preserve">Соглашение о разделе продукции (СРП) </w:t>
            </w:r>
          </w:p>
        </w:tc>
        <w:tc>
          <w:tcPr>
            <w:tcW w:w="708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985BE3" w:rsidRPr="000842AD" w:rsidRDefault="00985BE3" w:rsidP="000842AD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>Договор, в соответствии с которым страна пребывания предоставляет иностранному инвестору  на возмездной основе и на определенный срок исключительные права на поиски, разведку месторождений и добычу полезных ископаемых на участке недр, указанном в соглашении, и на ведение связанных с этим работ, а инвестор обязуется осуществить проведение указанных работ за свой счет и на свой риск.</w:t>
            </w:r>
          </w:p>
        </w:tc>
      </w:tr>
      <w:tr w:rsidR="00985BE3" w:rsidRPr="000842AD" w:rsidTr="000842AD">
        <w:trPr>
          <w:trHeight w:val="375"/>
        </w:trPr>
        <w:tc>
          <w:tcPr>
            <w:tcW w:w="2693" w:type="dxa"/>
            <w:tcBorders>
              <w:right w:val="nil"/>
            </w:tcBorders>
            <w:shd w:val="clear" w:color="auto" w:fill="FFFFFF"/>
          </w:tcPr>
          <w:p w:rsidR="00985BE3" w:rsidRPr="000842AD" w:rsidRDefault="00985BE3" w:rsidP="00985BE3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 xml:space="preserve">Чистый кредитор </w:t>
            </w:r>
          </w:p>
        </w:tc>
        <w:tc>
          <w:tcPr>
            <w:tcW w:w="7088" w:type="dxa"/>
            <w:shd w:val="clear" w:color="auto" w:fill="auto"/>
          </w:tcPr>
          <w:p w:rsidR="00985BE3" w:rsidRPr="000842AD" w:rsidRDefault="00985BE3" w:rsidP="000842AD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>Экономический субъект, у которого активы превышают обязательства</w:t>
            </w:r>
          </w:p>
        </w:tc>
      </w:tr>
      <w:tr w:rsidR="00985BE3" w:rsidRPr="000842AD" w:rsidTr="000842AD">
        <w:trPr>
          <w:trHeight w:val="375"/>
        </w:trPr>
        <w:tc>
          <w:tcPr>
            <w:tcW w:w="2693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:rsidR="00985BE3" w:rsidRPr="000842AD" w:rsidRDefault="00985BE3" w:rsidP="00985BE3">
            <w:pPr>
              <w:rPr>
                <w:rFonts w:cs="Calibri"/>
                <w:b/>
                <w:bCs/>
                <w:color w:val="000000"/>
              </w:rPr>
            </w:pPr>
            <w:r w:rsidRPr="000842AD">
              <w:rPr>
                <w:rFonts w:cs="Calibri"/>
                <w:b/>
                <w:bCs/>
                <w:color w:val="000000"/>
              </w:rPr>
              <w:t xml:space="preserve">Чистый заёмщик </w:t>
            </w:r>
          </w:p>
        </w:tc>
        <w:tc>
          <w:tcPr>
            <w:tcW w:w="708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:rsidR="00985BE3" w:rsidRPr="000842AD" w:rsidRDefault="00985BE3" w:rsidP="000842AD">
            <w:pPr>
              <w:jc w:val="both"/>
              <w:rPr>
                <w:rFonts w:cs="Calibri"/>
                <w:color w:val="000000"/>
              </w:rPr>
            </w:pPr>
            <w:r w:rsidRPr="000842AD">
              <w:rPr>
                <w:rFonts w:cs="Calibri"/>
                <w:color w:val="000000"/>
              </w:rPr>
              <w:t>Экономический субъект, у которого обязательства превышают активы</w:t>
            </w:r>
          </w:p>
        </w:tc>
      </w:tr>
    </w:tbl>
    <w:p w:rsidR="000860D7" w:rsidRPr="009E6965" w:rsidRDefault="007E5962" w:rsidP="00624CD9">
      <w:pPr>
        <w:pStyle w:val="1"/>
        <w:spacing w:before="120"/>
        <w:rPr>
          <w:rFonts w:ascii="Calibri" w:hAnsi="Calibri" w:cs="Calibri"/>
        </w:rPr>
      </w:pPr>
      <w:r>
        <w:rPr>
          <w:rFonts w:cs="Arial"/>
        </w:rPr>
        <w:br w:type="page"/>
      </w:r>
      <w:bookmarkStart w:id="3" w:name="_Toc35458603"/>
      <w:r w:rsidR="000860D7" w:rsidRPr="009E6965">
        <w:rPr>
          <w:rFonts w:ascii="Calibri" w:hAnsi="Calibri" w:cs="Calibri"/>
          <w:lang w:val="en-US"/>
        </w:rPr>
        <w:lastRenderedPageBreak/>
        <w:t>I</w:t>
      </w:r>
      <w:r w:rsidR="000860D7" w:rsidRPr="009E6965">
        <w:rPr>
          <w:rFonts w:ascii="Calibri" w:hAnsi="Calibri" w:cs="Calibri"/>
        </w:rPr>
        <w:t>.</w:t>
      </w:r>
      <w:r w:rsidR="000860D7" w:rsidRPr="009E6965">
        <w:rPr>
          <w:rFonts w:ascii="Calibri" w:hAnsi="Calibri" w:cs="Calibri"/>
          <w:lang w:val="en-US"/>
        </w:rPr>
        <w:t> </w:t>
      </w:r>
      <w:r w:rsidR="000860D7" w:rsidRPr="009E6965">
        <w:rPr>
          <w:rFonts w:ascii="Calibri" w:hAnsi="Calibri" w:cs="Calibri"/>
        </w:rPr>
        <w:t>ПЛАТЁЖНЫЙ БАЛАНС РЕСПУБЛИКИ УЗБЕКИСТАН</w:t>
      </w:r>
      <w:bookmarkEnd w:id="3"/>
    </w:p>
    <w:p w:rsidR="00937BB8" w:rsidRPr="00937BB8" w:rsidRDefault="00937BB8" w:rsidP="00937BB8">
      <w:pPr>
        <w:spacing w:before="120" w:line="288" w:lineRule="auto"/>
        <w:ind w:firstLine="709"/>
        <w:jc w:val="both"/>
        <w:rPr>
          <w:sz w:val="10"/>
          <w:szCs w:val="10"/>
          <w:lang w:val="uz-Cyrl-UZ"/>
        </w:rPr>
      </w:pPr>
    </w:p>
    <w:p w:rsidR="00937BB8" w:rsidRDefault="00937BB8" w:rsidP="00937BB8">
      <w:pPr>
        <w:spacing w:before="120" w:line="288" w:lineRule="auto"/>
        <w:ind w:firstLine="709"/>
        <w:jc w:val="both"/>
        <w:rPr>
          <w:sz w:val="26"/>
          <w:szCs w:val="26"/>
          <w:lang w:val="uz-Cyrl-UZ"/>
        </w:rPr>
      </w:pPr>
      <w:r w:rsidRPr="00633F04">
        <w:rPr>
          <w:sz w:val="26"/>
          <w:szCs w:val="26"/>
          <w:lang w:val="uz-Cyrl-UZ"/>
        </w:rPr>
        <w:t>В 201</w:t>
      </w:r>
      <w:r>
        <w:rPr>
          <w:sz w:val="26"/>
          <w:szCs w:val="26"/>
          <w:lang w:val="uz-Cyrl-UZ"/>
        </w:rPr>
        <w:t>9</w:t>
      </w:r>
      <w:r w:rsidRPr="00633F04">
        <w:rPr>
          <w:sz w:val="26"/>
          <w:szCs w:val="26"/>
          <w:lang w:val="uz-Cyrl-UZ"/>
        </w:rPr>
        <w:t xml:space="preserve"> году состояние платёжного баланса Республики Узбекистан складывалось под воздействием </w:t>
      </w:r>
      <w:r>
        <w:rPr>
          <w:sz w:val="26"/>
          <w:szCs w:val="26"/>
          <w:lang w:val="uz-Cyrl-UZ"/>
        </w:rPr>
        <w:t>внутренних и</w:t>
      </w:r>
      <w:r w:rsidRPr="00633F04">
        <w:rPr>
          <w:sz w:val="26"/>
          <w:szCs w:val="26"/>
          <w:lang w:val="uz-Cyrl-UZ"/>
        </w:rPr>
        <w:t xml:space="preserve"> внешних факторов.</w:t>
      </w:r>
    </w:p>
    <w:p w:rsidR="00937BB8" w:rsidRDefault="00937BB8" w:rsidP="00937BB8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633F04">
        <w:rPr>
          <w:sz w:val="26"/>
          <w:szCs w:val="26"/>
        </w:rPr>
        <w:t>Внутренними факторами, оказавшими влияние на состояние платёжного баланса в 201</w:t>
      </w:r>
      <w:r>
        <w:rPr>
          <w:sz w:val="26"/>
          <w:szCs w:val="26"/>
        </w:rPr>
        <w:t>9</w:t>
      </w:r>
      <w:r w:rsidRPr="00633F04">
        <w:rPr>
          <w:sz w:val="26"/>
          <w:szCs w:val="26"/>
        </w:rPr>
        <w:t xml:space="preserve"> году,</w:t>
      </w:r>
      <w:r>
        <w:rPr>
          <w:sz w:val="26"/>
          <w:szCs w:val="26"/>
        </w:rPr>
        <w:t xml:space="preserve"> как и в 2018 году</w:t>
      </w:r>
      <w:r w:rsidRPr="00633F04">
        <w:rPr>
          <w:sz w:val="26"/>
          <w:szCs w:val="26"/>
        </w:rPr>
        <w:t xml:space="preserve"> </w:t>
      </w:r>
      <w:r w:rsidRPr="001160FE">
        <w:rPr>
          <w:sz w:val="26"/>
          <w:szCs w:val="26"/>
        </w:rPr>
        <w:t>являлись высокие объёмы кредитования</w:t>
      </w:r>
      <w:r w:rsidRPr="00633F04">
        <w:rPr>
          <w:sz w:val="26"/>
          <w:szCs w:val="26"/>
        </w:rPr>
        <w:t xml:space="preserve"> экономики, связанн</w:t>
      </w:r>
      <w:r>
        <w:rPr>
          <w:sz w:val="26"/>
          <w:szCs w:val="26"/>
        </w:rPr>
        <w:t>ые</w:t>
      </w:r>
      <w:r w:rsidRPr="00633F04">
        <w:rPr>
          <w:sz w:val="26"/>
          <w:szCs w:val="26"/>
        </w:rPr>
        <w:t xml:space="preserve"> с ускоренной реализацией государственных </w:t>
      </w:r>
      <w:r w:rsidRPr="00F824DC">
        <w:rPr>
          <w:sz w:val="26"/>
          <w:szCs w:val="26"/>
        </w:rPr>
        <w:t>программ по развитию территорий, увеличение объёмов внешних заимствований и инвестиций.</w:t>
      </w:r>
    </w:p>
    <w:p w:rsidR="00937BB8" w:rsidRDefault="00937BB8" w:rsidP="00937BB8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633F04">
        <w:rPr>
          <w:sz w:val="26"/>
          <w:szCs w:val="26"/>
        </w:rPr>
        <w:t xml:space="preserve">Внешними факторами являлись </w:t>
      </w:r>
      <w:r>
        <w:rPr>
          <w:sz w:val="26"/>
          <w:szCs w:val="26"/>
        </w:rPr>
        <w:t xml:space="preserve">позитивная </w:t>
      </w:r>
      <w:r w:rsidRPr="00633F04">
        <w:rPr>
          <w:sz w:val="26"/>
          <w:szCs w:val="26"/>
        </w:rPr>
        <w:t xml:space="preserve">динамика мировых цен на сырьевые товары, а также </w:t>
      </w:r>
      <w:r>
        <w:rPr>
          <w:sz w:val="26"/>
          <w:szCs w:val="26"/>
        </w:rPr>
        <w:t>увеличени</w:t>
      </w:r>
      <w:r w:rsidR="006F6E05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1233E8">
        <w:rPr>
          <w:sz w:val="26"/>
          <w:szCs w:val="26"/>
        </w:rPr>
        <w:t xml:space="preserve">объёмов </w:t>
      </w:r>
      <w:r w:rsidRPr="00633F04">
        <w:rPr>
          <w:sz w:val="26"/>
          <w:szCs w:val="26"/>
        </w:rPr>
        <w:t>поступ</w:t>
      </w:r>
      <w:r>
        <w:rPr>
          <w:sz w:val="26"/>
          <w:szCs w:val="26"/>
        </w:rPr>
        <w:t>лений</w:t>
      </w:r>
      <w:r w:rsidRPr="00633F04">
        <w:rPr>
          <w:sz w:val="26"/>
          <w:szCs w:val="26"/>
        </w:rPr>
        <w:t xml:space="preserve"> </w:t>
      </w:r>
      <w:r w:rsidR="002C291F">
        <w:rPr>
          <w:sz w:val="26"/>
          <w:szCs w:val="26"/>
        </w:rPr>
        <w:t>международных</w:t>
      </w:r>
      <w:r>
        <w:rPr>
          <w:sz w:val="26"/>
          <w:szCs w:val="26"/>
        </w:rPr>
        <w:t xml:space="preserve"> денежных переводов</w:t>
      </w:r>
      <w:r w:rsidRPr="00633F04">
        <w:rPr>
          <w:sz w:val="26"/>
          <w:szCs w:val="26"/>
        </w:rPr>
        <w:t>.</w:t>
      </w:r>
    </w:p>
    <w:p w:rsidR="00937BB8" w:rsidRDefault="00937BB8" w:rsidP="00937BB8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633F04">
        <w:rPr>
          <w:sz w:val="26"/>
          <w:szCs w:val="26"/>
        </w:rPr>
        <w:t>С учётом</w:t>
      </w:r>
      <w:r>
        <w:rPr>
          <w:sz w:val="26"/>
          <w:szCs w:val="26"/>
        </w:rPr>
        <w:t xml:space="preserve"> влияния </w:t>
      </w:r>
      <w:r w:rsidR="002C291F">
        <w:rPr>
          <w:sz w:val="26"/>
          <w:szCs w:val="26"/>
          <w:lang w:val="uz-Cyrl-UZ"/>
        </w:rPr>
        <w:t>внутренних и</w:t>
      </w:r>
      <w:r w:rsidR="002C291F" w:rsidRPr="00633F04">
        <w:rPr>
          <w:sz w:val="26"/>
          <w:szCs w:val="26"/>
          <w:lang w:val="uz-Cyrl-UZ"/>
        </w:rPr>
        <w:t xml:space="preserve"> внешних факторов</w:t>
      </w:r>
      <w:r w:rsidR="002C291F">
        <w:rPr>
          <w:sz w:val="26"/>
          <w:szCs w:val="26"/>
          <w:lang w:val="uz-Cyrl-UZ"/>
        </w:rPr>
        <w:t xml:space="preserve"> </w:t>
      </w:r>
      <w:r w:rsidRPr="00FE109F">
        <w:rPr>
          <w:sz w:val="26"/>
          <w:szCs w:val="26"/>
        </w:rPr>
        <w:t xml:space="preserve">дефицит счёта текущих операций </w:t>
      </w:r>
      <w:r w:rsidR="002C291F">
        <w:rPr>
          <w:sz w:val="26"/>
          <w:szCs w:val="26"/>
        </w:rPr>
        <w:t>по итогам</w:t>
      </w:r>
      <w:r w:rsidRPr="00FE109F">
        <w:rPr>
          <w:sz w:val="26"/>
          <w:szCs w:val="26"/>
        </w:rPr>
        <w:t xml:space="preserve"> 2019 год</w:t>
      </w:r>
      <w:r w:rsidR="002C291F">
        <w:rPr>
          <w:sz w:val="26"/>
          <w:szCs w:val="26"/>
        </w:rPr>
        <w:t>а</w:t>
      </w:r>
      <w:r w:rsidRPr="00FE109F">
        <w:rPr>
          <w:sz w:val="26"/>
          <w:szCs w:val="26"/>
        </w:rPr>
        <w:t xml:space="preserve"> составил </w:t>
      </w:r>
      <w:r w:rsidR="00704FB5" w:rsidRPr="002419EE">
        <w:rPr>
          <w:sz w:val="26"/>
          <w:szCs w:val="26"/>
        </w:rPr>
        <w:t>3</w:t>
      </w:r>
      <w:r w:rsidR="00704FB5" w:rsidRPr="002419EE">
        <w:rPr>
          <w:sz w:val="26"/>
          <w:szCs w:val="26"/>
          <w:lang w:val="uz-Cyrl-UZ"/>
        </w:rPr>
        <w:t>,2</w:t>
      </w:r>
      <w:r w:rsidR="002C291F">
        <w:rPr>
          <w:sz w:val="26"/>
          <w:szCs w:val="26"/>
        </w:rPr>
        <w:t xml:space="preserve"> млрд. </w:t>
      </w:r>
      <w:r w:rsidR="00CB46CA" w:rsidRPr="00633F04">
        <w:rPr>
          <w:sz w:val="26"/>
          <w:szCs w:val="26"/>
        </w:rPr>
        <w:t>долларов США (далее – долл.)</w:t>
      </w:r>
      <w:r w:rsidR="00CB46CA" w:rsidRPr="00CB46CA">
        <w:rPr>
          <w:sz w:val="26"/>
          <w:szCs w:val="26"/>
        </w:rPr>
        <w:t xml:space="preserve"> </w:t>
      </w:r>
      <w:r w:rsidR="002C291F">
        <w:rPr>
          <w:sz w:val="26"/>
          <w:szCs w:val="26"/>
        </w:rPr>
        <w:t xml:space="preserve">или </w:t>
      </w:r>
      <w:r w:rsidR="00CB46CA">
        <w:rPr>
          <w:sz w:val="26"/>
          <w:szCs w:val="26"/>
        </w:rPr>
        <w:br/>
      </w:r>
      <w:r w:rsidR="001D5F39">
        <w:rPr>
          <w:sz w:val="26"/>
          <w:szCs w:val="26"/>
        </w:rPr>
        <w:t>5,6</w:t>
      </w:r>
      <w:r w:rsidRPr="00FE109F">
        <w:rPr>
          <w:sz w:val="26"/>
          <w:szCs w:val="26"/>
        </w:rPr>
        <w:t xml:space="preserve">% </w:t>
      </w:r>
      <w:r w:rsidR="002C291F" w:rsidRPr="00717354">
        <w:rPr>
          <w:sz w:val="26"/>
          <w:szCs w:val="26"/>
        </w:rPr>
        <w:t>к</w:t>
      </w:r>
      <w:r w:rsidR="002C291F">
        <w:rPr>
          <w:sz w:val="26"/>
          <w:szCs w:val="26"/>
        </w:rPr>
        <w:t xml:space="preserve"> </w:t>
      </w:r>
      <w:r w:rsidR="002C291F" w:rsidRPr="002C291F">
        <w:rPr>
          <w:sz w:val="26"/>
          <w:szCs w:val="26"/>
        </w:rPr>
        <w:t>внутреннему валовому продукту</w:t>
      </w:r>
      <w:r w:rsidR="002C291F" w:rsidRPr="00FE109F">
        <w:rPr>
          <w:sz w:val="26"/>
          <w:szCs w:val="26"/>
        </w:rPr>
        <w:t xml:space="preserve"> (далее – ВВП)</w:t>
      </w:r>
      <w:r w:rsidRPr="00633F04">
        <w:rPr>
          <w:sz w:val="26"/>
          <w:szCs w:val="26"/>
        </w:rPr>
        <w:t xml:space="preserve"> </w:t>
      </w:r>
      <w:r w:rsidRPr="00A9442E">
        <w:rPr>
          <w:color w:val="0070C0"/>
          <w:sz w:val="26"/>
          <w:szCs w:val="26"/>
        </w:rPr>
        <w:t>(Таблица 1)</w:t>
      </w:r>
      <w:r w:rsidR="002C291F">
        <w:rPr>
          <w:sz w:val="26"/>
          <w:szCs w:val="26"/>
        </w:rPr>
        <w:t>.</w:t>
      </w:r>
    </w:p>
    <w:p w:rsidR="00937BB8" w:rsidRDefault="00937BB8" w:rsidP="00937BB8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633F04">
        <w:rPr>
          <w:sz w:val="26"/>
          <w:szCs w:val="26"/>
        </w:rPr>
        <w:t>Дефицит текущего счёта финансировался притоком капитала по финансовому счёту, в частности увеличением внешних заимствований, ростом кредитования экономики Узбекистана и иностранными инвестициями.</w:t>
      </w:r>
    </w:p>
    <w:p w:rsidR="00937BB8" w:rsidRPr="00CA7221" w:rsidRDefault="00937BB8" w:rsidP="00937BB8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633F04">
        <w:rPr>
          <w:sz w:val="26"/>
          <w:szCs w:val="26"/>
        </w:rPr>
        <w:t xml:space="preserve">Чистые внешние заимствования </w:t>
      </w:r>
      <w:r>
        <w:rPr>
          <w:sz w:val="26"/>
          <w:szCs w:val="26"/>
        </w:rPr>
        <w:t xml:space="preserve">в форме кредитов и займов </w:t>
      </w:r>
      <w:r w:rsidRPr="00633F04">
        <w:rPr>
          <w:sz w:val="26"/>
          <w:szCs w:val="26"/>
        </w:rPr>
        <w:t xml:space="preserve">выросли более чем </w:t>
      </w:r>
      <w:r>
        <w:rPr>
          <w:sz w:val="26"/>
          <w:szCs w:val="26"/>
        </w:rPr>
        <w:br/>
      </w:r>
      <w:r w:rsidRPr="00633F04">
        <w:rPr>
          <w:sz w:val="26"/>
          <w:szCs w:val="26"/>
        </w:rPr>
        <w:t xml:space="preserve">в </w:t>
      </w:r>
      <w:r>
        <w:rPr>
          <w:sz w:val="26"/>
          <w:szCs w:val="26"/>
        </w:rPr>
        <w:t>два</w:t>
      </w:r>
      <w:r w:rsidRPr="00633F04">
        <w:rPr>
          <w:sz w:val="26"/>
          <w:szCs w:val="26"/>
        </w:rPr>
        <w:t xml:space="preserve"> раз</w:t>
      </w:r>
      <w:r>
        <w:rPr>
          <w:sz w:val="26"/>
          <w:szCs w:val="26"/>
        </w:rPr>
        <w:t>а</w:t>
      </w:r>
      <w:r w:rsidRPr="00633F04">
        <w:rPr>
          <w:sz w:val="26"/>
          <w:szCs w:val="26"/>
        </w:rPr>
        <w:t>, увеличившись относительно 201</w:t>
      </w:r>
      <w:r>
        <w:rPr>
          <w:sz w:val="26"/>
          <w:szCs w:val="26"/>
        </w:rPr>
        <w:t>8</w:t>
      </w:r>
      <w:r w:rsidRPr="00633F04">
        <w:rPr>
          <w:sz w:val="26"/>
          <w:szCs w:val="26"/>
        </w:rPr>
        <w:t xml:space="preserve"> года на </w:t>
      </w:r>
      <w:r>
        <w:rPr>
          <w:sz w:val="26"/>
          <w:szCs w:val="26"/>
        </w:rPr>
        <w:t>5</w:t>
      </w:r>
      <w:r w:rsidRPr="00633F04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Pr="00633F04">
        <w:rPr>
          <w:sz w:val="26"/>
          <w:szCs w:val="26"/>
        </w:rPr>
        <w:t xml:space="preserve"> млрд. </w:t>
      </w:r>
      <w:r w:rsidR="00CB46CA">
        <w:rPr>
          <w:sz w:val="26"/>
          <w:szCs w:val="26"/>
        </w:rPr>
        <w:t>долл.</w:t>
      </w:r>
      <w:r w:rsidR="00CB46CA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</w:rPr>
        <w:t xml:space="preserve">составив на конец </w:t>
      </w:r>
      <w:r w:rsidRPr="00CA7221">
        <w:rPr>
          <w:sz w:val="26"/>
          <w:szCs w:val="26"/>
        </w:rPr>
        <w:t>года 22,</w:t>
      </w:r>
      <w:r w:rsidR="001160FE" w:rsidRPr="00CA7221">
        <w:rPr>
          <w:sz w:val="26"/>
          <w:szCs w:val="26"/>
        </w:rPr>
        <w:t>1</w:t>
      </w:r>
      <w:r w:rsidRPr="00CA7221">
        <w:rPr>
          <w:sz w:val="26"/>
          <w:szCs w:val="26"/>
        </w:rPr>
        <w:t xml:space="preserve"> млрд. долл.</w:t>
      </w:r>
      <w:r w:rsidR="00CA7221" w:rsidRPr="00CA7221">
        <w:rPr>
          <w:rStyle w:val="a9"/>
          <w:sz w:val="26"/>
          <w:szCs w:val="26"/>
        </w:rPr>
        <w:footnoteReference w:id="2"/>
      </w:r>
      <w:r w:rsidRPr="00CA7221">
        <w:rPr>
          <w:sz w:val="26"/>
          <w:szCs w:val="26"/>
        </w:rPr>
        <w:t xml:space="preserve"> Привлечение заимствований</w:t>
      </w:r>
      <w:r w:rsidR="001160FE" w:rsidRPr="00CA7221">
        <w:rPr>
          <w:sz w:val="26"/>
          <w:szCs w:val="26"/>
        </w:rPr>
        <w:t xml:space="preserve">, </w:t>
      </w:r>
      <w:r w:rsidRPr="00CA7221">
        <w:rPr>
          <w:sz w:val="26"/>
          <w:szCs w:val="26"/>
        </w:rPr>
        <w:t>в основном</w:t>
      </w:r>
      <w:r w:rsidR="001160FE" w:rsidRPr="00CA7221">
        <w:rPr>
          <w:sz w:val="26"/>
          <w:szCs w:val="26"/>
        </w:rPr>
        <w:t>,</w:t>
      </w:r>
      <w:r w:rsidRPr="00CA7221">
        <w:rPr>
          <w:sz w:val="26"/>
          <w:szCs w:val="26"/>
        </w:rPr>
        <w:t xml:space="preserve"> осуществлялось государственным и банковским сектором, погашение обязательств остальными секторами превысило их привлечение. </w:t>
      </w:r>
    </w:p>
    <w:p w:rsidR="00937BB8" w:rsidRDefault="00937BB8" w:rsidP="00937BB8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CA7221">
        <w:rPr>
          <w:sz w:val="26"/>
          <w:szCs w:val="26"/>
        </w:rPr>
        <w:t>Кроме того, государственным и банковским секторами были осуществлены портфельные заимствования в размере 1,3</w:t>
      </w:r>
      <w:r>
        <w:rPr>
          <w:sz w:val="26"/>
          <w:szCs w:val="26"/>
        </w:rPr>
        <w:t xml:space="preserve"> млрд. долл. путём размещения обращающихся на международных рынках евробондов.</w:t>
      </w:r>
    </w:p>
    <w:p w:rsidR="00937BB8" w:rsidRPr="00B1230E" w:rsidRDefault="00300E85" w:rsidP="00937BB8">
      <w:pPr>
        <w:spacing w:before="120"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Объём к</w:t>
      </w:r>
      <w:r w:rsidR="00937BB8" w:rsidRPr="00B1230E">
        <w:rPr>
          <w:sz w:val="26"/>
          <w:szCs w:val="26"/>
        </w:rPr>
        <w:t>редитовани</w:t>
      </w:r>
      <w:r>
        <w:rPr>
          <w:sz w:val="26"/>
          <w:szCs w:val="26"/>
        </w:rPr>
        <w:t>я</w:t>
      </w:r>
      <w:r w:rsidR="00937BB8" w:rsidRPr="00B1230E">
        <w:rPr>
          <w:sz w:val="26"/>
          <w:szCs w:val="26"/>
        </w:rPr>
        <w:t xml:space="preserve"> экономики в 201</w:t>
      </w:r>
      <w:r w:rsidR="00937BB8">
        <w:rPr>
          <w:sz w:val="26"/>
          <w:szCs w:val="26"/>
        </w:rPr>
        <w:t>9</w:t>
      </w:r>
      <w:r w:rsidR="00937BB8" w:rsidRPr="00B1230E">
        <w:rPr>
          <w:sz w:val="26"/>
          <w:szCs w:val="26"/>
        </w:rPr>
        <w:t xml:space="preserve"> </w:t>
      </w:r>
      <w:r w:rsidR="00937BB8" w:rsidRPr="00300E85">
        <w:rPr>
          <w:sz w:val="26"/>
          <w:szCs w:val="26"/>
        </w:rPr>
        <w:t xml:space="preserve">году </w:t>
      </w:r>
      <w:r w:rsidRPr="00300E85">
        <w:rPr>
          <w:sz w:val="26"/>
          <w:szCs w:val="26"/>
        </w:rPr>
        <w:t>вырос</w:t>
      </w:r>
      <w:r w:rsidR="00937BB8" w:rsidRPr="00300E85">
        <w:rPr>
          <w:sz w:val="26"/>
          <w:szCs w:val="26"/>
        </w:rPr>
        <w:t xml:space="preserve"> </w:t>
      </w:r>
      <w:r w:rsidRPr="00300E85">
        <w:rPr>
          <w:sz w:val="26"/>
          <w:szCs w:val="26"/>
        </w:rPr>
        <w:t xml:space="preserve">на </w:t>
      </w:r>
      <w:r w:rsidR="00937BB8" w:rsidRPr="00300E85">
        <w:rPr>
          <w:sz w:val="26"/>
          <w:szCs w:val="26"/>
        </w:rPr>
        <w:t>5</w:t>
      </w:r>
      <w:r w:rsidRPr="00300E85">
        <w:rPr>
          <w:sz w:val="26"/>
          <w:szCs w:val="26"/>
        </w:rPr>
        <w:t>4</w:t>
      </w:r>
      <w:r w:rsidR="00937BB8" w:rsidRPr="00300E85">
        <w:rPr>
          <w:sz w:val="26"/>
          <w:szCs w:val="26"/>
        </w:rPr>
        <w:t>%.</w:t>
      </w:r>
      <w:r w:rsidR="00937BB8" w:rsidRPr="00E95080">
        <w:rPr>
          <w:sz w:val="26"/>
          <w:szCs w:val="26"/>
        </w:rPr>
        <w:t xml:space="preserve"> </w:t>
      </w:r>
      <w:r w:rsidR="00937BB8">
        <w:rPr>
          <w:sz w:val="26"/>
          <w:szCs w:val="26"/>
        </w:rPr>
        <w:t>Высокий уровень</w:t>
      </w:r>
      <w:r w:rsidR="00937BB8" w:rsidRPr="008A1323">
        <w:rPr>
          <w:sz w:val="26"/>
          <w:szCs w:val="26"/>
        </w:rPr>
        <w:t xml:space="preserve"> </w:t>
      </w:r>
      <w:r w:rsidR="00937BB8">
        <w:rPr>
          <w:sz w:val="26"/>
          <w:szCs w:val="26"/>
        </w:rPr>
        <w:t>к</w:t>
      </w:r>
      <w:r w:rsidR="00937BB8" w:rsidRPr="008A1323">
        <w:rPr>
          <w:sz w:val="26"/>
          <w:szCs w:val="26"/>
        </w:rPr>
        <w:t>редитовани</w:t>
      </w:r>
      <w:r w:rsidR="00937BB8">
        <w:rPr>
          <w:sz w:val="26"/>
          <w:szCs w:val="26"/>
        </w:rPr>
        <w:t>я</w:t>
      </w:r>
      <w:r w:rsidR="00937BB8" w:rsidRPr="008A1323">
        <w:rPr>
          <w:sz w:val="26"/>
          <w:szCs w:val="26"/>
        </w:rPr>
        <w:t xml:space="preserve"> экономики </w:t>
      </w:r>
      <w:r w:rsidR="00937BB8">
        <w:rPr>
          <w:sz w:val="26"/>
          <w:szCs w:val="26"/>
        </w:rPr>
        <w:t>способствовал сохранению</w:t>
      </w:r>
      <w:r w:rsidR="00937BB8" w:rsidRPr="008A1323">
        <w:rPr>
          <w:sz w:val="26"/>
          <w:szCs w:val="26"/>
        </w:rPr>
        <w:t xml:space="preserve"> спроса на импортные товары</w:t>
      </w:r>
      <w:r w:rsidR="00937BB8" w:rsidRPr="00B1230E">
        <w:rPr>
          <w:sz w:val="26"/>
          <w:szCs w:val="26"/>
        </w:rPr>
        <w:t>, необходимые для реального сектора и строительной сферы.</w:t>
      </w:r>
    </w:p>
    <w:p w:rsidR="00937BB8" w:rsidRDefault="00937BB8" w:rsidP="00937BB8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B86532">
        <w:rPr>
          <w:sz w:val="26"/>
          <w:szCs w:val="26"/>
        </w:rPr>
        <w:t xml:space="preserve">Чистые объёмы прямых иностранных инвестиций составили 2,3 млрд. долл. </w:t>
      </w:r>
      <w:r w:rsidRPr="00B86532">
        <w:rPr>
          <w:sz w:val="26"/>
          <w:szCs w:val="26"/>
        </w:rPr>
        <w:br/>
        <w:t>(625 млн. долл. в 201</w:t>
      </w:r>
      <w:r w:rsidR="00F43BD8" w:rsidRPr="00B86532">
        <w:rPr>
          <w:sz w:val="26"/>
          <w:szCs w:val="26"/>
        </w:rPr>
        <w:t>8</w:t>
      </w:r>
      <w:r w:rsidRPr="00B86532">
        <w:rPr>
          <w:sz w:val="26"/>
          <w:szCs w:val="26"/>
        </w:rPr>
        <w:t xml:space="preserve"> году). В том числе, чистые инвестиции, за исключением операций предприятий</w:t>
      </w:r>
      <w:r w:rsidR="001160FE" w:rsidRPr="00B86532">
        <w:rPr>
          <w:sz w:val="26"/>
          <w:szCs w:val="26"/>
        </w:rPr>
        <w:t>,</w:t>
      </w:r>
      <w:r w:rsidRPr="00B86532">
        <w:rPr>
          <w:sz w:val="26"/>
          <w:szCs w:val="26"/>
        </w:rPr>
        <w:t xml:space="preserve"> функционирующих на основании соглашений о разделе продукции</w:t>
      </w:r>
      <w:r w:rsidR="001160FE" w:rsidRPr="00B86532">
        <w:rPr>
          <w:sz w:val="26"/>
          <w:szCs w:val="26"/>
        </w:rPr>
        <w:t>,</w:t>
      </w:r>
      <w:r w:rsidRPr="00B86532">
        <w:rPr>
          <w:sz w:val="26"/>
          <w:szCs w:val="26"/>
        </w:rPr>
        <w:t xml:space="preserve"> – </w:t>
      </w:r>
      <w:r w:rsidR="001160FE" w:rsidRPr="00B86532">
        <w:rPr>
          <w:sz w:val="26"/>
          <w:szCs w:val="26"/>
        </w:rPr>
        <w:br/>
      </w:r>
      <w:r w:rsidRPr="00B86532">
        <w:rPr>
          <w:sz w:val="26"/>
          <w:szCs w:val="26"/>
        </w:rPr>
        <w:t>2,8 млрд. долл., в форме долговых инструментов</w:t>
      </w:r>
      <w:r w:rsidR="007C1D88">
        <w:rPr>
          <w:sz w:val="26"/>
          <w:szCs w:val="26"/>
        </w:rPr>
        <w:t xml:space="preserve"> от материнских компаний</w:t>
      </w:r>
      <w:r w:rsidRPr="00B86532">
        <w:rPr>
          <w:sz w:val="26"/>
          <w:szCs w:val="26"/>
        </w:rPr>
        <w:t xml:space="preserve"> – 168,7 млн. долл. Чистое сокращение инвестиций предприятий</w:t>
      </w:r>
      <w:r w:rsidR="00142852">
        <w:rPr>
          <w:sz w:val="26"/>
          <w:szCs w:val="26"/>
        </w:rPr>
        <w:t>,</w:t>
      </w:r>
      <w:r w:rsidRPr="00B86532">
        <w:rPr>
          <w:sz w:val="26"/>
          <w:szCs w:val="26"/>
        </w:rPr>
        <w:t xml:space="preserve"> функционирующих на основании соглашений о разделе продукции – 671,7 млн. долл.</w:t>
      </w:r>
    </w:p>
    <w:p w:rsidR="00937BB8" w:rsidRPr="00F71681" w:rsidRDefault="00937BB8" w:rsidP="00937BB8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717354">
        <w:rPr>
          <w:sz w:val="26"/>
          <w:szCs w:val="26"/>
        </w:rPr>
        <w:lastRenderedPageBreak/>
        <w:t xml:space="preserve">Операции </w:t>
      </w:r>
      <w:r w:rsidRPr="00717354">
        <w:rPr>
          <w:sz w:val="26"/>
          <w:szCs w:val="26"/>
          <w:lang w:val="en-US"/>
        </w:rPr>
        <w:t>c</w:t>
      </w:r>
      <w:r w:rsidRPr="00717354">
        <w:rPr>
          <w:sz w:val="26"/>
          <w:szCs w:val="26"/>
        </w:rPr>
        <w:t xml:space="preserve"> резервными активами составили 1,4 млрд. долл. При этом</w:t>
      </w:r>
      <w:r w:rsidR="0018233C" w:rsidRPr="00717354">
        <w:rPr>
          <w:sz w:val="26"/>
          <w:szCs w:val="26"/>
        </w:rPr>
        <w:t>,</w:t>
      </w:r>
      <w:r w:rsidRPr="00717354">
        <w:rPr>
          <w:sz w:val="26"/>
          <w:szCs w:val="26"/>
        </w:rPr>
        <w:t xml:space="preserve"> вследствии положительной динамики цены золота</w:t>
      </w:r>
      <w:r w:rsidR="00142852" w:rsidRPr="00717354">
        <w:rPr>
          <w:sz w:val="26"/>
          <w:szCs w:val="26"/>
        </w:rPr>
        <w:t xml:space="preserve"> на международном рынке</w:t>
      </w:r>
      <w:r w:rsidR="00C07F8C" w:rsidRPr="00717354">
        <w:rPr>
          <w:sz w:val="26"/>
          <w:szCs w:val="26"/>
        </w:rPr>
        <w:t xml:space="preserve"> (в 2019 год</w:t>
      </w:r>
      <w:r w:rsidR="004228A0" w:rsidRPr="00717354">
        <w:rPr>
          <w:sz w:val="26"/>
          <w:szCs w:val="26"/>
        </w:rPr>
        <w:t>у</w:t>
      </w:r>
      <w:r w:rsidR="00C07F8C" w:rsidRPr="00717354">
        <w:rPr>
          <w:sz w:val="26"/>
          <w:szCs w:val="26"/>
        </w:rPr>
        <w:t xml:space="preserve"> цена выросла на 17,9% с 1281,6 до 1511,5 долл./</w:t>
      </w:r>
      <w:r w:rsidR="004228A0" w:rsidRPr="00717354">
        <w:rPr>
          <w:sz w:val="26"/>
          <w:szCs w:val="26"/>
        </w:rPr>
        <w:t>тр.унц.</w:t>
      </w:r>
      <w:r w:rsidR="00C07F8C" w:rsidRPr="00717354">
        <w:rPr>
          <w:sz w:val="26"/>
          <w:szCs w:val="26"/>
        </w:rPr>
        <w:t>)</w:t>
      </w:r>
      <w:r w:rsidRPr="00717354">
        <w:rPr>
          <w:sz w:val="26"/>
          <w:szCs w:val="26"/>
        </w:rPr>
        <w:t xml:space="preserve">, объём золотовалютных резервов </w:t>
      </w:r>
      <w:r w:rsidR="00142852" w:rsidRPr="00717354">
        <w:rPr>
          <w:sz w:val="26"/>
          <w:szCs w:val="26"/>
        </w:rPr>
        <w:t xml:space="preserve">Узбекистана </w:t>
      </w:r>
      <w:r w:rsidR="004228A0" w:rsidRPr="00717354">
        <w:rPr>
          <w:sz w:val="26"/>
          <w:szCs w:val="26"/>
        </w:rPr>
        <w:t xml:space="preserve">увеличился и </w:t>
      </w:r>
      <w:r w:rsidRPr="00717354">
        <w:rPr>
          <w:sz w:val="26"/>
          <w:szCs w:val="26"/>
        </w:rPr>
        <w:t>до</w:t>
      </w:r>
      <w:r w:rsidR="004228A0" w:rsidRPr="00717354">
        <w:rPr>
          <w:sz w:val="26"/>
          <w:szCs w:val="26"/>
        </w:rPr>
        <w:t>стиг</w:t>
      </w:r>
      <w:r w:rsidRPr="00717354">
        <w:rPr>
          <w:sz w:val="26"/>
          <w:szCs w:val="26"/>
        </w:rPr>
        <w:t xml:space="preserve"> 29,2 млрд. долл.</w:t>
      </w:r>
    </w:p>
    <w:p w:rsidR="00937BB8" w:rsidRPr="00F71681" w:rsidRDefault="00937BB8" w:rsidP="00937BB8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F71681">
        <w:rPr>
          <w:sz w:val="26"/>
          <w:szCs w:val="26"/>
        </w:rPr>
        <w:t xml:space="preserve">Индекс реального эффективного обменного курса сума в 2019 году </w:t>
      </w:r>
      <w:r w:rsidR="00AD65C9">
        <w:rPr>
          <w:sz w:val="26"/>
          <w:szCs w:val="26"/>
        </w:rPr>
        <w:t>стабилизировался</w:t>
      </w:r>
      <w:r w:rsidRPr="00F71681">
        <w:rPr>
          <w:sz w:val="26"/>
          <w:szCs w:val="26"/>
        </w:rPr>
        <w:t>. Вместе с тем, разнонаправленная динамика курса сума в 2019 году способствовала смягчению влияния внутренних факторов на платёжный баланс.</w:t>
      </w:r>
    </w:p>
    <w:p w:rsidR="00937BB8" w:rsidRPr="00717354" w:rsidRDefault="00937BB8" w:rsidP="00937BB8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717354">
        <w:rPr>
          <w:sz w:val="26"/>
          <w:szCs w:val="26"/>
        </w:rPr>
        <w:t xml:space="preserve">Реальное ослабление индекса двусторонних реальных обменных курсов сума </w:t>
      </w:r>
      <w:r w:rsidR="00BE49E4" w:rsidRPr="00717354">
        <w:rPr>
          <w:sz w:val="26"/>
          <w:szCs w:val="26"/>
        </w:rPr>
        <w:br/>
      </w:r>
      <w:r w:rsidRPr="00717354">
        <w:rPr>
          <w:sz w:val="26"/>
          <w:szCs w:val="26"/>
        </w:rPr>
        <w:t xml:space="preserve">к валютам стран – основных торговых партнёров относительно базового периода, удешевив товары, </w:t>
      </w:r>
      <w:r w:rsidR="00B86532" w:rsidRPr="00717354">
        <w:rPr>
          <w:sz w:val="26"/>
          <w:szCs w:val="26"/>
        </w:rPr>
        <w:t>произведённые</w:t>
      </w:r>
      <w:r w:rsidRPr="00717354">
        <w:rPr>
          <w:sz w:val="26"/>
          <w:szCs w:val="26"/>
        </w:rPr>
        <w:t xml:space="preserve"> в Узбекистане относительно товаров, </w:t>
      </w:r>
      <w:r w:rsidR="00B86532" w:rsidRPr="00717354">
        <w:rPr>
          <w:sz w:val="26"/>
          <w:szCs w:val="26"/>
        </w:rPr>
        <w:t>произведённых</w:t>
      </w:r>
      <w:r w:rsidRPr="00717354">
        <w:rPr>
          <w:sz w:val="26"/>
          <w:szCs w:val="26"/>
        </w:rPr>
        <w:t xml:space="preserve"> в странах торговых партнёрах, находилось на уровне, поддерживающем экспорт </w:t>
      </w:r>
      <w:r w:rsidR="004A7153" w:rsidRPr="001D5F39">
        <w:rPr>
          <w:color w:val="0070C0"/>
          <w:sz w:val="26"/>
          <w:szCs w:val="26"/>
        </w:rPr>
        <w:t>(Диаграмма 1)</w:t>
      </w:r>
      <w:r w:rsidR="00920AD2" w:rsidRPr="001D5F39">
        <w:rPr>
          <w:color w:val="0070C0"/>
          <w:sz w:val="26"/>
          <w:szCs w:val="26"/>
        </w:rPr>
        <w:t>.</w:t>
      </w:r>
    </w:p>
    <w:p w:rsidR="00937BB8" w:rsidRPr="000956A7" w:rsidRDefault="00937BB8" w:rsidP="00937BB8">
      <w:pPr>
        <w:jc w:val="right"/>
        <w:rPr>
          <w:rFonts w:cs="Calibri"/>
        </w:rPr>
      </w:pPr>
      <w:r w:rsidRPr="000956A7">
        <w:rPr>
          <w:rFonts w:cs="Calibri"/>
        </w:rPr>
        <w:t>Диаграмма 1</w:t>
      </w:r>
    </w:p>
    <w:p w:rsidR="00937BB8" w:rsidRPr="000956A7" w:rsidRDefault="00937BB8" w:rsidP="00937BB8">
      <w:pPr>
        <w:jc w:val="right"/>
        <w:rPr>
          <w:rFonts w:cs="Calibri"/>
          <w:sz w:val="12"/>
          <w:szCs w:val="12"/>
        </w:rPr>
      </w:pPr>
    </w:p>
    <w:p w:rsidR="00937BB8" w:rsidRPr="000956A7" w:rsidRDefault="00937BB8" w:rsidP="00937BB8">
      <w:pPr>
        <w:jc w:val="center"/>
        <w:rPr>
          <w:rFonts w:cs="Calibri"/>
          <w:b/>
          <w:sz w:val="28"/>
          <w:szCs w:val="28"/>
        </w:rPr>
      </w:pPr>
      <w:r w:rsidRPr="000956A7">
        <w:rPr>
          <w:rFonts w:cs="Calibri"/>
          <w:b/>
          <w:sz w:val="28"/>
          <w:szCs w:val="28"/>
        </w:rPr>
        <w:t>РЕАЛЬНЫЕ ОБМЕННЫЕ КУРСЫ СУМА К ОСНОВНЫМ ВАЛЮТАМ</w:t>
      </w:r>
      <w:r w:rsidRPr="00FC1FAF">
        <w:rPr>
          <w:rStyle w:val="a9"/>
          <w:rFonts w:cs="Calibri"/>
          <w:sz w:val="28"/>
          <w:szCs w:val="28"/>
        </w:rPr>
        <w:footnoteReference w:id="3"/>
      </w:r>
    </w:p>
    <w:p w:rsidR="00937BB8" w:rsidRPr="000956A7" w:rsidRDefault="00937BB8" w:rsidP="00937BB8">
      <w:pPr>
        <w:jc w:val="right"/>
        <w:rPr>
          <w:rFonts w:cs="Calibri"/>
          <w:b/>
          <w:sz w:val="12"/>
          <w:szCs w:val="12"/>
        </w:rPr>
      </w:pPr>
    </w:p>
    <w:p w:rsidR="00937BB8" w:rsidRPr="00E927FA" w:rsidRDefault="00937BB8" w:rsidP="00937BB8">
      <w:pPr>
        <w:jc w:val="right"/>
        <w:rPr>
          <w:rFonts w:cs="Calibri"/>
          <w:i/>
        </w:rPr>
      </w:pPr>
      <w:r w:rsidRPr="000956A7">
        <w:rPr>
          <w:rFonts w:cs="Calibri"/>
          <w:i/>
        </w:rPr>
        <w:t>(январь 201</w:t>
      </w:r>
      <w:r w:rsidR="00F429C0">
        <w:rPr>
          <w:rFonts w:cs="Calibri"/>
          <w:i/>
          <w:lang w:val="en-US"/>
        </w:rPr>
        <w:t>4</w:t>
      </w:r>
      <w:r w:rsidRPr="000956A7">
        <w:rPr>
          <w:rFonts w:cs="Calibri"/>
          <w:i/>
        </w:rPr>
        <w:t xml:space="preserve"> = 100)</w:t>
      </w:r>
    </w:p>
    <w:p w:rsidR="00937BB8" w:rsidRPr="0001498B" w:rsidRDefault="00937BB8" w:rsidP="00937BB8">
      <w:pPr>
        <w:spacing w:before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99835" cy="3979545"/>
            <wp:effectExtent l="0" t="0" r="5715" b="190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71681" w:rsidRDefault="00F71681" w:rsidP="002A31E9">
      <w:pPr>
        <w:spacing w:line="288" w:lineRule="auto"/>
        <w:jc w:val="both"/>
        <w:rPr>
          <w:rFonts w:ascii="Times New Roman" w:hAnsi="Times New Roman"/>
        </w:rPr>
      </w:pPr>
    </w:p>
    <w:p w:rsidR="00F71681" w:rsidRDefault="00F71681" w:rsidP="002A31E9">
      <w:pPr>
        <w:spacing w:line="288" w:lineRule="auto"/>
        <w:jc w:val="both"/>
        <w:rPr>
          <w:rFonts w:ascii="Times New Roman" w:hAnsi="Times New Roman"/>
        </w:rPr>
        <w:sectPr w:rsidR="00F71681" w:rsidSect="009F45B0">
          <w:type w:val="continuous"/>
          <w:pgSz w:w="11906" w:h="16838" w:code="9"/>
          <w:pgMar w:top="1134" w:right="851" w:bottom="851" w:left="1134" w:header="709" w:footer="0" w:gutter="0"/>
          <w:cols w:space="708"/>
          <w:titlePg/>
          <w:docGrid w:linePitch="360"/>
        </w:sectPr>
      </w:pPr>
    </w:p>
    <w:p w:rsidR="002A31E9" w:rsidRPr="00ED09EB" w:rsidRDefault="00ED09EB" w:rsidP="00FC086D">
      <w:pPr>
        <w:spacing w:line="288" w:lineRule="auto"/>
        <w:ind w:right="678"/>
        <w:jc w:val="right"/>
        <w:rPr>
          <w:rFonts w:cs="Calibri"/>
        </w:rPr>
      </w:pPr>
      <w:r>
        <w:rPr>
          <w:rFonts w:cs="Calibri"/>
        </w:rPr>
        <w:lastRenderedPageBreak/>
        <w:t>Таблица 1</w:t>
      </w:r>
    </w:p>
    <w:p w:rsidR="002A31E9" w:rsidRPr="00ED09EB" w:rsidRDefault="00ED09EB" w:rsidP="00FC086D">
      <w:pPr>
        <w:jc w:val="center"/>
        <w:rPr>
          <w:rFonts w:cs="Calibri"/>
          <w:b/>
          <w:bCs/>
          <w:color w:val="000000"/>
          <w:sz w:val="28"/>
          <w:szCs w:val="28"/>
        </w:rPr>
      </w:pPr>
      <w:r w:rsidRPr="00ED09EB">
        <w:rPr>
          <w:rFonts w:cs="Calibri"/>
          <w:b/>
          <w:bCs/>
          <w:color w:val="000000"/>
          <w:sz w:val="28"/>
          <w:szCs w:val="28"/>
        </w:rPr>
        <w:t>ОСНОВНЫЕ ПОКАЗАТЕЛИ ВНЕШНЕГО СЕКТОРА УЗБЕКИСТАНА</w:t>
      </w:r>
    </w:p>
    <w:p w:rsidR="00FC086D" w:rsidRDefault="00FC086D" w:rsidP="00FC086D">
      <w:pPr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tbl>
      <w:tblPr>
        <w:tblW w:w="13911" w:type="dxa"/>
        <w:jc w:val="center"/>
        <w:tblLook w:val="04A0"/>
      </w:tblPr>
      <w:tblGrid>
        <w:gridCol w:w="4867"/>
        <w:gridCol w:w="1518"/>
        <w:gridCol w:w="1567"/>
        <w:gridCol w:w="1584"/>
        <w:gridCol w:w="1458"/>
        <w:gridCol w:w="1459"/>
        <w:gridCol w:w="1458"/>
      </w:tblGrid>
      <w:tr w:rsidR="00162854" w:rsidRPr="00ED09EB" w:rsidTr="00162854">
        <w:trPr>
          <w:trHeight w:val="386"/>
          <w:jc w:val="center"/>
        </w:trPr>
        <w:tc>
          <w:tcPr>
            <w:tcW w:w="486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BDD6EE" w:themeFill="accent1" w:themeFillTint="66"/>
            <w:vAlign w:val="bottom"/>
            <w:hideMark/>
          </w:tcPr>
          <w:p w:rsidR="00162854" w:rsidRPr="00337972" w:rsidRDefault="00162854" w:rsidP="00937BB8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162854" w:rsidRPr="00337972" w:rsidRDefault="00162854" w:rsidP="00937BB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37972">
              <w:rPr>
                <w:rFonts w:cs="Calibri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67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162854" w:rsidRPr="00C949CD" w:rsidRDefault="00162854" w:rsidP="00937BB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949CD">
              <w:rPr>
                <w:rFonts w:cs="Calibri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84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162854" w:rsidRPr="00C949CD" w:rsidRDefault="00162854" w:rsidP="00937BB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949CD">
              <w:rPr>
                <w:rFonts w:cs="Calibri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58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162854" w:rsidRPr="00C949CD" w:rsidRDefault="00162854" w:rsidP="00937BB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949CD">
              <w:rPr>
                <w:rFonts w:cs="Calibri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59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BDD6EE" w:themeFill="accent1" w:themeFillTint="66"/>
            <w:vAlign w:val="center"/>
            <w:hideMark/>
          </w:tcPr>
          <w:p w:rsidR="00162854" w:rsidRPr="00C949CD" w:rsidRDefault="00162854" w:rsidP="00937BB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949CD">
              <w:rPr>
                <w:rFonts w:cs="Calibri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58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162854" w:rsidRPr="00C949CD" w:rsidRDefault="00162854" w:rsidP="00937BB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949CD">
              <w:rPr>
                <w:rFonts w:cs="Calibri"/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162854" w:rsidRPr="00ED09EB" w:rsidTr="00162854">
        <w:trPr>
          <w:trHeight w:val="314"/>
          <w:jc w:val="center"/>
        </w:trPr>
        <w:tc>
          <w:tcPr>
            <w:tcW w:w="4867" w:type="dxa"/>
            <w:tcBorders>
              <w:top w:val="single" w:sz="4" w:space="0" w:color="5B9BD5" w:themeColor="accent1"/>
              <w:left w:val="single" w:sz="4" w:space="0" w:color="5B9BD5" w:themeColor="accent1"/>
              <w:bottom w:val="dotted" w:sz="4" w:space="0" w:color="5B9BD5" w:themeColor="accent1"/>
            </w:tcBorders>
            <w:shd w:val="clear" w:color="auto" w:fill="F2F2F2" w:themeFill="background1" w:themeFillShade="F2"/>
            <w:vAlign w:val="center"/>
            <w:hideMark/>
          </w:tcPr>
          <w:p w:rsidR="00162854" w:rsidRPr="00882A8A" w:rsidRDefault="00162854" w:rsidP="00937BB8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b/>
                <w:color w:val="000000"/>
                <w:sz w:val="20"/>
                <w:szCs w:val="20"/>
              </w:rPr>
              <w:t>Сальдо счёта текущих операций</w:t>
            </w:r>
          </w:p>
          <w:p w:rsidR="00162854" w:rsidRPr="00882A8A" w:rsidRDefault="00162854" w:rsidP="00937BB8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color w:val="000000"/>
                <w:sz w:val="20"/>
                <w:szCs w:val="20"/>
              </w:rPr>
              <w:t>(млрд. долл.)</w:t>
            </w:r>
          </w:p>
        </w:tc>
        <w:tc>
          <w:tcPr>
            <w:tcW w:w="1518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b/>
                <w:i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67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b/>
                <w:i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584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  <w:shd w:val="clear" w:color="auto" w:fill="F2F2F2" w:themeFill="background1" w:themeFillShade="F2"/>
            <w:vAlign w:val="center"/>
            <w:hideMark/>
          </w:tcPr>
          <w:p w:rsidR="00162854" w:rsidRPr="00882A8A" w:rsidRDefault="00162854" w:rsidP="00937BB8">
            <w:pPr>
              <w:jc w:val="center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b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58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  <w:shd w:val="clear" w:color="auto" w:fill="F2F2F2" w:themeFill="background1" w:themeFillShade="F2"/>
            <w:vAlign w:val="center"/>
            <w:hideMark/>
          </w:tcPr>
          <w:p w:rsidR="00162854" w:rsidRPr="00882A8A" w:rsidRDefault="00162854" w:rsidP="00937BB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59" w:type="dxa"/>
            <w:tcBorders>
              <w:top w:val="single" w:sz="4" w:space="0" w:color="5B9BD5" w:themeColor="accent1"/>
              <w:bottom w:val="dotted" w:sz="4" w:space="0" w:color="5B9BD5" w:themeColor="accent1"/>
            </w:tcBorders>
            <w:shd w:val="clear" w:color="auto" w:fill="F2F2F2" w:themeFill="background1" w:themeFillShade="F2"/>
            <w:vAlign w:val="center"/>
            <w:hideMark/>
          </w:tcPr>
          <w:p w:rsidR="00162854" w:rsidRPr="00882A8A" w:rsidRDefault="00162854" w:rsidP="00937BB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b/>
                <w:color w:val="000000"/>
                <w:sz w:val="20"/>
                <w:szCs w:val="20"/>
              </w:rPr>
              <w:t>-3,5</w:t>
            </w:r>
          </w:p>
        </w:tc>
        <w:tc>
          <w:tcPr>
            <w:tcW w:w="1458" w:type="dxa"/>
            <w:tcBorders>
              <w:top w:val="single" w:sz="4" w:space="0" w:color="5B9BD5" w:themeColor="accent1"/>
              <w:bottom w:val="dotted" w:sz="4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882A8A">
              <w:rPr>
                <w:rFonts w:cs="Calibri"/>
                <w:b/>
                <w:color w:val="000000"/>
                <w:sz w:val="20"/>
                <w:szCs w:val="20"/>
              </w:rPr>
              <w:t>-3,2</w:t>
            </w:r>
          </w:p>
        </w:tc>
      </w:tr>
      <w:tr w:rsidR="00162854" w:rsidRPr="00ED09EB" w:rsidTr="00162854">
        <w:trPr>
          <w:trHeight w:val="107"/>
          <w:jc w:val="center"/>
        </w:trPr>
        <w:tc>
          <w:tcPr>
            <w:tcW w:w="4867" w:type="dxa"/>
            <w:tcBorders>
              <w:top w:val="dotted" w:sz="4" w:space="0" w:color="5B9BD5" w:themeColor="accent1"/>
              <w:left w:val="single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C949CD" w:rsidRDefault="00162854" w:rsidP="00937BB8">
            <w:pPr>
              <w:ind w:firstLineChars="100" w:firstLine="200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C949CD">
              <w:rPr>
                <w:rFonts w:cs="Calibri"/>
                <w:i/>
                <w:iCs/>
                <w:color w:val="000000"/>
                <w:sz w:val="20"/>
                <w:szCs w:val="20"/>
              </w:rPr>
              <w:t>в % к ВВП</w:t>
            </w:r>
          </w:p>
        </w:tc>
        <w:tc>
          <w:tcPr>
            <w:tcW w:w="151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iCs/>
                <w:color w:val="000000"/>
                <w:sz w:val="20"/>
                <w:szCs w:val="20"/>
              </w:rPr>
              <w:t>3%</w:t>
            </w:r>
          </w:p>
        </w:tc>
        <w:tc>
          <w:tcPr>
            <w:tcW w:w="1567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iCs/>
                <w:color w:val="000000"/>
                <w:sz w:val="20"/>
                <w:szCs w:val="20"/>
              </w:rPr>
              <w:t>1%</w:t>
            </w:r>
          </w:p>
        </w:tc>
        <w:tc>
          <w:tcPr>
            <w:tcW w:w="1584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color w:val="000000"/>
                <w:sz w:val="20"/>
                <w:szCs w:val="20"/>
              </w:rPr>
              <w:t>3%</w:t>
            </w:r>
          </w:p>
        </w:tc>
        <w:tc>
          <w:tcPr>
            <w:tcW w:w="1459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color w:val="000000"/>
                <w:sz w:val="20"/>
                <w:szCs w:val="20"/>
              </w:rPr>
              <w:t>-7%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  <w:right w:val="single" w:sz="4" w:space="0" w:color="5B9BD5" w:themeColor="accent1"/>
            </w:tcBorders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color w:val="000000"/>
                <w:sz w:val="20"/>
                <w:szCs w:val="20"/>
              </w:rPr>
              <w:t>-5,6%</w:t>
            </w:r>
          </w:p>
        </w:tc>
      </w:tr>
      <w:tr w:rsidR="00162854" w:rsidRPr="00ED09EB" w:rsidTr="00162854">
        <w:trPr>
          <w:trHeight w:val="314"/>
          <w:jc w:val="center"/>
        </w:trPr>
        <w:tc>
          <w:tcPr>
            <w:tcW w:w="4867" w:type="dxa"/>
            <w:tcBorders>
              <w:top w:val="dotted" w:sz="4" w:space="0" w:color="5B9BD5" w:themeColor="accent1"/>
              <w:left w:val="single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882A8A" w:rsidRDefault="00162854" w:rsidP="00937BB8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b/>
                <w:color w:val="000000"/>
                <w:sz w:val="20"/>
                <w:szCs w:val="20"/>
              </w:rPr>
              <w:t xml:space="preserve">Экспорт товаров и услуг </w:t>
            </w:r>
          </w:p>
          <w:p w:rsidR="00162854" w:rsidRPr="00882A8A" w:rsidRDefault="00162854" w:rsidP="00937BB8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color w:val="000000"/>
                <w:sz w:val="20"/>
                <w:szCs w:val="20"/>
              </w:rPr>
              <w:t>(млрд. долл., за период)</w:t>
            </w:r>
          </w:p>
        </w:tc>
        <w:tc>
          <w:tcPr>
            <w:tcW w:w="151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Cs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567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584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882A8A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882A8A" w:rsidRDefault="00162854" w:rsidP="00937BB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459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882A8A" w:rsidRDefault="00162854" w:rsidP="00937BB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  <w:right w:val="single" w:sz="4" w:space="0" w:color="5B9BD5" w:themeColor="accent1"/>
            </w:tcBorders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color w:val="000000"/>
                <w:sz w:val="20"/>
                <w:szCs w:val="20"/>
              </w:rPr>
              <w:t>17,0</w:t>
            </w:r>
          </w:p>
        </w:tc>
      </w:tr>
      <w:tr w:rsidR="00162854" w:rsidRPr="00ED09EB" w:rsidTr="00162854">
        <w:trPr>
          <w:trHeight w:val="91"/>
          <w:jc w:val="center"/>
        </w:trPr>
        <w:tc>
          <w:tcPr>
            <w:tcW w:w="4867" w:type="dxa"/>
            <w:tcBorders>
              <w:top w:val="dotted" w:sz="4" w:space="0" w:color="5B9BD5" w:themeColor="accent1"/>
              <w:left w:val="single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C949CD" w:rsidRDefault="00162854" w:rsidP="00937BB8">
            <w:pPr>
              <w:ind w:firstLine="175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C949CD">
              <w:rPr>
                <w:rFonts w:cs="Calibri"/>
                <w:i/>
                <w:color w:val="000000"/>
                <w:sz w:val="20"/>
                <w:szCs w:val="20"/>
              </w:rPr>
              <w:t>в % к ВВП</w:t>
            </w:r>
          </w:p>
        </w:tc>
        <w:tc>
          <w:tcPr>
            <w:tcW w:w="151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iCs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567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iCs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584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iCs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459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  <w:right w:val="single" w:sz="4" w:space="0" w:color="5B9BD5" w:themeColor="accent1"/>
            </w:tcBorders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color w:val="000000"/>
                <w:sz w:val="20"/>
                <w:szCs w:val="20"/>
              </w:rPr>
              <w:t>29%</w:t>
            </w:r>
          </w:p>
        </w:tc>
      </w:tr>
      <w:tr w:rsidR="00162854" w:rsidRPr="00ED09EB" w:rsidTr="00162854">
        <w:trPr>
          <w:trHeight w:val="314"/>
          <w:jc w:val="center"/>
        </w:trPr>
        <w:tc>
          <w:tcPr>
            <w:tcW w:w="4867" w:type="dxa"/>
            <w:tcBorders>
              <w:top w:val="dotted" w:sz="4" w:space="0" w:color="5B9BD5" w:themeColor="accent1"/>
              <w:left w:val="single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882A8A" w:rsidRDefault="00162854" w:rsidP="00937BB8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b/>
                <w:color w:val="000000"/>
                <w:sz w:val="20"/>
                <w:szCs w:val="20"/>
              </w:rPr>
              <w:t>Импорт товаров и услуг</w:t>
            </w:r>
          </w:p>
          <w:p w:rsidR="00162854" w:rsidRPr="00882A8A" w:rsidRDefault="00162854" w:rsidP="00937BB8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color w:val="000000"/>
                <w:sz w:val="20"/>
                <w:szCs w:val="20"/>
              </w:rPr>
              <w:t>(млрд. долл., за период)</w:t>
            </w:r>
          </w:p>
        </w:tc>
        <w:tc>
          <w:tcPr>
            <w:tcW w:w="151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567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84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882A8A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882A8A" w:rsidRDefault="00162854" w:rsidP="00937BB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459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882A8A" w:rsidRDefault="00162854" w:rsidP="00937BB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  <w:right w:val="single" w:sz="4" w:space="0" w:color="5B9BD5" w:themeColor="accent1"/>
            </w:tcBorders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color w:val="000000"/>
                <w:sz w:val="20"/>
                <w:szCs w:val="20"/>
              </w:rPr>
              <w:t>26,6</w:t>
            </w:r>
          </w:p>
        </w:tc>
      </w:tr>
      <w:tr w:rsidR="00162854" w:rsidRPr="00ED09EB" w:rsidTr="00162854">
        <w:trPr>
          <w:trHeight w:val="91"/>
          <w:jc w:val="center"/>
        </w:trPr>
        <w:tc>
          <w:tcPr>
            <w:tcW w:w="4867" w:type="dxa"/>
            <w:tcBorders>
              <w:top w:val="dotted" w:sz="4" w:space="0" w:color="5B9BD5" w:themeColor="accent1"/>
              <w:left w:val="single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C949CD" w:rsidRDefault="00162854" w:rsidP="00937BB8">
            <w:pPr>
              <w:ind w:firstLineChars="100" w:firstLine="200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C949CD">
              <w:rPr>
                <w:rFonts w:cs="Calibri"/>
                <w:i/>
                <w:iCs/>
                <w:color w:val="000000"/>
                <w:sz w:val="20"/>
                <w:szCs w:val="20"/>
              </w:rPr>
              <w:t>в % к ВВП</w:t>
            </w:r>
          </w:p>
        </w:tc>
        <w:tc>
          <w:tcPr>
            <w:tcW w:w="151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iCs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567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iCs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584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iCs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iCs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459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iCs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  <w:right w:val="single" w:sz="4" w:space="0" w:color="5B9BD5" w:themeColor="accent1"/>
            </w:tcBorders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iCs/>
                <w:color w:val="000000"/>
                <w:sz w:val="20"/>
                <w:szCs w:val="20"/>
              </w:rPr>
              <w:t>46%</w:t>
            </w:r>
          </w:p>
        </w:tc>
      </w:tr>
      <w:tr w:rsidR="00162854" w:rsidRPr="00ED09EB" w:rsidTr="00162854">
        <w:trPr>
          <w:trHeight w:val="314"/>
          <w:jc w:val="center"/>
        </w:trPr>
        <w:tc>
          <w:tcPr>
            <w:tcW w:w="4867" w:type="dxa"/>
            <w:tcBorders>
              <w:top w:val="dotted" w:sz="4" w:space="0" w:color="5B9BD5" w:themeColor="accent1"/>
              <w:left w:val="single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</w:tcPr>
          <w:p w:rsidR="00162854" w:rsidRPr="00337972" w:rsidRDefault="00162854" w:rsidP="00937BB8">
            <w:pPr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b/>
                <w:iCs/>
                <w:color w:val="000000"/>
                <w:sz w:val="20"/>
                <w:szCs w:val="20"/>
              </w:rPr>
              <w:t>Полученные резидентами трансграничные денежные переводы</w:t>
            </w:r>
            <w:r w:rsidRPr="00337972">
              <w:rPr>
                <w:rFonts w:cs="Calibri"/>
                <w:iCs/>
                <w:color w:val="000000"/>
                <w:sz w:val="20"/>
                <w:szCs w:val="20"/>
              </w:rPr>
              <w:t xml:space="preserve"> </w:t>
            </w:r>
            <w:r w:rsidRPr="00882A8A">
              <w:rPr>
                <w:rFonts w:cs="Calibri"/>
                <w:i/>
                <w:iCs/>
                <w:color w:val="000000"/>
                <w:sz w:val="20"/>
                <w:szCs w:val="20"/>
              </w:rPr>
              <w:t>(млрд. долл., за период)</w:t>
            </w:r>
          </w:p>
        </w:tc>
        <w:tc>
          <w:tcPr>
            <w:tcW w:w="151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567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584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459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  <w:right w:val="single" w:sz="4" w:space="0" w:color="5B9BD5" w:themeColor="accent1"/>
            </w:tcBorders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Cs/>
                <w:color w:val="000000"/>
                <w:sz w:val="20"/>
                <w:szCs w:val="20"/>
              </w:rPr>
              <w:t>5,8</w:t>
            </w:r>
          </w:p>
        </w:tc>
      </w:tr>
      <w:tr w:rsidR="00162854" w:rsidRPr="00ED09EB" w:rsidTr="00162854">
        <w:trPr>
          <w:trHeight w:val="91"/>
          <w:jc w:val="center"/>
        </w:trPr>
        <w:tc>
          <w:tcPr>
            <w:tcW w:w="4867" w:type="dxa"/>
            <w:tcBorders>
              <w:top w:val="dotted" w:sz="4" w:space="0" w:color="5B9BD5" w:themeColor="accent1"/>
              <w:left w:val="single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</w:tcPr>
          <w:p w:rsidR="00162854" w:rsidRPr="00337972" w:rsidRDefault="00162854" w:rsidP="00937BB8">
            <w:pPr>
              <w:ind w:firstLineChars="100" w:firstLine="200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37972">
              <w:rPr>
                <w:rFonts w:cs="Calibri"/>
                <w:i/>
                <w:iCs/>
                <w:color w:val="000000"/>
                <w:sz w:val="20"/>
                <w:szCs w:val="20"/>
              </w:rPr>
              <w:t>в % к ВВП</w:t>
            </w:r>
          </w:p>
        </w:tc>
        <w:tc>
          <w:tcPr>
            <w:tcW w:w="151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iCs/>
                <w:color w:val="000000"/>
                <w:sz w:val="20"/>
                <w:szCs w:val="20"/>
              </w:rPr>
              <w:t>8%</w:t>
            </w:r>
          </w:p>
        </w:tc>
        <w:tc>
          <w:tcPr>
            <w:tcW w:w="1567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i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84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i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iCs/>
                <w:color w:val="000000"/>
                <w:sz w:val="20"/>
                <w:szCs w:val="20"/>
              </w:rPr>
              <w:t>8%</w:t>
            </w:r>
          </w:p>
        </w:tc>
        <w:tc>
          <w:tcPr>
            <w:tcW w:w="1459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i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  <w:right w:val="single" w:sz="4" w:space="0" w:color="5B9BD5" w:themeColor="accent1"/>
            </w:tcBorders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iCs/>
                <w:color w:val="000000"/>
                <w:sz w:val="20"/>
                <w:szCs w:val="20"/>
              </w:rPr>
              <w:t>10%</w:t>
            </w:r>
          </w:p>
        </w:tc>
      </w:tr>
      <w:tr w:rsidR="00162854" w:rsidRPr="00ED09EB" w:rsidTr="00162854">
        <w:trPr>
          <w:trHeight w:val="314"/>
          <w:jc w:val="center"/>
        </w:trPr>
        <w:tc>
          <w:tcPr>
            <w:tcW w:w="4867" w:type="dxa"/>
            <w:tcBorders>
              <w:top w:val="dotted" w:sz="4" w:space="0" w:color="5B9BD5" w:themeColor="accent1"/>
              <w:left w:val="single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337972" w:rsidRDefault="00162854" w:rsidP="00937BB8">
            <w:pPr>
              <w:rPr>
                <w:rFonts w:cs="Calibri"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b/>
                <w:color w:val="000000"/>
                <w:sz w:val="20"/>
                <w:szCs w:val="20"/>
              </w:rPr>
              <w:t>Чистые прямые иностранные инвестиции</w:t>
            </w:r>
            <w:r w:rsidRPr="00337972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337972">
              <w:rPr>
                <w:rFonts w:cs="Calibri"/>
                <w:color w:val="000000"/>
                <w:sz w:val="20"/>
                <w:szCs w:val="20"/>
              </w:rPr>
              <w:br/>
              <w:t>(</w:t>
            </w:r>
            <w:r w:rsidRPr="00882A8A">
              <w:rPr>
                <w:rFonts w:cs="Calibri"/>
                <w:i/>
                <w:color w:val="000000"/>
                <w:sz w:val="20"/>
                <w:szCs w:val="20"/>
              </w:rPr>
              <w:t>нетто-приток) (млрд. долл., за период)</w:t>
            </w:r>
          </w:p>
        </w:tc>
        <w:tc>
          <w:tcPr>
            <w:tcW w:w="151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67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84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882A8A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882A8A" w:rsidRDefault="00162854" w:rsidP="00937BB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59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882A8A" w:rsidRDefault="00162854" w:rsidP="00937BB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color w:val="000000"/>
                <w:sz w:val="20"/>
                <w:szCs w:val="20"/>
              </w:rPr>
              <w:t>2,3</w:t>
            </w:r>
          </w:p>
        </w:tc>
      </w:tr>
      <w:tr w:rsidR="00162854" w:rsidRPr="00ED09EB" w:rsidTr="00162854">
        <w:trPr>
          <w:trHeight w:val="91"/>
          <w:jc w:val="center"/>
        </w:trPr>
        <w:tc>
          <w:tcPr>
            <w:tcW w:w="4867" w:type="dxa"/>
            <w:tcBorders>
              <w:top w:val="dotted" w:sz="4" w:space="0" w:color="5B9BD5" w:themeColor="accent1"/>
              <w:left w:val="single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337972" w:rsidRDefault="00162854" w:rsidP="00937BB8">
            <w:pPr>
              <w:ind w:firstLineChars="100" w:firstLine="200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37972">
              <w:rPr>
                <w:rFonts w:cs="Calibri"/>
                <w:i/>
                <w:iCs/>
                <w:color w:val="000000"/>
                <w:sz w:val="20"/>
                <w:szCs w:val="20"/>
              </w:rPr>
              <w:t>в % к ВВП</w:t>
            </w:r>
          </w:p>
        </w:tc>
        <w:tc>
          <w:tcPr>
            <w:tcW w:w="151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iCs/>
                <w:color w:val="000000"/>
                <w:sz w:val="20"/>
                <w:szCs w:val="20"/>
              </w:rPr>
              <w:t>1%</w:t>
            </w:r>
          </w:p>
        </w:tc>
        <w:tc>
          <w:tcPr>
            <w:tcW w:w="1567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iCs/>
                <w:color w:val="000000"/>
                <w:sz w:val="20"/>
                <w:szCs w:val="20"/>
              </w:rPr>
              <w:t>1%</w:t>
            </w:r>
          </w:p>
        </w:tc>
        <w:tc>
          <w:tcPr>
            <w:tcW w:w="1584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iCs/>
                <w:color w:val="000000"/>
                <w:sz w:val="20"/>
                <w:szCs w:val="20"/>
              </w:rPr>
              <w:t>2%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iCs/>
                <w:color w:val="000000"/>
                <w:sz w:val="20"/>
                <w:szCs w:val="20"/>
              </w:rPr>
              <w:t>3%</w:t>
            </w:r>
          </w:p>
        </w:tc>
        <w:tc>
          <w:tcPr>
            <w:tcW w:w="1459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iCs/>
                <w:color w:val="000000"/>
                <w:sz w:val="20"/>
                <w:szCs w:val="20"/>
              </w:rPr>
              <w:t>1%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162854" w:rsidRPr="00882A8A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i/>
                <w:iCs/>
                <w:color w:val="000000"/>
                <w:sz w:val="20"/>
                <w:szCs w:val="20"/>
              </w:rPr>
              <w:t>4%</w:t>
            </w:r>
          </w:p>
        </w:tc>
      </w:tr>
      <w:tr w:rsidR="00162854" w:rsidRPr="00ED09EB" w:rsidTr="00162854">
        <w:trPr>
          <w:trHeight w:val="544"/>
          <w:jc w:val="center"/>
        </w:trPr>
        <w:tc>
          <w:tcPr>
            <w:tcW w:w="4867" w:type="dxa"/>
            <w:tcBorders>
              <w:top w:val="dotted" w:sz="4" w:space="0" w:color="5B9BD5" w:themeColor="accent1"/>
              <w:left w:val="single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</w:tcPr>
          <w:p w:rsidR="00162854" w:rsidRPr="00337972" w:rsidRDefault="00162854" w:rsidP="00882A8A">
            <w:pPr>
              <w:rPr>
                <w:rFonts w:cs="Calibri"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b/>
                <w:color w:val="000000"/>
                <w:sz w:val="19"/>
                <w:szCs w:val="19"/>
              </w:rPr>
              <w:t>Чистые портфельные иностранные инвестиции</w:t>
            </w:r>
            <w:r w:rsidRPr="00882A8A">
              <w:rPr>
                <w:rFonts w:cs="Calibri"/>
                <w:color w:val="000000"/>
                <w:sz w:val="18"/>
                <w:szCs w:val="18"/>
              </w:rPr>
              <w:t xml:space="preserve"> (</w:t>
            </w:r>
            <w:r w:rsidRPr="00882A8A">
              <w:rPr>
                <w:rFonts w:cs="Calibri"/>
                <w:i/>
                <w:color w:val="000000"/>
                <w:sz w:val="18"/>
                <w:szCs w:val="18"/>
              </w:rPr>
              <w:t>нетто-приток) (млрд. долл.,</w:t>
            </w:r>
            <w:r>
              <w:rPr>
                <w:rFonts w:cs="Calibri"/>
                <w:i/>
                <w:color w:val="000000"/>
                <w:sz w:val="18"/>
                <w:szCs w:val="18"/>
              </w:rPr>
              <w:t xml:space="preserve"> </w:t>
            </w:r>
            <w:r w:rsidRPr="00882A8A">
              <w:rPr>
                <w:rFonts w:cs="Calibri"/>
                <w:i/>
                <w:color w:val="000000"/>
                <w:sz w:val="18"/>
                <w:szCs w:val="18"/>
              </w:rPr>
              <w:t>за период</w:t>
            </w:r>
            <w:r w:rsidRPr="00882A8A"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1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561393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561393">
              <w:rPr>
                <w:rFonts w:cs="Calibri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7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561393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561393">
              <w:rPr>
                <w:rFonts w:cs="Calibri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4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</w:tcPr>
          <w:p w:rsidR="00162854" w:rsidRPr="00561393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561393">
              <w:rPr>
                <w:rFonts w:cs="Calibri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</w:tcPr>
          <w:p w:rsidR="00162854" w:rsidRPr="00561393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561393">
              <w:rPr>
                <w:rFonts w:cs="Calibri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</w:tcPr>
          <w:p w:rsidR="00162854" w:rsidRPr="00561393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561393">
              <w:rPr>
                <w:rFonts w:cs="Calibri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162854" w:rsidRPr="00561393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561393">
              <w:rPr>
                <w:rFonts w:cs="Calibri"/>
                <w:iCs/>
                <w:color w:val="000000"/>
                <w:sz w:val="20"/>
                <w:szCs w:val="20"/>
              </w:rPr>
              <w:t>1,3</w:t>
            </w:r>
          </w:p>
        </w:tc>
      </w:tr>
      <w:tr w:rsidR="00162854" w:rsidRPr="00ED09EB" w:rsidTr="00162854">
        <w:trPr>
          <w:trHeight w:val="91"/>
          <w:jc w:val="center"/>
        </w:trPr>
        <w:tc>
          <w:tcPr>
            <w:tcW w:w="4867" w:type="dxa"/>
            <w:tcBorders>
              <w:top w:val="dotted" w:sz="4" w:space="0" w:color="5B9BD5" w:themeColor="accent1"/>
              <w:left w:val="single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</w:tcPr>
          <w:p w:rsidR="00162854" w:rsidRPr="00337972" w:rsidRDefault="00162854" w:rsidP="00937BB8">
            <w:pPr>
              <w:ind w:firstLineChars="100" w:firstLine="200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37972">
              <w:rPr>
                <w:rFonts w:cs="Calibri"/>
                <w:i/>
                <w:iCs/>
                <w:color w:val="000000"/>
                <w:sz w:val="20"/>
                <w:szCs w:val="20"/>
              </w:rPr>
              <w:t>в % к ВВП</w:t>
            </w:r>
          </w:p>
        </w:tc>
        <w:tc>
          <w:tcPr>
            <w:tcW w:w="151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337972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37972">
              <w:rPr>
                <w:rFonts w:cs="Calibri"/>
                <w:i/>
                <w:i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67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C949CD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C949CD">
              <w:rPr>
                <w:rFonts w:cs="Calibri"/>
                <w:i/>
                <w:i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</w:tcPr>
          <w:p w:rsidR="00162854" w:rsidRPr="00C949CD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C949CD">
              <w:rPr>
                <w:rFonts w:cs="Calibri"/>
                <w:i/>
                <w:i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</w:tcPr>
          <w:p w:rsidR="00162854" w:rsidRPr="00C949CD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C949CD">
              <w:rPr>
                <w:rFonts w:cs="Calibri"/>
                <w:i/>
                <w:i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59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</w:tcPr>
          <w:p w:rsidR="00162854" w:rsidRPr="00C949CD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C949CD">
              <w:rPr>
                <w:rFonts w:cs="Calibri"/>
                <w:i/>
                <w:i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162854" w:rsidRPr="008D3FA9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8D3FA9">
              <w:rPr>
                <w:rFonts w:cs="Calibri"/>
                <w:i/>
                <w:iCs/>
                <w:color w:val="000000"/>
                <w:sz w:val="20"/>
                <w:szCs w:val="20"/>
              </w:rPr>
              <w:t>2%</w:t>
            </w:r>
          </w:p>
        </w:tc>
      </w:tr>
      <w:tr w:rsidR="00162854" w:rsidRPr="00ED09EB" w:rsidTr="00162854">
        <w:trPr>
          <w:trHeight w:val="314"/>
          <w:jc w:val="center"/>
        </w:trPr>
        <w:tc>
          <w:tcPr>
            <w:tcW w:w="4867" w:type="dxa"/>
            <w:tcBorders>
              <w:top w:val="dotted" w:sz="4" w:space="0" w:color="5B9BD5" w:themeColor="accent1"/>
              <w:left w:val="single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337972" w:rsidRDefault="00162854" w:rsidP="00937BB8">
            <w:pPr>
              <w:rPr>
                <w:rFonts w:cs="Calibri"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b/>
                <w:color w:val="000000"/>
                <w:sz w:val="20"/>
                <w:szCs w:val="20"/>
              </w:rPr>
              <w:t>Чистый внешний долг, без учёта евробондов</w:t>
            </w:r>
            <w:r w:rsidRPr="00337972">
              <w:rPr>
                <w:rFonts w:cs="Calibri"/>
                <w:color w:val="000000"/>
                <w:sz w:val="20"/>
                <w:szCs w:val="20"/>
              </w:rPr>
              <w:br/>
              <w:t>(</w:t>
            </w:r>
            <w:r w:rsidRPr="00882A8A">
              <w:rPr>
                <w:rFonts w:cs="Calibri"/>
                <w:i/>
                <w:color w:val="000000"/>
                <w:sz w:val="20"/>
                <w:szCs w:val="20"/>
              </w:rPr>
              <w:t>нетто-приток) (млрд. долл., за период)</w:t>
            </w:r>
          </w:p>
        </w:tc>
        <w:tc>
          <w:tcPr>
            <w:tcW w:w="151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561393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561393">
              <w:rPr>
                <w:rFonts w:cs="Calibri"/>
                <w:i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567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561393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561393">
              <w:rPr>
                <w:rFonts w:cs="Calibri"/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84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561393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561393">
              <w:rPr>
                <w:rFonts w:cs="Calibri"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561393" w:rsidRDefault="00162854" w:rsidP="00937BB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393">
              <w:rPr>
                <w:rFonts w:cs="Calibri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59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561393" w:rsidRDefault="00162854" w:rsidP="00937BB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393">
              <w:rPr>
                <w:rFonts w:cs="Calibri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162854" w:rsidRPr="00561393" w:rsidRDefault="00162854" w:rsidP="00937BB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393">
              <w:rPr>
                <w:rFonts w:cs="Calibri"/>
                <w:color w:val="000000"/>
                <w:sz w:val="20"/>
                <w:szCs w:val="20"/>
              </w:rPr>
              <w:t>5,6</w:t>
            </w:r>
          </w:p>
        </w:tc>
      </w:tr>
      <w:tr w:rsidR="00162854" w:rsidRPr="00ED09EB" w:rsidTr="00162854">
        <w:trPr>
          <w:trHeight w:val="91"/>
          <w:jc w:val="center"/>
        </w:trPr>
        <w:tc>
          <w:tcPr>
            <w:tcW w:w="4867" w:type="dxa"/>
            <w:tcBorders>
              <w:top w:val="dotted" w:sz="4" w:space="0" w:color="5B9BD5" w:themeColor="accent1"/>
              <w:left w:val="single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337972" w:rsidRDefault="00162854" w:rsidP="00937BB8">
            <w:pPr>
              <w:ind w:firstLineChars="100" w:firstLine="200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37972">
              <w:rPr>
                <w:rFonts w:cs="Calibri"/>
                <w:i/>
                <w:iCs/>
                <w:color w:val="000000"/>
                <w:sz w:val="20"/>
                <w:szCs w:val="20"/>
              </w:rPr>
              <w:t>в % к ВВП</w:t>
            </w:r>
          </w:p>
        </w:tc>
        <w:tc>
          <w:tcPr>
            <w:tcW w:w="151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337972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37972">
              <w:rPr>
                <w:rFonts w:cs="Calibri"/>
                <w:i/>
                <w:iCs/>
                <w:color w:val="000000"/>
                <w:sz w:val="20"/>
                <w:szCs w:val="20"/>
              </w:rPr>
              <w:t>3%</w:t>
            </w:r>
          </w:p>
        </w:tc>
        <w:tc>
          <w:tcPr>
            <w:tcW w:w="1567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C949CD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C949CD">
              <w:rPr>
                <w:rFonts w:cs="Calibri"/>
                <w:i/>
                <w:iCs/>
                <w:color w:val="000000"/>
                <w:sz w:val="20"/>
                <w:szCs w:val="20"/>
              </w:rPr>
              <w:t>2%</w:t>
            </w:r>
          </w:p>
        </w:tc>
        <w:tc>
          <w:tcPr>
            <w:tcW w:w="1584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C949CD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C949CD">
              <w:rPr>
                <w:rFonts w:cs="Calibri"/>
                <w:i/>
                <w:iCs/>
                <w:color w:val="000000"/>
                <w:sz w:val="20"/>
                <w:szCs w:val="20"/>
              </w:rPr>
              <w:t>2%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C949CD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C949CD">
              <w:rPr>
                <w:rFonts w:cs="Calibri"/>
                <w:i/>
                <w:iCs/>
                <w:color w:val="000000"/>
                <w:sz w:val="20"/>
                <w:szCs w:val="20"/>
              </w:rPr>
              <w:t>2%</w:t>
            </w:r>
          </w:p>
        </w:tc>
        <w:tc>
          <w:tcPr>
            <w:tcW w:w="1459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C949CD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C949CD">
              <w:rPr>
                <w:rFonts w:cs="Calibri"/>
                <w:i/>
                <w:iCs/>
                <w:color w:val="000000"/>
                <w:sz w:val="20"/>
                <w:szCs w:val="20"/>
              </w:rPr>
              <w:t>4%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162854" w:rsidRPr="008D3FA9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8D3FA9">
              <w:rPr>
                <w:rFonts w:cs="Calibri"/>
                <w:i/>
                <w:iCs/>
                <w:color w:val="000000"/>
                <w:sz w:val="20"/>
                <w:szCs w:val="20"/>
              </w:rPr>
              <w:t>10%</w:t>
            </w:r>
          </w:p>
        </w:tc>
      </w:tr>
      <w:tr w:rsidR="00162854" w:rsidRPr="00ED09EB" w:rsidTr="00162854">
        <w:trPr>
          <w:trHeight w:val="314"/>
          <w:jc w:val="center"/>
        </w:trPr>
        <w:tc>
          <w:tcPr>
            <w:tcW w:w="4867" w:type="dxa"/>
            <w:tcBorders>
              <w:top w:val="dotted" w:sz="4" w:space="0" w:color="5B9BD5" w:themeColor="accent1"/>
              <w:left w:val="single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882A8A" w:rsidRDefault="00162854" w:rsidP="00937BB8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b/>
                <w:color w:val="000000"/>
                <w:sz w:val="20"/>
                <w:szCs w:val="20"/>
              </w:rPr>
              <w:t>Международные резервы, валовые</w:t>
            </w:r>
          </w:p>
          <w:p w:rsidR="00162854" w:rsidRPr="00337972" w:rsidRDefault="00162854" w:rsidP="00937BB8">
            <w:pPr>
              <w:rPr>
                <w:rFonts w:cs="Calibri"/>
                <w:color w:val="000000"/>
                <w:sz w:val="20"/>
                <w:szCs w:val="20"/>
              </w:rPr>
            </w:pPr>
            <w:r w:rsidRPr="00337972">
              <w:rPr>
                <w:rFonts w:cs="Calibri"/>
                <w:color w:val="000000"/>
                <w:sz w:val="20"/>
                <w:szCs w:val="20"/>
              </w:rPr>
              <w:t>(</w:t>
            </w:r>
            <w:r w:rsidRPr="00882A8A">
              <w:rPr>
                <w:rFonts w:cs="Calibri"/>
                <w:i/>
                <w:color w:val="000000"/>
                <w:sz w:val="20"/>
                <w:szCs w:val="20"/>
              </w:rPr>
              <w:t>млрд. долл. США, на конец периода)</w:t>
            </w:r>
          </w:p>
        </w:tc>
        <w:tc>
          <w:tcPr>
            <w:tcW w:w="151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561393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561393">
              <w:rPr>
                <w:rFonts w:cs="Calibri"/>
                <w:i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567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561393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561393">
              <w:rPr>
                <w:rFonts w:cs="Calibri"/>
                <w:iCs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584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561393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561393">
              <w:rPr>
                <w:rFonts w:cs="Calibri"/>
                <w:i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561393" w:rsidRDefault="00162854" w:rsidP="00937BB8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561393"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561393">
              <w:rPr>
                <w:rFonts w:cs="Calibri"/>
                <w:color w:val="000000"/>
                <w:sz w:val="20"/>
                <w:szCs w:val="20"/>
                <w:lang w:val="en-US"/>
              </w:rPr>
              <w:t>8</w:t>
            </w:r>
            <w:r w:rsidRPr="00561393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561393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59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561393" w:rsidRDefault="00162854" w:rsidP="00937BB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393">
              <w:rPr>
                <w:rFonts w:cs="Calibri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162854" w:rsidRPr="00561393" w:rsidRDefault="00162854" w:rsidP="00937BB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393"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  <w:r w:rsidRPr="00561393">
              <w:rPr>
                <w:rFonts w:cs="Calibri"/>
                <w:color w:val="000000"/>
                <w:sz w:val="20"/>
                <w:szCs w:val="20"/>
              </w:rPr>
              <w:t>9</w:t>
            </w:r>
            <w:r w:rsidRPr="00561393">
              <w:rPr>
                <w:rFonts w:cs="Calibri"/>
                <w:color w:val="000000"/>
                <w:sz w:val="20"/>
                <w:szCs w:val="20"/>
                <w:lang w:val="en-US"/>
              </w:rPr>
              <w:t>,</w:t>
            </w:r>
            <w:r w:rsidRPr="0056139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162854" w:rsidRPr="00ED09EB" w:rsidTr="00162854">
        <w:trPr>
          <w:trHeight w:val="91"/>
          <w:jc w:val="center"/>
        </w:trPr>
        <w:tc>
          <w:tcPr>
            <w:tcW w:w="4867" w:type="dxa"/>
            <w:tcBorders>
              <w:top w:val="dotted" w:sz="4" w:space="0" w:color="5B9BD5" w:themeColor="accent1"/>
              <w:left w:val="single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337972" w:rsidRDefault="00162854" w:rsidP="00937BB8">
            <w:pPr>
              <w:ind w:left="314" w:firstLineChars="10" w:firstLine="20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37972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в месяцах от импорта </w:t>
            </w:r>
            <w:r w:rsidRPr="00337972">
              <w:rPr>
                <w:rFonts w:cs="Calibri"/>
                <w:i/>
                <w:iCs/>
                <w:color w:val="000000"/>
                <w:sz w:val="20"/>
                <w:szCs w:val="20"/>
              </w:rPr>
              <w:br/>
              <w:t>товаров и услуг</w:t>
            </w:r>
          </w:p>
        </w:tc>
        <w:tc>
          <w:tcPr>
            <w:tcW w:w="151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337972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37972">
              <w:rPr>
                <w:rFonts w:cs="Calibri"/>
                <w:i/>
                <w:i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567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C949CD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C949CD">
              <w:rPr>
                <w:rFonts w:cs="Calibri"/>
                <w:i/>
                <w:iCs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584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C949CD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C949CD">
              <w:rPr>
                <w:rFonts w:cs="Calibri"/>
                <w:i/>
                <w:i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C949CD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949CD">
              <w:rPr>
                <w:rFonts w:cs="Calibri"/>
                <w:i/>
                <w:iCs/>
                <w:color w:val="000000"/>
                <w:sz w:val="20"/>
                <w:szCs w:val="20"/>
              </w:rPr>
              <w:t>20,</w:t>
            </w:r>
            <w:r w:rsidRPr="00C949CD">
              <w:rPr>
                <w:rFonts w:cs="Calibri"/>
                <w:i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59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96189D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96189D">
              <w:rPr>
                <w:rFonts w:cs="Calibri"/>
                <w:i/>
                <w:i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  <w:right w:val="single" w:sz="4" w:space="0" w:color="5B9BD5" w:themeColor="accent1"/>
            </w:tcBorders>
            <w:vAlign w:val="center"/>
          </w:tcPr>
          <w:p w:rsidR="00162854" w:rsidRPr="0096189D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6189D">
              <w:rPr>
                <w:rFonts w:cs="Calibri"/>
                <w:i/>
                <w:iCs/>
                <w:color w:val="000000"/>
                <w:sz w:val="20"/>
                <w:szCs w:val="20"/>
              </w:rPr>
              <w:t>1</w:t>
            </w:r>
            <w:r w:rsidRPr="0096189D">
              <w:rPr>
                <w:rFonts w:cs="Calibri"/>
                <w:i/>
                <w:iCs/>
                <w:color w:val="000000"/>
                <w:sz w:val="20"/>
                <w:szCs w:val="20"/>
                <w:lang w:val="en-US"/>
              </w:rPr>
              <w:t>3</w:t>
            </w:r>
            <w:r w:rsidRPr="0096189D">
              <w:rPr>
                <w:rFonts w:cs="Calibri"/>
                <w:i/>
                <w:iCs/>
                <w:color w:val="000000"/>
                <w:sz w:val="20"/>
                <w:szCs w:val="20"/>
              </w:rPr>
              <w:t>,</w:t>
            </w:r>
            <w:r w:rsidRPr="0096189D">
              <w:rPr>
                <w:rFonts w:cs="Calibri"/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162854" w:rsidRPr="00ED09EB" w:rsidTr="00162854">
        <w:trPr>
          <w:trHeight w:val="314"/>
          <w:jc w:val="center"/>
        </w:trPr>
        <w:tc>
          <w:tcPr>
            <w:tcW w:w="4867" w:type="dxa"/>
            <w:tcBorders>
              <w:top w:val="dotted" w:sz="4" w:space="0" w:color="5B9BD5" w:themeColor="accent1"/>
              <w:left w:val="single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882A8A" w:rsidRDefault="00162854" w:rsidP="00937BB8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882A8A">
              <w:rPr>
                <w:rFonts w:cs="Calibri"/>
                <w:b/>
                <w:color w:val="000000"/>
                <w:sz w:val="20"/>
                <w:szCs w:val="20"/>
              </w:rPr>
              <w:t>Экспорт золота (в тоннах)</w:t>
            </w:r>
          </w:p>
        </w:tc>
        <w:tc>
          <w:tcPr>
            <w:tcW w:w="151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C949CD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C949CD">
              <w:rPr>
                <w:rFonts w:cs="Calibri"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7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C949CD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C949CD">
              <w:rPr>
                <w:rFonts w:cs="Calibri"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4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C949CD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C949CD">
              <w:rPr>
                <w:rFonts w:cs="Calibri"/>
                <w:iCs/>
                <w:color w:val="000000"/>
                <w:sz w:val="20"/>
                <w:szCs w:val="20"/>
              </w:rPr>
              <w:t>70 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C949CD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C949CD">
              <w:rPr>
                <w:rFonts w:cs="Calibri"/>
                <w:iCs/>
                <w:color w:val="000000"/>
                <w:sz w:val="20"/>
                <w:szCs w:val="20"/>
              </w:rPr>
              <w:t>80 </w:t>
            </w:r>
          </w:p>
        </w:tc>
        <w:tc>
          <w:tcPr>
            <w:tcW w:w="1459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C949CD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C949CD">
              <w:rPr>
                <w:rFonts w:cs="Calibri"/>
                <w:iCs/>
                <w:color w:val="000000"/>
                <w:sz w:val="20"/>
                <w:szCs w:val="20"/>
              </w:rPr>
              <w:t>70 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  <w:right w:val="single" w:sz="4" w:space="0" w:color="5B9BD5" w:themeColor="accent1"/>
            </w:tcBorders>
            <w:vAlign w:val="center"/>
          </w:tcPr>
          <w:p w:rsidR="00162854" w:rsidRPr="0096189D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96189D">
              <w:rPr>
                <w:rFonts w:cs="Calibri"/>
                <w:iCs/>
                <w:color w:val="000000"/>
                <w:sz w:val="20"/>
                <w:szCs w:val="20"/>
              </w:rPr>
              <w:t>110</w:t>
            </w:r>
          </w:p>
        </w:tc>
      </w:tr>
      <w:tr w:rsidR="00162854" w:rsidRPr="00ED09EB" w:rsidTr="00162854">
        <w:trPr>
          <w:trHeight w:val="314"/>
          <w:jc w:val="center"/>
        </w:trPr>
        <w:tc>
          <w:tcPr>
            <w:tcW w:w="4867" w:type="dxa"/>
            <w:tcBorders>
              <w:top w:val="dotted" w:sz="4" w:space="0" w:color="5B9BD5" w:themeColor="accent1"/>
              <w:left w:val="single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337972" w:rsidRDefault="00162854" w:rsidP="00937BB8">
            <w:pPr>
              <w:ind w:left="314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337972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мировые цены на золото </w:t>
            </w:r>
            <w:r w:rsidRPr="00337972">
              <w:rPr>
                <w:rFonts w:cs="Calibri"/>
                <w:i/>
                <w:iCs/>
                <w:color w:val="000000"/>
                <w:sz w:val="20"/>
                <w:szCs w:val="20"/>
              </w:rPr>
              <w:br/>
              <w:t>(средние за период)</w:t>
            </w:r>
          </w:p>
        </w:tc>
        <w:tc>
          <w:tcPr>
            <w:tcW w:w="151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561393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61393">
              <w:rPr>
                <w:rFonts w:cs="Calibri"/>
                <w:i/>
                <w:iCs/>
                <w:color w:val="000000"/>
                <w:sz w:val="20"/>
                <w:szCs w:val="20"/>
              </w:rPr>
              <w:t>1 265,9</w:t>
            </w:r>
          </w:p>
        </w:tc>
        <w:tc>
          <w:tcPr>
            <w:tcW w:w="1567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561393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61393">
              <w:rPr>
                <w:rFonts w:cs="Calibri"/>
                <w:i/>
                <w:iCs/>
                <w:color w:val="000000"/>
                <w:sz w:val="20"/>
                <w:szCs w:val="20"/>
              </w:rPr>
              <w:t>1 159,9</w:t>
            </w:r>
          </w:p>
        </w:tc>
        <w:tc>
          <w:tcPr>
            <w:tcW w:w="1584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561393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61393">
              <w:rPr>
                <w:rFonts w:cs="Calibri"/>
                <w:i/>
                <w:iCs/>
                <w:color w:val="000000"/>
                <w:sz w:val="20"/>
                <w:szCs w:val="20"/>
              </w:rPr>
              <w:t>1 248,1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561393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61393">
              <w:rPr>
                <w:rFonts w:cs="Calibri"/>
                <w:i/>
                <w:iCs/>
                <w:color w:val="000000"/>
                <w:sz w:val="20"/>
                <w:szCs w:val="20"/>
              </w:rPr>
              <w:t>1 258,2</w:t>
            </w:r>
          </w:p>
        </w:tc>
        <w:tc>
          <w:tcPr>
            <w:tcW w:w="1459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561393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561393">
              <w:rPr>
                <w:rFonts w:cs="Calibri"/>
                <w:i/>
                <w:iCs/>
                <w:color w:val="000000"/>
                <w:sz w:val="20"/>
                <w:szCs w:val="20"/>
              </w:rPr>
              <w:t>1 268,7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  <w:right w:val="single" w:sz="4" w:space="0" w:color="5B9BD5" w:themeColor="accent1"/>
            </w:tcBorders>
            <w:vAlign w:val="center"/>
          </w:tcPr>
          <w:p w:rsidR="00162854" w:rsidRPr="0096189D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96189D">
              <w:rPr>
                <w:rFonts w:cs="Calibri"/>
                <w:i/>
                <w:iCs/>
                <w:color w:val="000000"/>
                <w:sz w:val="20"/>
                <w:szCs w:val="20"/>
              </w:rPr>
              <w:t>1 393,1</w:t>
            </w:r>
          </w:p>
        </w:tc>
      </w:tr>
      <w:tr w:rsidR="00162854" w:rsidRPr="00ED09EB" w:rsidTr="00162854">
        <w:trPr>
          <w:trHeight w:val="314"/>
          <w:jc w:val="center"/>
        </w:trPr>
        <w:tc>
          <w:tcPr>
            <w:tcW w:w="4867" w:type="dxa"/>
            <w:tcBorders>
              <w:top w:val="dotted" w:sz="4" w:space="0" w:color="5B9BD5" w:themeColor="accent1"/>
              <w:left w:val="single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4228A0" w:rsidRDefault="00162854" w:rsidP="00937BB8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4228A0">
              <w:rPr>
                <w:rFonts w:cs="Calibri"/>
                <w:b/>
                <w:color w:val="000000"/>
                <w:sz w:val="20"/>
                <w:szCs w:val="20"/>
              </w:rPr>
              <w:t>Курс доллара к суму (средний за год)</w:t>
            </w:r>
          </w:p>
        </w:tc>
        <w:tc>
          <w:tcPr>
            <w:tcW w:w="151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4228A0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4228A0">
              <w:rPr>
                <w:rFonts w:cs="Calibri"/>
                <w:iCs/>
                <w:color w:val="000000"/>
                <w:sz w:val="20"/>
                <w:szCs w:val="20"/>
              </w:rPr>
              <w:t>2 311</w:t>
            </w:r>
          </w:p>
        </w:tc>
        <w:tc>
          <w:tcPr>
            <w:tcW w:w="1567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vAlign w:val="center"/>
          </w:tcPr>
          <w:p w:rsidR="00162854" w:rsidRPr="004228A0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4228A0">
              <w:rPr>
                <w:rFonts w:cs="Calibri"/>
                <w:iCs/>
                <w:color w:val="000000"/>
                <w:sz w:val="20"/>
                <w:szCs w:val="20"/>
              </w:rPr>
              <w:t>2 568</w:t>
            </w:r>
          </w:p>
        </w:tc>
        <w:tc>
          <w:tcPr>
            <w:tcW w:w="1584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4228A0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4228A0">
              <w:rPr>
                <w:rFonts w:cs="Calibri"/>
                <w:iCs/>
                <w:color w:val="000000"/>
                <w:sz w:val="20"/>
                <w:szCs w:val="20"/>
              </w:rPr>
              <w:t>2 966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4228A0" w:rsidRDefault="00162854" w:rsidP="00937BB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228A0">
              <w:rPr>
                <w:rFonts w:cs="Calibri"/>
                <w:color w:val="000000"/>
                <w:sz w:val="20"/>
                <w:szCs w:val="20"/>
              </w:rPr>
              <w:t>5 121</w:t>
            </w:r>
          </w:p>
        </w:tc>
        <w:tc>
          <w:tcPr>
            <w:tcW w:w="1459" w:type="dxa"/>
            <w:tcBorders>
              <w:top w:val="dotted" w:sz="4" w:space="0" w:color="5B9BD5" w:themeColor="accent1"/>
              <w:bottom w:val="dotted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4228A0" w:rsidRDefault="00162854" w:rsidP="00937BB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228A0">
              <w:rPr>
                <w:rFonts w:cs="Calibri"/>
                <w:color w:val="000000"/>
                <w:sz w:val="20"/>
                <w:szCs w:val="20"/>
              </w:rPr>
              <w:t>8 069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dotted" w:sz="4" w:space="0" w:color="5B9BD5" w:themeColor="accent1"/>
              <w:right w:val="single" w:sz="4" w:space="0" w:color="5B9BD5" w:themeColor="accent1"/>
            </w:tcBorders>
            <w:vAlign w:val="center"/>
          </w:tcPr>
          <w:p w:rsidR="00162854" w:rsidRPr="004228A0" w:rsidRDefault="00162854" w:rsidP="00937BB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228A0">
              <w:rPr>
                <w:rFonts w:cs="Calibri"/>
                <w:color w:val="000000"/>
                <w:sz w:val="20"/>
                <w:szCs w:val="20"/>
              </w:rPr>
              <w:t>8 837</w:t>
            </w:r>
          </w:p>
        </w:tc>
      </w:tr>
      <w:tr w:rsidR="00162854" w:rsidRPr="00ED09EB" w:rsidTr="00162854">
        <w:trPr>
          <w:trHeight w:val="651"/>
          <w:jc w:val="center"/>
        </w:trPr>
        <w:tc>
          <w:tcPr>
            <w:tcW w:w="4867" w:type="dxa"/>
            <w:tcBorders>
              <w:top w:val="dotted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4228A0" w:rsidRDefault="00162854" w:rsidP="00937BB8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4228A0">
              <w:rPr>
                <w:rFonts w:cs="Calibri"/>
                <w:i/>
                <w:color w:val="000000"/>
                <w:sz w:val="20"/>
                <w:szCs w:val="20"/>
              </w:rPr>
              <w:t>Справочно:</w:t>
            </w:r>
          </w:p>
          <w:p w:rsidR="00162854" w:rsidRPr="00337972" w:rsidRDefault="00162854" w:rsidP="004228A0">
            <w:pPr>
              <w:rPr>
                <w:rFonts w:cs="Calibri"/>
                <w:color w:val="000000"/>
                <w:sz w:val="20"/>
                <w:szCs w:val="20"/>
              </w:rPr>
            </w:pPr>
            <w:r w:rsidRPr="00337972">
              <w:rPr>
                <w:rFonts w:cs="Calibri"/>
                <w:color w:val="000000"/>
                <w:sz w:val="20"/>
                <w:szCs w:val="20"/>
              </w:rPr>
              <w:t xml:space="preserve">ВВП в текущих ценах 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</w:r>
            <w:r w:rsidRPr="00337972">
              <w:rPr>
                <w:rFonts w:cs="Calibri"/>
                <w:iCs/>
                <w:color w:val="000000"/>
                <w:sz w:val="20"/>
                <w:szCs w:val="20"/>
              </w:rPr>
              <w:t>(</w:t>
            </w:r>
            <w:r>
              <w:rPr>
                <w:rFonts w:cs="Calibri"/>
                <w:iCs/>
                <w:color w:val="000000"/>
                <w:sz w:val="20"/>
                <w:szCs w:val="20"/>
              </w:rPr>
              <w:t xml:space="preserve">в </w:t>
            </w:r>
            <w:r w:rsidRPr="00337972">
              <w:rPr>
                <w:rFonts w:cs="Calibri"/>
                <w:iCs/>
                <w:color w:val="000000"/>
                <w:sz w:val="20"/>
                <w:szCs w:val="20"/>
              </w:rPr>
              <w:t>млрд. долл. на конец периода)</w:t>
            </w:r>
          </w:p>
        </w:tc>
        <w:tc>
          <w:tcPr>
            <w:tcW w:w="1518" w:type="dxa"/>
            <w:tcBorders>
              <w:top w:val="dotted" w:sz="4" w:space="0" w:color="5B9BD5" w:themeColor="accent1"/>
              <w:bottom w:val="single" w:sz="4" w:space="0" w:color="5B9BD5" w:themeColor="accent1"/>
            </w:tcBorders>
            <w:vAlign w:val="center"/>
          </w:tcPr>
          <w:p w:rsidR="00162854" w:rsidRPr="00337972" w:rsidRDefault="00162854" w:rsidP="00937BB8">
            <w:pPr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337972">
              <w:rPr>
                <w:rFonts w:cs="Calibri"/>
                <w:iCs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567" w:type="dxa"/>
            <w:tcBorders>
              <w:top w:val="dotted" w:sz="4" w:space="0" w:color="5B9BD5" w:themeColor="accent1"/>
              <w:bottom w:val="single" w:sz="4" w:space="0" w:color="5B9BD5" w:themeColor="accent1"/>
            </w:tcBorders>
            <w:vAlign w:val="center"/>
          </w:tcPr>
          <w:p w:rsidR="00162854" w:rsidRPr="00C949CD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C949CD">
              <w:rPr>
                <w:rFonts w:cs="Calibri"/>
                <w:i/>
                <w:iCs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584" w:type="dxa"/>
            <w:tcBorders>
              <w:top w:val="dotted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C949CD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C949CD">
              <w:rPr>
                <w:rFonts w:cs="Calibri"/>
                <w:i/>
                <w:iCs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C949CD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C949CD">
              <w:rPr>
                <w:rFonts w:cs="Calibri"/>
                <w:i/>
                <w:iCs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459" w:type="dxa"/>
            <w:tcBorders>
              <w:top w:val="dotted" w:sz="4" w:space="0" w:color="5B9BD5" w:themeColor="accent1"/>
              <w:bottom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62854" w:rsidRPr="00C949CD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C949CD">
              <w:rPr>
                <w:rFonts w:cs="Calibri"/>
                <w:i/>
                <w:iCs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458" w:type="dxa"/>
            <w:tcBorders>
              <w:top w:val="dotted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62854" w:rsidRPr="002921A6" w:rsidRDefault="00162854" w:rsidP="00937BB8">
            <w:pPr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2921A6">
              <w:rPr>
                <w:rFonts w:cs="Calibri"/>
                <w:i/>
                <w:iCs/>
                <w:color w:val="000000"/>
                <w:sz w:val="20"/>
                <w:szCs w:val="20"/>
              </w:rPr>
              <w:t>57,9</w:t>
            </w:r>
          </w:p>
        </w:tc>
      </w:tr>
    </w:tbl>
    <w:p w:rsidR="00937BB8" w:rsidRPr="005507FD" w:rsidRDefault="00B26DD1" w:rsidP="00937BB8">
      <w:pPr>
        <w:pStyle w:val="ac"/>
        <w:rPr>
          <w:i/>
          <w:sz w:val="22"/>
          <w:szCs w:val="22"/>
        </w:rPr>
      </w:pPr>
      <w:r w:rsidRPr="00B26DD1">
        <w:rPr>
          <w:rFonts w:cs="Calibri"/>
          <w:i/>
          <w:noProof/>
          <w:sz w:val="22"/>
          <w:szCs w:val="22"/>
        </w:rPr>
        <w:pict>
          <v:group id="Группа 37" o:spid="_x0000_s1027" style="position:absolute;margin-left:61pt;margin-top:783.9pt;width:466pt;height:36.6pt;z-index:251672064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">
            <v:rect id="Прямоугольник 38" o:spid="_x0000_s1028" style="position:absolute;left:190;width:59436;height:1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" fillcolor="#00b0f0" strokecolor="#8eaadb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39" o:spid="_x0000_s1029" type="#_x0000_t202" style="position:absolute;top:666;width:59436;height:2572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" filled="f" strokecolor="white" strokeweight=".5pt">
              <v:textbox inset=",,,0">
                <w:txbxContent>
                  <w:p w:rsidR="00B36DE8" w:rsidRPr="00F13DBF" w:rsidRDefault="00B36DE8" w:rsidP="00937BB8">
                    <w:pPr>
                      <w:spacing w:before="100" w:beforeAutospacing="1"/>
                      <w:rPr>
                        <w:rFonts w:cs="Calibri"/>
                        <w:color w:val="808080"/>
                        <w:sz w:val="18"/>
                        <w:szCs w:val="18"/>
                      </w:rPr>
                    </w:pPr>
                    <w:r w:rsidRPr="00F13DBF">
                      <w:rPr>
                        <w:rFonts w:cs="Calibri"/>
                        <w:i/>
                        <w:sz w:val="18"/>
                        <w:szCs w:val="18"/>
                      </w:rPr>
                      <w:t>ПЛАТЁЖНЫЙ БАЛАНС, МЕЖДУНАРОДНАЯ ИНВЕСТИЦИОННАЯ ПОЗИЦИЯ И ВНЕШНИЙ ДОЛГ РЕСПУБЛИКИ УЗБЕКИСТАН ЗА 2019 ГОД</w:t>
                    </w:r>
                  </w:p>
                  <w:p w:rsidR="00B36DE8" w:rsidRPr="00F13DBF" w:rsidRDefault="00B36DE8" w:rsidP="00937BB8">
                    <w:pPr>
                      <w:spacing w:before="100" w:beforeAutospacing="1"/>
                      <w:rPr>
                        <w:rFonts w:cs="Calibri"/>
                        <w:color w:val="808080"/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square" anchorx="page" anchory="page"/>
          </v:group>
        </w:pict>
      </w:r>
      <w:r w:rsidRPr="00B26DD1">
        <w:rPr>
          <w:rFonts w:cs="Calibri"/>
          <w:i/>
          <w:noProof/>
          <w:sz w:val="22"/>
          <w:szCs w:val="22"/>
        </w:rPr>
        <w:pict>
          <v:rect id="Прямоугольник 40" o:spid="_x0000_s1030" style="position:absolute;margin-left:528.5pt;margin-top:783.9pt;width:26.75pt;height:31.9pt;z-index:251671040;visibility:visible;mso-wrap-distance-left:0;mso-wrap-distance-right:0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" fillcolor="#00b0f0" stroked="f" strokeweight="3pt">
            <v:textbox>
              <w:txbxContent>
                <w:p w:rsidR="00B36DE8" w:rsidRPr="00C24CE9" w:rsidRDefault="00B36DE8" w:rsidP="00937BB8">
                  <w:pPr>
                    <w:jc w:val="center"/>
                    <w:rPr>
                      <w:rFonts w:ascii="Times New Roman" w:hAnsi="Times New Roman"/>
                      <w:color w:val="FFFFFF"/>
                      <w:sz w:val="10"/>
                      <w:szCs w:val="10"/>
                    </w:rPr>
                  </w:pPr>
                </w:p>
                <w:p w:rsidR="00B36DE8" w:rsidRPr="00633FE0" w:rsidRDefault="00B26DD1" w:rsidP="00937BB8">
                  <w:pPr>
                    <w:jc w:val="center"/>
                    <w:rPr>
                      <w:rFonts w:cs="Calibri"/>
                      <w:color w:val="FFFFFF"/>
                      <w:sz w:val="22"/>
                      <w:szCs w:val="22"/>
                    </w:rPr>
                  </w:pPr>
                  <w:r w:rsidRPr="00633FE0">
                    <w:rPr>
                      <w:rFonts w:cs="Calibri"/>
                      <w:color w:val="FFFFFF"/>
                      <w:sz w:val="22"/>
                      <w:szCs w:val="22"/>
                    </w:rPr>
                    <w:fldChar w:fldCharType="begin"/>
                  </w:r>
                  <w:r w:rsidR="00B36DE8" w:rsidRPr="00633FE0">
                    <w:rPr>
                      <w:rFonts w:cs="Calibri"/>
                      <w:color w:val="FFFFFF"/>
                      <w:sz w:val="22"/>
                      <w:szCs w:val="22"/>
                    </w:rPr>
                    <w:instrText>PAGE   \* MERGEFORMAT</w:instrText>
                  </w:r>
                  <w:r w:rsidRPr="00633FE0">
                    <w:rPr>
                      <w:rFonts w:cs="Calibri"/>
                      <w:color w:val="FFFFFF"/>
                      <w:sz w:val="22"/>
                      <w:szCs w:val="22"/>
                    </w:rPr>
                    <w:fldChar w:fldCharType="separate"/>
                  </w:r>
                  <w:r w:rsidR="00372F12">
                    <w:rPr>
                      <w:rFonts w:cs="Calibri"/>
                      <w:noProof/>
                      <w:color w:val="FFFFFF"/>
                      <w:sz w:val="22"/>
                      <w:szCs w:val="22"/>
                    </w:rPr>
                    <w:t>17</w:t>
                  </w:r>
                  <w:r w:rsidRPr="00633FE0">
                    <w:rPr>
                      <w:rFonts w:cs="Calibri"/>
                      <w:color w:val="FFFFFF"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  <w10:wrap type="square" anchorx="page" anchory="page"/>
          </v:rect>
        </w:pict>
      </w:r>
    </w:p>
    <w:p w:rsidR="00E95080" w:rsidRDefault="00E95080" w:rsidP="00E95080">
      <w:pPr>
        <w:spacing w:line="288" w:lineRule="auto"/>
        <w:jc w:val="both"/>
        <w:rPr>
          <w:sz w:val="26"/>
          <w:szCs w:val="26"/>
        </w:rPr>
        <w:sectPr w:rsidR="00E95080" w:rsidSect="00F71681">
          <w:pgSz w:w="16838" w:h="11906" w:orient="landscape" w:code="9"/>
          <w:pgMar w:top="851" w:right="851" w:bottom="1134" w:left="1134" w:header="709" w:footer="0" w:gutter="0"/>
          <w:cols w:space="708"/>
          <w:titlePg/>
          <w:docGrid w:linePitch="360"/>
        </w:sectPr>
      </w:pPr>
    </w:p>
    <w:p w:rsidR="000860D7" w:rsidRPr="009E6965" w:rsidRDefault="000860D7" w:rsidP="000860D7">
      <w:pPr>
        <w:pStyle w:val="1"/>
        <w:tabs>
          <w:tab w:val="center" w:pos="5315"/>
        </w:tabs>
        <w:spacing w:before="0" w:after="0" w:line="288" w:lineRule="auto"/>
        <w:ind w:left="0" w:firstLine="709"/>
        <w:rPr>
          <w:rFonts w:ascii="Calibri" w:hAnsi="Calibri"/>
          <w:szCs w:val="28"/>
        </w:rPr>
      </w:pPr>
      <w:bookmarkStart w:id="4" w:name="_Toc35458604"/>
      <w:r w:rsidRPr="009E6965">
        <w:rPr>
          <w:rFonts w:ascii="Calibri" w:hAnsi="Calibri"/>
          <w:szCs w:val="28"/>
        </w:rPr>
        <w:lastRenderedPageBreak/>
        <w:t>СЧЁТ ТЕКУЩИХ ОПЕРАЦИЙ</w:t>
      </w:r>
      <w:bookmarkEnd w:id="4"/>
    </w:p>
    <w:p w:rsidR="000860D7" w:rsidRPr="009E6965" w:rsidRDefault="000860D7" w:rsidP="000860D7">
      <w:pPr>
        <w:rPr>
          <w:lang/>
        </w:rPr>
      </w:pPr>
    </w:p>
    <w:p w:rsidR="000860D7" w:rsidRDefault="00262132" w:rsidP="000860D7">
      <w:pPr>
        <w:spacing w:line="288" w:lineRule="auto"/>
        <w:ind w:firstLine="709"/>
        <w:jc w:val="both"/>
        <w:rPr>
          <w:color w:val="2E74B5"/>
          <w:sz w:val="26"/>
          <w:szCs w:val="26"/>
        </w:rPr>
      </w:pPr>
      <w:r w:rsidRPr="00262132">
        <w:rPr>
          <w:sz w:val="26"/>
          <w:szCs w:val="26"/>
        </w:rPr>
        <w:t>По итогам 2019 года сальдо счёта</w:t>
      </w:r>
      <w:r w:rsidR="000860D7" w:rsidRPr="009E6965">
        <w:rPr>
          <w:sz w:val="26"/>
          <w:szCs w:val="26"/>
        </w:rPr>
        <w:t xml:space="preserve"> текущих операций было отрицательным </w:t>
      </w:r>
      <w:r w:rsidR="00241309">
        <w:rPr>
          <w:sz w:val="26"/>
          <w:szCs w:val="26"/>
        </w:rPr>
        <w:br/>
      </w:r>
      <w:r w:rsidRPr="00262132">
        <w:rPr>
          <w:sz w:val="26"/>
          <w:szCs w:val="26"/>
        </w:rPr>
        <w:t xml:space="preserve">и </w:t>
      </w:r>
      <w:r w:rsidRPr="002419EE">
        <w:rPr>
          <w:sz w:val="26"/>
          <w:szCs w:val="26"/>
        </w:rPr>
        <w:t xml:space="preserve">составило </w:t>
      </w:r>
      <w:r w:rsidR="009400E2" w:rsidRPr="002419EE">
        <w:rPr>
          <w:sz w:val="26"/>
          <w:szCs w:val="26"/>
        </w:rPr>
        <w:t>3</w:t>
      </w:r>
      <w:r w:rsidR="00526C20" w:rsidRPr="002419EE">
        <w:rPr>
          <w:sz w:val="26"/>
          <w:szCs w:val="26"/>
          <w:lang w:val="uz-Cyrl-UZ"/>
        </w:rPr>
        <w:t>,</w:t>
      </w:r>
      <w:r w:rsidR="009400E2" w:rsidRPr="002419EE">
        <w:rPr>
          <w:sz w:val="26"/>
          <w:szCs w:val="26"/>
          <w:lang w:val="uz-Cyrl-UZ"/>
        </w:rPr>
        <w:t>2</w:t>
      </w:r>
      <w:r w:rsidRPr="002419EE">
        <w:rPr>
          <w:sz w:val="26"/>
          <w:szCs w:val="26"/>
        </w:rPr>
        <w:t xml:space="preserve"> млрд. долл. </w:t>
      </w:r>
      <w:r w:rsidRPr="002419EE">
        <w:rPr>
          <w:i/>
          <w:sz w:val="26"/>
          <w:szCs w:val="26"/>
        </w:rPr>
        <w:t>(3,</w:t>
      </w:r>
      <w:r w:rsidR="004341F2" w:rsidRPr="002419EE">
        <w:rPr>
          <w:i/>
          <w:sz w:val="26"/>
          <w:szCs w:val="26"/>
        </w:rPr>
        <w:t>6</w:t>
      </w:r>
      <w:r w:rsidRPr="002419EE">
        <w:rPr>
          <w:i/>
          <w:sz w:val="26"/>
          <w:szCs w:val="26"/>
        </w:rPr>
        <w:t xml:space="preserve"> млрд. долл. за 2018 год)</w:t>
      </w:r>
      <w:r w:rsidR="000860D7" w:rsidRPr="002419EE">
        <w:rPr>
          <w:sz w:val="26"/>
          <w:szCs w:val="26"/>
        </w:rPr>
        <w:t>. При</w:t>
      </w:r>
      <w:r w:rsidR="000860D7" w:rsidRPr="009E6965">
        <w:rPr>
          <w:sz w:val="26"/>
          <w:szCs w:val="26"/>
        </w:rPr>
        <w:t xml:space="preserve"> этом</w:t>
      </w:r>
      <w:r w:rsidR="00455301">
        <w:rPr>
          <w:sz w:val="26"/>
          <w:szCs w:val="26"/>
        </w:rPr>
        <w:t>,</w:t>
      </w:r>
      <w:r w:rsidR="000860D7" w:rsidRPr="009E6965">
        <w:rPr>
          <w:sz w:val="26"/>
          <w:szCs w:val="26"/>
        </w:rPr>
        <w:t xml:space="preserve"> наблюдалось сокращение отрицательного сальдо текущего счета по сравнению с </w:t>
      </w:r>
      <w:r w:rsidR="00704FB5">
        <w:rPr>
          <w:sz w:val="26"/>
          <w:szCs w:val="26"/>
        </w:rPr>
        <w:t>2018</w:t>
      </w:r>
      <w:r w:rsidR="000860D7" w:rsidRPr="009E6965">
        <w:rPr>
          <w:sz w:val="26"/>
          <w:szCs w:val="26"/>
        </w:rPr>
        <w:t xml:space="preserve"> год</w:t>
      </w:r>
      <w:r w:rsidR="009E5291">
        <w:rPr>
          <w:sz w:val="26"/>
          <w:szCs w:val="26"/>
          <w:lang w:val="uz-Cyrl-UZ"/>
        </w:rPr>
        <w:t>ом</w:t>
      </w:r>
      <w:r w:rsidR="000860D7" w:rsidRPr="009E6965">
        <w:rPr>
          <w:sz w:val="26"/>
          <w:szCs w:val="26"/>
        </w:rPr>
        <w:t xml:space="preserve">, </w:t>
      </w:r>
      <w:r w:rsidR="009E5291">
        <w:rPr>
          <w:sz w:val="26"/>
          <w:szCs w:val="26"/>
        </w:rPr>
        <w:br/>
      </w:r>
      <w:r w:rsidR="000860D7" w:rsidRPr="009E6965">
        <w:rPr>
          <w:sz w:val="26"/>
          <w:szCs w:val="26"/>
        </w:rPr>
        <w:t>что объясняется увеличением темп</w:t>
      </w:r>
      <w:r w:rsidR="00A92C13">
        <w:rPr>
          <w:sz w:val="26"/>
          <w:szCs w:val="26"/>
        </w:rPr>
        <w:t>ов</w:t>
      </w:r>
      <w:r w:rsidR="000860D7" w:rsidRPr="009E6965">
        <w:rPr>
          <w:sz w:val="26"/>
          <w:szCs w:val="26"/>
        </w:rPr>
        <w:t xml:space="preserve"> роста экспорта по отношению к темпам роста импорта</w:t>
      </w:r>
      <w:r w:rsidR="00A92C13">
        <w:rPr>
          <w:sz w:val="26"/>
          <w:szCs w:val="26"/>
        </w:rPr>
        <w:t>,</w:t>
      </w:r>
      <w:r w:rsidR="00881468">
        <w:rPr>
          <w:sz w:val="26"/>
          <w:szCs w:val="26"/>
        </w:rPr>
        <w:t xml:space="preserve"> связанного с р</w:t>
      </w:r>
      <w:r w:rsidR="00920AD2">
        <w:rPr>
          <w:sz w:val="26"/>
          <w:szCs w:val="26"/>
        </w:rPr>
        <w:t>еализацией немонетарного золота</w:t>
      </w:r>
      <w:r w:rsidR="000860D7" w:rsidRPr="009E6965">
        <w:rPr>
          <w:i/>
          <w:sz w:val="26"/>
          <w:szCs w:val="26"/>
        </w:rPr>
        <w:t xml:space="preserve"> </w:t>
      </w:r>
      <w:r w:rsidR="000860D7" w:rsidRPr="009E6965">
        <w:rPr>
          <w:color w:val="2E74B5"/>
          <w:sz w:val="26"/>
          <w:szCs w:val="26"/>
        </w:rPr>
        <w:t xml:space="preserve">(Диаграмма </w:t>
      </w:r>
      <w:r w:rsidR="00007D35">
        <w:rPr>
          <w:color w:val="2E74B5"/>
          <w:sz w:val="26"/>
          <w:szCs w:val="26"/>
        </w:rPr>
        <w:t>2</w:t>
      </w:r>
      <w:r w:rsidR="004A7153">
        <w:rPr>
          <w:color w:val="2E74B5"/>
          <w:sz w:val="26"/>
          <w:szCs w:val="26"/>
        </w:rPr>
        <w:t>)</w:t>
      </w:r>
      <w:r w:rsidR="00920AD2">
        <w:rPr>
          <w:color w:val="2E74B5"/>
          <w:sz w:val="26"/>
          <w:szCs w:val="26"/>
        </w:rPr>
        <w:t>.</w:t>
      </w:r>
    </w:p>
    <w:p w:rsidR="00704FB5" w:rsidRPr="009E6965" w:rsidRDefault="00704FB5" w:rsidP="000860D7">
      <w:pPr>
        <w:spacing w:line="288" w:lineRule="auto"/>
        <w:ind w:firstLine="709"/>
        <w:jc w:val="both"/>
        <w:rPr>
          <w:sz w:val="26"/>
          <w:szCs w:val="26"/>
        </w:rPr>
      </w:pPr>
    </w:p>
    <w:p w:rsidR="000860D7" w:rsidRPr="009E6965" w:rsidRDefault="000860D7" w:rsidP="000860D7">
      <w:pPr>
        <w:jc w:val="right"/>
      </w:pPr>
      <w:r w:rsidRPr="002419EE">
        <w:t xml:space="preserve">Диаграмма </w:t>
      </w:r>
      <w:r w:rsidR="00007D35">
        <w:t>2</w:t>
      </w:r>
    </w:p>
    <w:p w:rsidR="000860D7" w:rsidRPr="009E6965" w:rsidRDefault="000860D7" w:rsidP="000860D7">
      <w:pPr>
        <w:jc w:val="right"/>
      </w:pPr>
    </w:p>
    <w:p w:rsidR="000860D7" w:rsidRPr="009E6965" w:rsidRDefault="000860D7" w:rsidP="000860D7">
      <w:pPr>
        <w:jc w:val="center"/>
        <w:rPr>
          <w:b/>
          <w:noProof/>
          <w:sz w:val="28"/>
          <w:szCs w:val="28"/>
        </w:rPr>
      </w:pPr>
      <w:r w:rsidRPr="009E6965">
        <w:rPr>
          <w:b/>
          <w:noProof/>
          <w:sz w:val="28"/>
          <w:szCs w:val="28"/>
        </w:rPr>
        <w:t>САЛЬДО ПО КОМПОНЕНТАМ СЧЁТА ТЕКУЩИХ ОПЕРАЦИЙ</w:t>
      </w:r>
    </w:p>
    <w:p w:rsidR="000860D7" w:rsidRPr="009E6965" w:rsidRDefault="000860D7" w:rsidP="000860D7">
      <w:pPr>
        <w:spacing w:line="288" w:lineRule="auto"/>
        <w:jc w:val="right"/>
        <w:rPr>
          <w:i/>
        </w:rPr>
      </w:pPr>
      <w:r w:rsidRPr="009E6965">
        <w:rPr>
          <w:i/>
        </w:rPr>
        <w:t>(млн. долл.)</w:t>
      </w:r>
    </w:p>
    <w:p w:rsidR="000860D7" w:rsidRDefault="009400E2" w:rsidP="000860D7">
      <w:pPr>
        <w:spacing w:line="288" w:lineRule="auto"/>
        <w:rPr>
          <w:rFonts w:cs="Arial"/>
          <w:i/>
        </w:rPr>
      </w:pPr>
      <w:r>
        <w:rPr>
          <w:noProof/>
        </w:rPr>
        <w:drawing>
          <wp:inline distT="0" distB="0" distL="0" distR="0">
            <wp:extent cx="6384290" cy="4285615"/>
            <wp:effectExtent l="0" t="0" r="16510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04FB5" w:rsidRPr="009E6965" w:rsidRDefault="00704FB5" w:rsidP="000860D7">
      <w:pPr>
        <w:spacing w:line="288" w:lineRule="auto"/>
        <w:rPr>
          <w:rFonts w:cs="Arial"/>
          <w:i/>
        </w:rPr>
      </w:pPr>
    </w:p>
    <w:p w:rsidR="00B47EDE" w:rsidRPr="009D06BF" w:rsidRDefault="00E07241" w:rsidP="00704FB5">
      <w:pPr>
        <w:spacing w:line="288" w:lineRule="auto"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В </w:t>
      </w:r>
      <w:r w:rsidR="00262132" w:rsidRPr="00F426E2">
        <w:rPr>
          <w:noProof/>
          <w:sz w:val="26"/>
          <w:szCs w:val="26"/>
        </w:rPr>
        <w:t>2019 год</w:t>
      </w:r>
      <w:r>
        <w:rPr>
          <w:noProof/>
          <w:sz w:val="26"/>
          <w:szCs w:val="26"/>
        </w:rPr>
        <w:t>у</w:t>
      </w:r>
      <w:r w:rsidR="000860D7" w:rsidRPr="00F426E2">
        <w:rPr>
          <w:noProof/>
          <w:sz w:val="26"/>
          <w:szCs w:val="26"/>
        </w:rPr>
        <w:t xml:space="preserve"> </w:t>
      </w:r>
      <w:r w:rsidR="00262132" w:rsidRPr="00F426E2">
        <w:rPr>
          <w:noProof/>
          <w:sz w:val="26"/>
          <w:szCs w:val="26"/>
        </w:rPr>
        <w:t>по таким компонентам</w:t>
      </w:r>
      <w:r w:rsidRPr="00E07241">
        <w:rPr>
          <w:noProof/>
          <w:sz w:val="26"/>
          <w:szCs w:val="26"/>
        </w:rPr>
        <w:t xml:space="preserve"> </w:t>
      </w:r>
      <w:r w:rsidRPr="00F426E2">
        <w:rPr>
          <w:noProof/>
          <w:sz w:val="26"/>
          <w:szCs w:val="26"/>
        </w:rPr>
        <w:t>текущего счета</w:t>
      </w:r>
      <w:r w:rsidR="00262132" w:rsidRPr="00F426E2">
        <w:rPr>
          <w:noProof/>
          <w:sz w:val="26"/>
          <w:szCs w:val="26"/>
        </w:rPr>
        <w:t>, как товары, услуги и вторичные доходы, наблюдалось увеличение по сравнению с показателями прошлого года</w:t>
      </w:r>
      <w:r w:rsidR="00955605" w:rsidRPr="00F426E2">
        <w:rPr>
          <w:noProof/>
          <w:sz w:val="26"/>
          <w:szCs w:val="26"/>
          <w:lang w:val="uz-Cyrl-UZ"/>
        </w:rPr>
        <w:t xml:space="preserve">, </w:t>
      </w:r>
      <w:r w:rsidR="004B77C6">
        <w:rPr>
          <w:noProof/>
          <w:sz w:val="26"/>
          <w:szCs w:val="26"/>
          <w:lang w:val="uz-Cyrl-UZ"/>
        </w:rPr>
        <w:br/>
      </w:r>
      <w:r w:rsidR="00955605" w:rsidRPr="00F426E2">
        <w:rPr>
          <w:noProof/>
          <w:sz w:val="26"/>
          <w:szCs w:val="26"/>
        </w:rPr>
        <w:t xml:space="preserve">а по </w:t>
      </w:r>
      <w:r w:rsidR="00955605" w:rsidRPr="00F426E2">
        <w:rPr>
          <w:noProof/>
          <w:sz w:val="26"/>
          <w:szCs w:val="26"/>
          <w:lang w:val="uz-Cyrl-UZ"/>
        </w:rPr>
        <w:t>пе</w:t>
      </w:r>
      <w:r w:rsidR="00955605" w:rsidRPr="00F426E2">
        <w:rPr>
          <w:noProof/>
          <w:sz w:val="26"/>
          <w:szCs w:val="26"/>
        </w:rPr>
        <w:t>р</w:t>
      </w:r>
      <w:r w:rsidR="00955605" w:rsidRPr="00F426E2">
        <w:rPr>
          <w:noProof/>
          <w:sz w:val="26"/>
          <w:szCs w:val="26"/>
          <w:lang w:val="uz-Cyrl-UZ"/>
        </w:rPr>
        <w:t>в</w:t>
      </w:r>
      <w:r w:rsidR="00955605" w:rsidRPr="00F426E2">
        <w:rPr>
          <w:noProof/>
          <w:sz w:val="26"/>
          <w:szCs w:val="26"/>
        </w:rPr>
        <w:t>ичным доходам наблюдалось снижение</w:t>
      </w:r>
      <w:r w:rsidR="00007D35">
        <w:rPr>
          <w:noProof/>
          <w:sz w:val="26"/>
          <w:szCs w:val="26"/>
        </w:rPr>
        <w:t>.</w:t>
      </w:r>
      <w:r>
        <w:rPr>
          <w:noProof/>
          <w:sz w:val="26"/>
          <w:szCs w:val="26"/>
        </w:rPr>
        <w:t xml:space="preserve"> </w:t>
      </w:r>
      <w:r w:rsidR="00B47EDE" w:rsidRPr="00F426E2">
        <w:rPr>
          <w:noProof/>
          <w:color w:val="2E74B5"/>
          <w:sz w:val="26"/>
          <w:szCs w:val="26"/>
        </w:rPr>
        <w:t xml:space="preserve">(Таблица </w:t>
      </w:r>
      <w:r w:rsidR="009103CC">
        <w:rPr>
          <w:noProof/>
          <w:color w:val="2E74B5"/>
          <w:sz w:val="26"/>
          <w:szCs w:val="26"/>
        </w:rPr>
        <w:t>2</w:t>
      </w:r>
      <w:r w:rsidR="00B47EDE" w:rsidRPr="00F426E2">
        <w:rPr>
          <w:noProof/>
          <w:color w:val="2E74B5"/>
          <w:sz w:val="26"/>
          <w:szCs w:val="26"/>
        </w:rPr>
        <w:t>)</w:t>
      </w:r>
      <w:r w:rsidR="00920AD2">
        <w:rPr>
          <w:noProof/>
          <w:color w:val="2E74B5"/>
          <w:sz w:val="26"/>
          <w:szCs w:val="26"/>
        </w:rPr>
        <w:t>.</w:t>
      </w:r>
    </w:p>
    <w:p w:rsidR="00962C59" w:rsidRDefault="00962C59" w:rsidP="00B47EDE">
      <w:pPr>
        <w:tabs>
          <w:tab w:val="left" w:pos="1560"/>
        </w:tabs>
        <w:spacing w:before="120" w:line="288" w:lineRule="auto"/>
        <w:ind w:firstLine="709"/>
        <w:jc w:val="both"/>
        <w:rPr>
          <w:noProof/>
          <w:sz w:val="26"/>
          <w:szCs w:val="26"/>
          <w:highlight w:val="yellow"/>
        </w:rPr>
        <w:sectPr w:rsidR="00962C59" w:rsidSect="00F71681">
          <w:pgSz w:w="11906" w:h="16838" w:code="9"/>
          <w:pgMar w:top="1134" w:right="851" w:bottom="851" w:left="1134" w:header="709" w:footer="0" w:gutter="0"/>
          <w:cols w:space="708"/>
          <w:titlePg/>
          <w:docGrid w:linePitch="360"/>
        </w:sectPr>
      </w:pPr>
    </w:p>
    <w:p w:rsidR="000860D7" w:rsidRPr="002419EE" w:rsidRDefault="000860D7" w:rsidP="000860D7">
      <w:pPr>
        <w:jc w:val="right"/>
        <w:rPr>
          <w:noProof/>
        </w:rPr>
      </w:pPr>
      <w:r w:rsidRPr="002419EE">
        <w:rPr>
          <w:noProof/>
        </w:rPr>
        <w:lastRenderedPageBreak/>
        <w:t xml:space="preserve">Таблица </w:t>
      </w:r>
      <w:r w:rsidR="009103CC" w:rsidRPr="002419EE">
        <w:rPr>
          <w:noProof/>
        </w:rPr>
        <w:t>2</w:t>
      </w:r>
    </w:p>
    <w:p w:rsidR="000860D7" w:rsidRPr="002419EE" w:rsidRDefault="000860D7" w:rsidP="000860D7">
      <w:pPr>
        <w:jc w:val="center"/>
        <w:rPr>
          <w:b/>
          <w:noProof/>
          <w:sz w:val="28"/>
          <w:szCs w:val="28"/>
        </w:rPr>
      </w:pPr>
      <w:r w:rsidRPr="002419EE">
        <w:rPr>
          <w:b/>
          <w:noProof/>
          <w:sz w:val="28"/>
          <w:szCs w:val="28"/>
        </w:rPr>
        <w:t>СТРУКТУРА ТЕКУЩИХ ДОХОДОВ И РАСХОДОВ</w:t>
      </w:r>
    </w:p>
    <w:p w:rsidR="000860D7" w:rsidRPr="009E6965" w:rsidRDefault="000860D7" w:rsidP="000860D7">
      <w:pPr>
        <w:jc w:val="right"/>
        <w:rPr>
          <w:i/>
          <w:noProof/>
        </w:rPr>
      </w:pPr>
      <w:r w:rsidRPr="002419EE">
        <w:rPr>
          <w:i/>
          <w:noProof/>
        </w:rPr>
        <w:t>(млн. долл.)</w:t>
      </w:r>
    </w:p>
    <w:tbl>
      <w:tblPr>
        <w:tblW w:w="14962" w:type="dxa"/>
        <w:tblLook w:val="04A0"/>
      </w:tblPr>
      <w:tblGrid>
        <w:gridCol w:w="2401"/>
        <w:gridCol w:w="1138"/>
        <w:gridCol w:w="1154"/>
        <w:gridCol w:w="1154"/>
        <w:gridCol w:w="1155"/>
        <w:gridCol w:w="1154"/>
        <w:gridCol w:w="1120"/>
        <w:gridCol w:w="990"/>
        <w:gridCol w:w="989"/>
        <w:gridCol w:w="990"/>
        <w:gridCol w:w="988"/>
        <w:gridCol w:w="1729"/>
      </w:tblGrid>
      <w:tr w:rsidR="00CF435D" w:rsidRPr="00AF7790" w:rsidTr="008B518F">
        <w:trPr>
          <w:trHeight w:val="509"/>
        </w:trPr>
        <w:tc>
          <w:tcPr>
            <w:tcW w:w="2401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6EE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138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6EE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2014</w:t>
            </w:r>
            <w:r w:rsidR="005B64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54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6EE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2015</w:t>
            </w:r>
            <w:r w:rsidR="005B64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54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6EE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2016</w:t>
            </w:r>
            <w:r w:rsidR="005B64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55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6EE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2017</w:t>
            </w:r>
            <w:r w:rsidR="005B64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54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6EE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2018</w:t>
            </w:r>
            <w:r w:rsidR="005B64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20" w:type="dxa"/>
            <w:vMerge w:val="restart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shd w:val="clear" w:color="000000" w:fill="BDD6EE"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2019</w:t>
            </w:r>
            <w:r w:rsidR="005B64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3957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2019</w:t>
            </w:r>
            <w:r w:rsidR="005B64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729" w:type="dxa"/>
            <w:vMerge w:val="restart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shd w:val="clear" w:color="000000" w:fill="BDD6EE"/>
            <w:vAlign w:val="center"/>
            <w:hideMark/>
          </w:tcPr>
          <w:p w:rsidR="00CF435D" w:rsidRPr="00D1162C" w:rsidRDefault="00CF435D" w:rsidP="005B64C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Изменение</w:t>
            </w: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(по отношению к 2018</w:t>
            </w:r>
            <w:r w:rsidR="005B64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г</w:t>
            </w:r>
            <w:r w:rsidR="005B64C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CF435D" w:rsidRPr="00AF7790" w:rsidTr="008B518F">
        <w:trPr>
          <w:trHeight w:val="342"/>
        </w:trPr>
        <w:tc>
          <w:tcPr>
            <w:tcW w:w="2401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CF435D" w:rsidRPr="00D1162C" w:rsidRDefault="00CF435D" w:rsidP="008B51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CF435D" w:rsidRPr="00D1162C" w:rsidRDefault="00CF435D" w:rsidP="008B51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CF435D" w:rsidRPr="00D1162C" w:rsidRDefault="00CF435D" w:rsidP="008B51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CF435D" w:rsidRPr="00D1162C" w:rsidRDefault="00CF435D" w:rsidP="008B51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CF435D" w:rsidRPr="00D1162C" w:rsidRDefault="00CF435D" w:rsidP="008B51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CF435D" w:rsidRPr="00D1162C" w:rsidRDefault="00CF435D" w:rsidP="008B51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CF435D" w:rsidRPr="00D1162C" w:rsidRDefault="00CF435D" w:rsidP="008B51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6EE"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 кв.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6EE"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II кв.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6EE"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III кв.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6EE"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IV кв.</w:t>
            </w:r>
          </w:p>
        </w:tc>
        <w:tc>
          <w:tcPr>
            <w:tcW w:w="1729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CF435D" w:rsidRPr="00D1162C" w:rsidRDefault="00CF435D" w:rsidP="008B51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435D" w:rsidRPr="00AF7790" w:rsidTr="00CF435D">
        <w:trPr>
          <w:trHeight w:val="454"/>
        </w:trPr>
        <w:tc>
          <w:tcPr>
            <w:tcW w:w="240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:rsidR="00CF435D" w:rsidRPr="00D1162C" w:rsidRDefault="00CF435D" w:rsidP="008B51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Доходы к получению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19 777,6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16 735,7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16 487,5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19 825,8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22 143,1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25 987,6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5 448,1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6 439,9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7 600,6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6 499,0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17,4%</w:t>
            </w:r>
          </w:p>
        </w:tc>
      </w:tr>
      <w:tr w:rsidR="00CF435D" w:rsidRPr="00AF7790" w:rsidTr="00CF435D">
        <w:trPr>
          <w:trHeight w:val="454"/>
        </w:trPr>
        <w:tc>
          <w:tcPr>
            <w:tcW w:w="240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:rsidR="00CF435D" w:rsidRPr="00D1162C" w:rsidRDefault="00CF435D" w:rsidP="008B518F">
            <w:pPr>
              <w:ind w:left="164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Экспорт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12 917,0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11 838,9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10 549,9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12 412,2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14 135,1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16 993,7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3 681,1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4 202,8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4 996,2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4 113,6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20,2%</w:t>
            </w:r>
          </w:p>
        </w:tc>
      </w:tr>
      <w:tr w:rsidR="00CF435D" w:rsidRPr="00AF7790" w:rsidTr="00CF435D">
        <w:trPr>
          <w:trHeight w:val="454"/>
        </w:trPr>
        <w:tc>
          <w:tcPr>
            <w:tcW w:w="240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:rsidR="00CF435D" w:rsidRPr="00D1162C" w:rsidRDefault="00CF435D" w:rsidP="008B518F">
            <w:pPr>
              <w:ind w:left="306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Товаров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10 556,2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9 481,5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8 645,2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10 161,5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11 385,6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13 898,6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3 045,0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3 414,1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4 146,6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3 292,9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22,1%</w:t>
            </w:r>
          </w:p>
        </w:tc>
      </w:tr>
      <w:tr w:rsidR="00CF435D" w:rsidRPr="00AF7790" w:rsidTr="00CF435D">
        <w:trPr>
          <w:trHeight w:val="454"/>
        </w:trPr>
        <w:tc>
          <w:tcPr>
            <w:tcW w:w="240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2F2F2" w:themeFill="background1" w:themeFillShade="F2"/>
            <w:vAlign w:val="center"/>
          </w:tcPr>
          <w:p w:rsidR="00CF435D" w:rsidRPr="00D1162C" w:rsidRDefault="00CF435D" w:rsidP="008B518F">
            <w:pPr>
              <w:ind w:left="708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F0725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Без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золота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2F2F2" w:themeFill="background1" w:themeFillShade="F2"/>
            <w:noWrap/>
            <w:vAlign w:val="center"/>
          </w:tcPr>
          <w:p w:rsidR="00CF435D" w:rsidRPr="00CF435D" w:rsidRDefault="00CF435D" w:rsidP="008B518F">
            <w:pPr>
              <w:jc w:val="center"/>
              <w:rPr>
                <w:i/>
                <w:sz w:val="22"/>
                <w:szCs w:val="22"/>
              </w:rPr>
            </w:pPr>
            <w:r w:rsidRPr="00CF435D">
              <w:rPr>
                <w:i/>
                <w:sz w:val="22"/>
                <w:szCs w:val="22"/>
              </w:rPr>
              <w:t>9 316,0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2F2F2" w:themeFill="background1" w:themeFillShade="F2"/>
            <w:noWrap/>
            <w:vAlign w:val="center"/>
          </w:tcPr>
          <w:p w:rsidR="00CF435D" w:rsidRPr="00CF435D" w:rsidRDefault="00CF435D" w:rsidP="008B518F">
            <w:pPr>
              <w:jc w:val="center"/>
              <w:rPr>
                <w:i/>
                <w:sz w:val="22"/>
                <w:szCs w:val="22"/>
              </w:rPr>
            </w:pPr>
            <w:r w:rsidRPr="00CF435D">
              <w:rPr>
                <w:i/>
                <w:sz w:val="22"/>
                <w:szCs w:val="22"/>
              </w:rPr>
              <w:t>7 560,8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2F2F2" w:themeFill="background1" w:themeFillShade="F2"/>
            <w:noWrap/>
            <w:vAlign w:val="center"/>
          </w:tcPr>
          <w:p w:rsidR="00CF435D" w:rsidRPr="00CF435D" w:rsidRDefault="00CF435D" w:rsidP="008B518F">
            <w:pPr>
              <w:jc w:val="center"/>
              <w:rPr>
                <w:i/>
                <w:sz w:val="22"/>
                <w:szCs w:val="22"/>
              </w:rPr>
            </w:pPr>
            <w:r w:rsidRPr="00CF435D">
              <w:rPr>
                <w:i/>
                <w:sz w:val="22"/>
                <w:szCs w:val="22"/>
              </w:rPr>
              <w:t>5 837,6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2F2F2" w:themeFill="background1" w:themeFillShade="F2"/>
            <w:noWrap/>
            <w:vAlign w:val="center"/>
          </w:tcPr>
          <w:p w:rsidR="00CF435D" w:rsidRPr="00CF435D" w:rsidRDefault="00CF435D" w:rsidP="008B518F">
            <w:pPr>
              <w:jc w:val="center"/>
              <w:rPr>
                <w:i/>
                <w:sz w:val="22"/>
                <w:szCs w:val="22"/>
              </w:rPr>
            </w:pPr>
            <w:r w:rsidRPr="00CF435D">
              <w:rPr>
                <w:i/>
                <w:sz w:val="22"/>
                <w:szCs w:val="22"/>
              </w:rPr>
              <w:t>6 901,6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2F2F2" w:themeFill="background1" w:themeFillShade="F2"/>
            <w:noWrap/>
            <w:vAlign w:val="center"/>
          </w:tcPr>
          <w:p w:rsidR="00CF435D" w:rsidRPr="00CF435D" w:rsidRDefault="00CF435D" w:rsidP="008B518F">
            <w:pPr>
              <w:jc w:val="center"/>
              <w:rPr>
                <w:i/>
                <w:sz w:val="22"/>
                <w:szCs w:val="22"/>
              </w:rPr>
            </w:pPr>
            <w:r w:rsidRPr="00CF435D">
              <w:rPr>
                <w:i/>
                <w:sz w:val="22"/>
                <w:szCs w:val="22"/>
              </w:rPr>
              <w:t>8 476,1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2F2F2" w:themeFill="background1" w:themeFillShade="F2"/>
            <w:vAlign w:val="center"/>
          </w:tcPr>
          <w:p w:rsidR="00CF435D" w:rsidRPr="00CF435D" w:rsidRDefault="00CF435D" w:rsidP="008B518F">
            <w:pPr>
              <w:jc w:val="center"/>
              <w:rPr>
                <w:i/>
                <w:sz w:val="22"/>
                <w:szCs w:val="22"/>
              </w:rPr>
            </w:pPr>
            <w:r w:rsidRPr="00CF435D">
              <w:rPr>
                <w:i/>
                <w:sz w:val="22"/>
                <w:szCs w:val="22"/>
              </w:rPr>
              <w:t>8 980,4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2F2F2" w:themeFill="background1" w:themeFillShade="F2"/>
            <w:noWrap/>
            <w:vAlign w:val="center"/>
          </w:tcPr>
          <w:p w:rsidR="00CF435D" w:rsidRPr="00CF435D" w:rsidRDefault="00CF435D" w:rsidP="008B518F">
            <w:pPr>
              <w:jc w:val="center"/>
              <w:rPr>
                <w:i/>
                <w:sz w:val="22"/>
                <w:szCs w:val="22"/>
              </w:rPr>
            </w:pPr>
            <w:r w:rsidRPr="00CF435D">
              <w:rPr>
                <w:i/>
                <w:sz w:val="22"/>
                <w:szCs w:val="22"/>
              </w:rPr>
              <w:t>1 813,6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2F2F2" w:themeFill="background1" w:themeFillShade="F2"/>
            <w:noWrap/>
            <w:vAlign w:val="center"/>
          </w:tcPr>
          <w:p w:rsidR="00CF435D" w:rsidRPr="00CF435D" w:rsidRDefault="00CF435D" w:rsidP="008B518F">
            <w:pPr>
              <w:jc w:val="center"/>
              <w:rPr>
                <w:i/>
                <w:sz w:val="22"/>
                <w:szCs w:val="22"/>
              </w:rPr>
            </w:pPr>
            <w:r w:rsidRPr="00CF435D">
              <w:rPr>
                <w:i/>
                <w:sz w:val="22"/>
                <w:szCs w:val="22"/>
              </w:rPr>
              <w:t>2 550,9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2F2F2" w:themeFill="background1" w:themeFillShade="F2"/>
            <w:noWrap/>
            <w:vAlign w:val="center"/>
          </w:tcPr>
          <w:p w:rsidR="00CF435D" w:rsidRPr="00CF435D" w:rsidRDefault="00CF435D" w:rsidP="008B518F">
            <w:pPr>
              <w:jc w:val="center"/>
              <w:rPr>
                <w:i/>
                <w:sz w:val="22"/>
                <w:szCs w:val="22"/>
              </w:rPr>
            </w:pPr>
            <w:r w:rsidRPr="00CF435D">
              <w:rPr>
                <w:i/>
                <w:sz w:val="22"/>
                <w:szCs w:val="22"/>
              </w:rPr>
              <w:t>2 258,2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2F2F2" w:themeFill="background1" w:themeFillShade="F2"/>
            <w:noWrap/>
            <w:vAlign w:val="center"/>
          </w:tcPr>
          <w:p w:rsidR="00CF435D" w:rsidRPr="00CF435D" w:rsidRDefault="00CF435D" w:rsidP="008B518F">
            <w:pPr>
              <w:jc w:val="center"/>
              <w:rPr>
                <w:i/>
                <w:sz w:val="22"/>
                <w:szCs w:val="22"/>
              </w:rPr>
            </w:pPr>
            <w:r w:rsidRPr="00CF435D">
              <w:rPr>
                <w:i/>
                <w:sz w:val="22"/>
                <w:szCs w:val="22"/>
              </w:rPr>
              <w:t>2 357,6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2F2F2" w:themeFill="background1" w:themeFillShade="F2"/>
            <w:vAlign w:val="center"/>
          </w:tcPr>
          <w:p w:rsidR="00CF435D" w:rsidRPr="00CF435D" w:rsidRDefault="00CF435D" w:rsidP="008B518F">
            <w:pPr>
              <w:jc w:val="center"/>
              <w:rPr>
                <w:i/>
                <w:sz w:val="22"/>
                <w:szCs w:val="22"/>
              </w:rPr>
            </w:pPr>
            <w:r w:rsidRPr="00CF435D">
              <w:rPr>
                <w:i/>
                <w:sz w:val="22"/>
                <w:szCs w:val="22"/>
              </w:rPr>
              <w:t>5,9%</w:t>
            </w:r>
          </w:p>
        </w:tc>
      </w:tr>
      <w:tr w:rsidR="00CF435D" w:rsidRPr="00AF7790" w:rsidTr="00CF435D">
        <w:trPr>
          <w:trHeight w:val="454"/>
        </w:trPr>
        <w:tc>
          <w:tcPr>
            <w:tcW w:w="240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:rsidR="00CF435D" w:rsidRPr="00D1162C" w:rsidRDefault="00CF435D" w:rsidP="008B518F">
            <w:pPr>
              <w:ind w:left="306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2 360,8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2 357,4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1 904,7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2 250,7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2 749,5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3 095,1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636,1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788,6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849,6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820,8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12,6%</w:t>
            </w:r>
          </w:p>
        </w:tc>
      </w:tr>
      <w:tr w:rsidR="00CF435D" w:rsidRPr="00AF7790" w:rsidTr="00CF435D">
        <w:trPr>
          <w:trHeight w:val="454"/>
        </w:trPr>
        <w:tc>
          <w:tcPr>
            <w:tcW w:w="240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:rsidR="00CF435D" w:rsidRPr="00D1162C" w:rsidRDefault="00CF435D" w:rsidP="008B518F">
            <w:pPr>
              <w:ind w:left="22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Первичные доходы к получению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1 623,0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2 022,7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2 210,4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2 597,5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3 185,1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2 953,5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759,5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789,0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746,8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658,3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-7,3%</w:t>
            </w:r>
          </w:p>
        </w:tc>
      </w:tr>
      <w:tr w:rsidR="00CF435D" w:rsidRPr="00AF7790" w:rsidTr="00CF435D">
        <w:trPr>
          <w:trHeight w:val="454"/>
        </w:trPr>
        <w:tc>
          <w:tcPr>
            <w:tcW w:w="240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:rsidR="00CF435D" w:rsidRPr="00D1162C" w:rsidRDefault="00CF435D" w:rsidP="008B518F">
            <w:pPr>
              <w:ind w:left="22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Вторичные доходы к получению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5 237,6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2 874,0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3 727,2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4 816,1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4 822,9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6 040,3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1 007,4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1 448,1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1 857,6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1 727,1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25,2%</w:t>
            </w:r>
          </w:p>
        </w:tc>
      </w:tr>
      <w:tr w:rsidR="00CF435D" w:rsidRPr="00AF7790" w:rsidTr="00CF435D">
        <w:trPr>
          <w:trHeight w:val="454"/>
        </w:trPr>
        <w:tc>
          <w:tcPr>
            <w:tcW w:w="240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:rsidR="00CF435D" w:rsidRPr="00D1162C" w:rsidRDefault="00CF435D" w:rsidP="008B51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Расходы к оплате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17 259,1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15 664,7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16 195,3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18 349,9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25 736,6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29 233,4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6 503,2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7 151,1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7 568,1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8 010,9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13,6%</w:t>
            </w:r>
          </w:p>
        </w:tc>
      </w:tr>
      <w:tr w:rsidR="00CF435D" w:rsidRPr="00AF7790" w:rsidTr="00CF435D">
        <w:trPr>
          <w:trHeight w:val="454"/>
        </w:trPr>
        <w:tc>
          <w:tcPr>
            <w:tcW w:w="240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:rsidR="00CF435D" w:rsidRPr="00D1162C" w:rsidRDefault="00CF435D" w:rsidP="008B518F">
            <w:pPr>
              <w:ind w:left="164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Импорт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16 402,6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14 669,2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14 481,0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16 470,1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23 443,5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26 567,5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5 937,1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6 605,8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6 992,2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7 032,3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13,3%</w:t>
            </w:r>
          </w:p>
        </w:tc>
      </w:tr>
      <w:tr w:rsidR="00CF435D" w:rsidRPr="00AF7790" w:rsidTr="00CF435D">
        <w:trPr>
          <w:trHeight w:val="454"/>
        </w:trPr>
        <w:tc>
          <w:tcPr>
            <w:tcW w:w="240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:rsidR="00CF435D" w:rsidRPr="00D1162C" w:rsidRDefault="00CF435D" w:rsidP="008B518F">
            <w:pPr>
              <w:ind w:left="306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Товаров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13 514,1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11 576,0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11 037,3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12 377,3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18 252,4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21 206,6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4 747,0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5 294,7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5 535,3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5 629,6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16,2%</w:t>
            </w:r>
          </w:p>
        </w:tc>
      </w:tr>
      <w:tr w:rsidR="00CF435D" w:rsidRPr="00AF7790" w:rsidTr="00CF435D">
        <w:trPr>
          <w:trHeight w:val="454"/>
        </w:trPr>
        <w:tc>
          <w:tcPr>
            <w:tcW w:w="240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:rsidR="00CF435D" w:rsidRPr="00D1162C" w:rsidRDefault="00CF435D" w:rsidP="008B518F">
            <w:pPr>
              <w:ind w:left="306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2 888,5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3 093,3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3 443,7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4 092,8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5 191,1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5 360,9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1 190,2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1 311,0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1 456,9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1 402,7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3,3%</w:t>
            </w:r>
          </w:p>
        </w:tc>
      </w:tr>
      <w:tr w:rsidR="00CF435D" w:rsidRPr="00AF7790" w:rsidTr="00CF435D">
        <w:trPr>
          <w:trHeight w:val="454"/>
        </w:trPr>
        <w:tc>
          <w:tcPr>
            <w:tcW w:w="240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:rsidR="00CF435D" w:rsidRPr="00D1162C" w:rsidRDefault="00CF435D" w:rsidP="008B518F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Первичные доходы к выплате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509,2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599,2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1 278,9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1 386,7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1 677,9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2 080,1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421,3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396,4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432,6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829,8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24,0%</w:t>
            </w:r>
          </w:p>
        </w:tc>
      </w:tr>
      <w:tr w:rsidR="00CF435D" w:rsidRPr="00AF7790" w:rsidTr="00CF435D">
        <w:trPr>
          <w:trHeight w:val="454"/>
        </w:trPr>
        <w:tc>
          <w:tcPr>
            <w:tcW w:w="240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vAlign w:val="center"/>
            <w:hideMark/>
          </w:tcPr>
          <w:p w:rsidR="00CF435D" w:rsidRPr="00D1162C" w:rsidRDefault="00CF435D" w:rsidP="008B518F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Вторичные доходы к выплате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396,2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435,4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493,1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585,7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144,7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148,9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143,3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148,8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-4,8%</w:t>
            </w:r>
          </w:p>
        </w:tc>
      </w:tr>
      <w:tr w:rsidR="00CF435D" w:rsidRPr="00AF7790" w:rsidTr="00CF435D">
        <w:trPr>
          <w:trHeight w:val="454"/>
        </w:trPr>
        <w:tc>
          <w:tcPr>
            <w:tcW w:w="240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:rsidR="00CF435D" w:rsidRPr="00D1162C" w:rsidRDefault="00CF435D" w:rsidP="008B518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Сальдо текущего счёта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2 518,5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1 071,0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292,3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1 475,9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-3 593,5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-3 245,8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-1 055,1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-711,2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noWrap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-1 512,0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2F2F2"/>
            <w:vAlign w:val="center"/>
            <w:hideMark/>
          </w:tcPr>
          <w:p w:rsidR="00CF435D" w:rsidRPr="00D1162C" w:rsidRDefault="00CF435D" w:rsidP="008B51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116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-9,7%</w:t>
            </w:r>
          </w:p>
        </w:tc>
      </w:tr>
    </w:tbl>
    <w:p w:rsidR="00262132" w:rsidRDefault="00262132" w:rsidP="00262132">
      <w:pPr>
        <w:spacing w:line="288" w:lineRule="auto"/>
        <w:jc w:val="both"/>
        <w:rPr>
          <w:rFonts w:cs="Calibri"/>
          <w:i/>
          <w:noProof/>
          <w:sz w:val="20"/>
          <w:szCs w:val="20"/>
          <w:lang w:val="uz-Cyrl-UZ"/>
        </w:rPr>
      </w:pPr>
      <w:r w:rsidRPr="009D06BF">
        <w:rPr>
          <w:rFonts w:cs="Calibri"/>
          <w:i/>
          <w:noProof/>
          <w:sz w:val="20"/>
          <w:szCs w:val="20"/>
          <w:lang w:val="uz-Cyrl-UZ"/>
        </w:rPr>
        <w:t>*в том числе газ</w:t>
      </w:r>
      <w:r w:rsidR="000C4982">
        <w:rPr>
          <w:rFonts w:cs="Calibri"/>
          <w:i/>
          <w:noProof/>
          <w:sz w:val="20"/>
          <w:szCs w:val="20"/>
          <w:lang w:val="uz-Cyrl-UZ"/>
        </w:rPr>
        <w:t xml:space="preserve"> –</w:t>
      </w:r>
      <w:r w:rsidRPr="009D06BF">
        <w:rPr>
          <w:rFonts w:cs="Calibri"/>
          <w:i/>
          <w:noProof/>
          <w:sz w:val="20"/>
          <w:szCs w:val="20"/>
          <w:lang w:val="uz-Cyrl-UZ"/>
        </w:rPr>
        <w:t xml:space="preserve"> </w:t>
      </w:r>
      <w:r w:rsidR="004F2628">
        <w:rPr>
          <w:rFonts w:cs="Calibri"/>
          <w:i/>
          <w:noProof/>
          <w:sz w:val="20"/>
          <w:szCs w:val="20"/>
        </w:rPr>
        <w:t>2,3</w:t>
      </w:r>
      <w:r w:rsidRPr="009D06BF">
        <w:rPr>
          <w:rFonts w:cs="Calibri"/>
          <w:i/>
          <w:noProof/>
          <w:sz w:val="20"/>
          <w:szCs w:val="20"/>
          <w:lang w:val="uz-Cyrl-UZ"/>
        </w:rPr>
        <w:t xml:space="preserve"> млрд. долл., драгоценные металлы (золото)</w:t>
      </w:r>
      <w:r w:rsidR="000C4982">
        <w:rPr>
          <w:rFonts w:cs="Calibri"/>
          <w:i/>
          <w:noProof/>
          <w:sz w:val="20"/>
          <w:szCs w:val="20"/>
          <w:lang w:val="uz-Cyrl-UZ"/>
        </w:rPr>
        <w:t xml:space="preserve"> </w:t>
      </w:r>
      <w:r w:rsidR="000C4982" w:rsidRPr="00717354">
        <w:rPr>
          <w:rFonts w:cs="Calibri"/>
          <w:i/>
          <w:noProof/>
          <w:sz w:val="20"/>
          <w:szCs w:val="20"/>
          <w:lang w:val="uz-Cyrl-UZ"/>
        </w:rPr>
        <w:t>–</w:t>
      </w:r>
      <w:r w:rsidRPr="00717354">
        <w:rPr>
          <w:rFonts w:cs="Calibri"/>
          <w:i/>
          <w:noProof/>
          <w:sz w:val="20"/>
          <w:szCs w:val="20"/>
          <w:lang w:val="uz-Cyrl-UZ"/>
        </w:rPr>
        <w:t xml:space="preserve"> </w:t>
      </w:r>
      <w:r w:rsidR="00B47EDE" w:rsidRPr="00717354">
        <w:rPr>
          <w:rFonts w:cs="Calibri"/>
          <w:i/>
          <w:noProof/>
          <w:sz w:val="20"/>
          <w:szCs w:val="20"/>
        </w:rPr>
        <w:t>4,9</w:t>
      </w:r>
      <w:r w:rsidRPr="009D06BF">
        <w:rPr>
          <w:rFonts w:cs="Calibri"/>
          <w:i/>
          <w:noProof/>
          <w:sz w:val="20"/>
          <w:szCs w:val="20"/>
        </w:rPr>
        <w:t xml:space="preserve"> </w:t>
      </w:r>
      <w:r w:rsidRPr="009D06BF">
        <w:rPr>
          <w:rFonts w:cs="Calibri"/>
          <w:i/>
          <w:noProof/>
          <w:sz w:val="20"/>
          <w:szCs w:val="20"/>
          <w:lang w:val="uz-Cyrl-UZ"/>
        </w:rPr>
        <w:t>млрд. долл.</w:t>
      </w:r>
    </w:p>
    <w:p w:rsidR="00B47EDE" w:rsidRPr="00B47EDE" w:rsidRDefault="00B47EDE" w:rsidP="00785EE5">
      <w:pPr>
        <w:spacing w:line="288" w:lineRule="auto"/>
        <w:ind w:firstLine="709"/>
        <w:jc w:val="both"/>
        <w:rPr>
          <w:noProof/>
          <w:sz w:val="10"/>
          <w:szCs w:val="10"/>
        </w:rPr>
      </w:pPr>
    </w:p>
    <w:p w:rsidR="003C5B6E" w:rsidRDefault="000860D7" w:rsidP="00785EE5">
      <w:pPr>
        <w:spacing w:line="288" w:lineRule="auto"/>
        <w:ind w:firstLine="709"/>
        <w:jc w:val="both"/>
        <w:rPr>
          <w:noProof/>
          <w:sz w:val="26"/>
          <w:szCs w:val="26"/>
        </w:rPr>
      </w:pPr>
      <w:r w:rsidRPr="009E6965">
        <w:rPr>
          <w:noProof/>
          <w:sz w:val="26"/>
          <w:szCs w:val="26"/>
        </w:rPr>
        <w:lastRenderedPageBreak/>
        <w:t xml:space="preserve">Таким </w:t>
      </w:r>
      <w:r w:rsidRPr="002419EE">
        <w:rPr>
          <w:noProof/>
          <w:sz w:val="26"/>
          <w:szCs w:val="26"/>
        </w:rPr>
        <w:t xml:space="preserve">образом, </w:t>
      </w:r>
      <w:r w:rsidR="00785EE5" w:rsidRPr="002419EE">
        <w:rPr>
          <w:noProof/>
          <w:sz w:val="26"/>
          <w:szCs w:val="26"/>
        </w:rPr>
        <w:t>по итогам 2019 года отрицательное сальдо</w:t>
      </w:r>
      <w:r w:rsidRPr="002419EE">
        <w:rPr>
          <w:noProof/>
          <w:color w:val="000000"/>
          <w:sz w:val="26"/>
          <w:szCs w:val="26"/>
        </w:rPr>
        <w:t xml:space="preserve"> торгового баланса с учётом международных услуг, </w:t>
      </w:r>
      <w:r w:rsidR="00785EE5" w:rsidRPr="002419EE">
        <w:rPr>
          <w:noProof/>
          <w:color w:val="000000"/>
          <w:sz w:val="26"/>
          <w:szCs w:val="26"/>
        </w:rPr>
        <w:t xml:space="preserve">по методологии РПБ6 составило </w:t>
      </w:r>
      <w:r w:rsidR="004F2628" w:rsidRPr="002419EE">
        <w:rPr>
          <w:noProof/>
          <w:color w:val="000000"/>
          <w:sz w:val="26"/>
          <w:szCs w:val="26"/>
          <w:lang w:val="uz-Cyrl-UZ"/>
        </w:rPr>
        <w:t>9</w:t>
      </w:r>
      <w:r w:rsidR="00785EE5" w:rsidRPr="002419EE">
        <w:rPr>
          <w:noProof/>
          <w:color w:val="000000"/>
          <w:sz w:val="26"/>
          <w:szCs w:val="26"/>
        </w:rPr>
        <w:t>,</w:t>
      </w:r>
      <w:r w:rsidR="004F2628" w:rsidRPr="002419EE">
        <w:rPr>
          <w:noProof/>
          <w:color w:val="000000"/>
          <w:sz w:val="26"/>
          <w:szCs w:val="26"/>
          <w:lang w:val="uz-Cyrl-UZ"/>
        </w:rPr>
        <w:t>6</w:t>
      </w:r>
      <w:r w:rsidR="00785EE5" w:rsidRPr="002419EE">
        <w:rPr>
          <w:noProof/>
          <w:color w:val="000000"/>
          <w:sz w:val="26"/>
          <w:szCs w:val="26"/>
        </w:rPr>
        <w:t xml:space="preserve"> млрд. долл. При этом положительное сальдо первичных и вторичных доходов равно </w:t>
      </w:r>
      <w:r w:rsidR="00667693" w:rsidRPr="002419EE">
        <w:rPr>
          <w:noProof/>
          <w:color w:val="000000"/>
          <w:sz w:val="26"/>
          <w:szCs w:val="26"/>
          <w:lang w:val="uz-Cyrl-UZ"/>
        </w:rPr>
        <w:t>6</w:t>
      </w:r>
      <w:r w:rsidR="00785EE5" w:rsidRPr="002419EE">
        <w:rPr>
          <w:noProof/>
          <w:color w:val="000000"/>
          <w:sz w:val="26"/>
          <w:szCs w:val="26"/>
        </w:rPr>
        <w:t>,</w:t>
      </w:r>
      <w:r w:rsidR="004F2628" w:rsidRPr="002419EE">
        <w:rPr>
          <w:noProof/>
          <w:color w:val="000000"/>
          <w:sz w:val="26"/>
          <w:szCs w:val="26"/>
          <w:lang w:val="uz-Cyrl-UZ"/>
        </w:rPr>
        <w:t>3</w:t>
      </w:r>
      <w:r w:rsidR="00785EE5" w:rsidRPr="002419EE">
        <w:rPr>
          <w:noProof/>
          <w:color w:val="000000"/>
          <w:sz w:val="26"/>
          <w:szCs w:val="26"/>
        </w:rPr>
        <w:t xml:space="preserve"> млрд. долл.</w:t>
      </w:r>
    </w:p>
    <w:p w:rsidR="00962C59" w:rsidRDefault="00962C59" w:rsidP="00785EE5">
      <w:pPr>
        <w:spacing w:line="288" w:lineRule="auto"/>
        <w:ind w:firstLine="709"/>
        <w:jc w:val="both"/>
        <w:sectPr w:rsidR="00962C59" w:rsidSect="00962C59">
          <w:type w:val="continuous"/>
          <w:pgSz w:w="16838" w:h="11906" w:orient="landscape" w:code="9"/>
          <w:pgMar w:top="1134" w:right="1134" w:bottom="851" w:left="851" w:header="709" w:footer="0" w:gutter="0"/>
          <w:cols w:space="708"/>
          <w:titlePg/>
          <w:docGrid w:linePitch="360"/>
        </w:sectPr>
      </w:pPr>
    </w:p>
    <w:p w:rsidR="000860D7" w:rsidRPr="009E6965" w:rsidRDefault="000860D7" w:rsidP="00785EE5">
      <w:pPr>
        <w:spacing w:line="288" w:lineRule="auto"/>
        <w:ind w:firstLine="709"/>
        <w:jc w:val="both"/>
        <w:rPr>
          <w:noProof/>
          <w:sz w:val="2"/>
          <w:szCs w:val="2"/>
        </w:rPr>
      </w:pPr>
    </w:p>
    <w:p w:rsidR="000860D7" w:rsidRPr="009E6965" w:rsidRDefault="000860D7" w:rsidP="000860D7">
      <w:pPr>
        <w:pStyle w:val="21"/>
        <w:spacing w:before="120" w:after="240" w:line="288" w:lineRule="auto"/>
        <w:ind w:left="709"/>
        <w:rPr>
          <w:rFonts w:ascii="Calibri" w:hAnsi="Calibri"/>
        </w:rPr>
      </w:pPr>
      <w:bookmarkStart w:id="5" w:name="_Toc35458605"/>
      <w:r w:rsidRPr="009E6965">
        <w:rPr>
          <w:rFonts w:ascii="Calibri" w:hAnsi="Calibri"/>
        </w:rPr>
        <w:t>ТОВАРЫ</w:t>
      </w:r>
      <w:bookmarkEnd w:id="5"/>
    </w:p>
    <w:p w:rsidR="000860D7" w:rsidRPr="009E6965" w:rsidRDefault="00785EE5" w:rsidP="000860D7">
      <w:pPr>
        <w:suppressAutoHyphens/>
        <w:spacing w:line="288" w:lineRule="auto"/>
        <w:ind w:firstLine="709"/>
        <w:jc w:val="both"/>
        <w:rPr>
          <w:sz w:val="26"/>
          <w:szCs w:val="26"/>
        </w:rPr>
      </w:pPr>
      <w:r w:rsidRPr="002419EE">
        <w:rPr>
          <w:sz w:val="26"/>
          <w:szCs w:val="26"/>
        </w:rPr>
        <w:t>За 2019 год внешнеторговый оборот</w:t>
      </w:r>
      <w:r w:rsidR="000860D7" w:rsidRPr="002419EE">
        <w:rPr>
          <w:sz w:val="26"/>
          <w:szCs w:val="26"/>
        </w:rPr>
        <w:t xml:space="preserve"> </w:t>
      </w:r>
      <w:r w:rsidRPr="002419EE">
        <w:rPr>
          <w:sz w:val="26"/>
          <w:szCs w:val="26"/>
        </w:rPr>
        <w:t xml:space="preserve">по торговле товарами </w:t>
      </w:r>
      <w:r w:rsidR="005A37C7" w:rsidRPr="002419EE">
        <w:rPr>
          <w:i/>
          <w:sz w:val="26"/>
          <w:szCs w:val="26"/>
        </w:rPr>
        <w:t xml:space="preserve">(в </w:t>
      </w:r>
      <w:r w:rsidRPr="002419EE">
        <w:rPr>
          <w:i/>
          <w:sz w:val="26"/>
          <w:szCs w:val="26"/>
        </w:rPr>
        <w:t>т.ч. золото)</w:t>
      </w:r>
      <w:r w:rsidRPr="002419EE">
        <w:rPr>
          <w:sz w:val="26"/>
          <w:szCs w:val="26"/>
        </w:rPr>
        <w:t xml:space="preserve"> </w:t>
      </w:r>
      <w:r w:rsidR="00FD332F">
        <w:rPr>
          <w:sz w:val="26"/>
          <w:szCs w:val="26"/>
        </w:rPr>
        <w:br/>
      </w:r>
      <w:r w:rsidRPr="002419EE">
        <w:rPr>
          <w:sz w:val="26"/>
          <w:szCs w:val="26"/>
        </w:rPr>
        <w:t>и корректировок</w:t>
      </w:r>
      <w:r w:rsidR="00FD332F">
        <w:rPr>
          <w:sz w:val="26"/>
          <w:szCs w:val="26"/>
        </w:rPr>
        <w:t xml:space="preserve"> (</w:t>
      </w:r>
      <w:r w:rsidR="00521504">
        <w:rPr>
          <w:sz w:val="26"/>
          <w:szCs w:val="26"/>
        </w:rPr>
        <w:t>662 млн. долл.</w:t>
      </w:r>
      <w:r w:rsidR="00FD332F">
        <w:rPr>
          <w:sz w:val="26"/>
          <w:szCs w:val="26"/>
        </w:rPr>
        <w:t>)</w:t>
      </w:r>
      <w:r w:rsidRPr="002419EE">
        <w:rPr>
          <w:sz w:val="26"/>
          <w:szCs w:val="26"/>
        </w:rPr>
        <w:t xml:space="preserve">, составил </w:t>
      </w:r>
      <w:r w:rsidR="003D4EBA" w:rsidRPr="002419EE">
        <w:rPr>
          <w:sz w:val="26"/>
          <w:szCs w:val="26"/>
          <w:lang w:val="uz-Cyrl-UZ"/>
        </w:rPr>
        <w:t>35</w:t>
      </w:r>
      <w:r w:rsidRPr="002419EE">
        <w:rPr>
          <w:sz w:val="26"/>
          <w:szCs w:val="26"/>
        </w:rPr>
        <w:t>,</w:t>
      </w:r>
      <w:r w:rsidR="004F2628" w:rsidRPr="002419EE">
        <w:rPr>
          <w:sz w:val="26"/>
          <w:szCs w:val="26"/>
          <w:lang w:val="uz-Cyrl-UZ"/>
        </w:rPr>
        <w:t>1</w:t>
      </w:r>
      <w:r w:rsidRPr="002419EE">
        <w:rPr>
          <w:sz w:val="26"/>
          <w:szCs w:val="26"/>
        </w:rPr>
        <w:t xml:space="preserve"> млрд. долл. </w:t>
      </w:r>
      <w:r w:rsidRPr="002419EE">
        <w:rPr>
          <w:i/>
          <w:sz w:val="26"/>
          <w:szCs w:val="26"/>
        </w:rPr>
        <w:t>(</w:t>
      </w:r>
      <w:r w:rsidR="003D4EBA" w:rsidRPr="002419EE">
        <w:rPr>
          <w:i/>
          <w:sz w:val="26"/>
          <w:szCs w:val="26"/>
          <w:lang w:val="uz-Cyrl-UZ"/>
        </w:rPr>
        <w:t>29,6</w:t>
      </w:r>
      <w:r w:rsidRPr="002419EE">
        <w:rPr>
          <w:i/>
          <w:sz w:val="26"/>
          <w:szCs w:val="26"/>
        </w:rPr>
        <w:t xml:space="preserve"> млрд. долл. за 2018 год)</w:t>
      </w:r>
      <w:r w:rsidRPr="002419EE">
        <w:rPr>
          <w:sz w:val="26"/>
          <w:szCs w:val="26"/>
        </w:rPr>
        <w:t xml:space="preserve">. При этом, объёмы экспорта и импорта </w:t>
      </w:r>
      <w:r w:rsidR="005F140D" w:rsidRPr="002419EE">
        <w:rPr>
          <w:sz w:val="26"/>
          <w:szCs w:val="26"/>
          <w:lang w:val="uz-Cyrl-UZ"/>
        </w:rPr>
        <w:t>–</w:t>
      </w:r>
      <w:r w:rsidRPr="002419EE">
        <w:rPr>
          <w:sz w:val="26"/>
          <w:szCs w:val="26"/>
        </w:rPr>
        <w:t xml:space="preserve"> 1</w:t>
      </w:r>
      <w:r w:rsidR="004F2628" w:rsidRPr="002419EE">
        <w:rPr>
          <w:sz w:val="26"/>
          <w:szCs w:val="26"/>
          <w:lang w:val="uz-Cyrl-UZ"/>
        </w:rPr>
        <w:t>3</w:t>
      </w:r>
      <w:r w:rsidRPr="002419EE">
        <w:rPr>
          <w:sz w:val="26"/>
          <w:szCs w:val="26"/>
        </w:rPr>
        <w:t>,</w:t>
      </w:r>
      <w:r w:rsidR="004F2628" w:rsidRPr="002419EE">
        <w:rPr>
          <w:sz w:val="26"/>
          <w:szCs w:val="26"/>
          <w:lang w:val="uz-Cyrl-UZ"/>
        </w:rPr>
        <w:t>9</w:t>
      </w:r>
      <w:r w:rsidRPr="002419EE">
        <w:rPr>
          <w:sz w:val="26"/>
          <w:szCs w:val="26"/>
        </w:rPr>
        <w:t xml:space="preserve"> млрд. долл. и </w:t>
      </w:r>
      <w:r w:rsidR="003D4EBA" w:rsidRPr="002419EE">
        <w:rPr>
          <w:sz w:val="26"/>
          <w:szCs w:val="26"/>
          <w:lang w:val="uz-Cyrl-UZ"/>
        </w:rPr>
        <w:t>21</w:t>
      </w:r>
      <w:r w:rsidRPr="002419EE">
        <w:rPr>
          <w:sz w:val="26"/>
          <w:szCs w:val="26"/>
        </w:rPr>
        <w:t>,</w:t>
      </w:r>
      <w:r w:rsidR="003D4EBA" w:rsidRPr="002419EE">
        <w:rPr>
          <w:sz w:val="26"/>
          <w:szCs w:val="26"/>
          <w:lang w:val="uz-Cyrl-UZ"/>
        </w:rPr>
        <w:t>2</w:t>
      </w:r>
      <w:r w:rsidRPr="002419EE">
        <w:rPr>
          <w:sz w:val="26"/>
          <w:szCs w:val="26"/>
        </w:rPr>
        <w:t xml:space="preserve"> млрд. долл. соответственно. В связи с этим, дефицит торгового баланса </w:t>
      </w:r>
      <w:r w:rsidR="005F140D" w:rsidRPr="002419EE">
        <w:rPr>
          <w:sz w:val="26"/>
          <w:szCs w:val="26"/>
        </w:rPr>
        <w:t>товарами был равен</w:t>
      </w:r>
      <w:r w:rsidRPr="002419EE">
        <w:rPr>
          <w:sz w:val="26"/>
          <w:szCs w:val="26"/>
        </w:rPr>
        <w:t xml:space="preserve"> </w:t>
      </w:r>
      <w:r w:rsidR="004F2628" w:rsidRPr="002419EE">
        <w:rPr>
          <w:sz w:val="26"/>
          <w:szCs w:val="26"/>
          <w:lang w:val="uz-Cyrl-UZ"/>
        </w:rPr>
        <w:t>7</w:t>
      </w:r>
      <w:r w:rsidRPr="002419EE">
        <w:rPr>
          <w:sz w:val="26"/>
          <w:szCs w:val="26"/>
        </w:rPr>
        <w:t>,</w:t>
      </w:r>
      <w:r w:rsidR="004F2628" w:rsidRPr="002419EE">
        <w:rPr>
          <w:sz w:val="26"/>
          <w:szCs w:val="26"/>
          <w:lang w:val="uz-Cyrl-UZ"/>
        </w:rPr>
        <w:t>3</w:t>
      </w:r>
      <w:r w:rsidRPr="002419EE">
        <w:rPr>
          <w:sz w:val="26"/>
          <w:szCs w:val="26"/>
        </w:rPr>
        <w:t xml:space="preserve"> млрд. долл.</w:t>
      </w:r>
    </w:p>
    <w:p w:rsidR="000860D7" w:rsidRPr="00A3100B" w:rsidRDefault="000860D7" w:rsidP="000860D7">
      <w:pPr>
        <w:suppressAutoHyphens/>
        <w:spacing w:before="120" w:line="288" w:lineRule="auto"/>
        <w:ind w:firstLine="709"/>
        <w:jc w:val="both"/>
        <w:rPr>
          <w:noProof/>
          <w:sz w:val="26"/>
          <w:szCs w:val="26"/>
        </w:rPr>
      </w:pPr>
      <w:r w:rsidRPr="002419EE">
        <w:rPr>
          <w:sz w:val="26"/>
          <w:szCs w:val="26"/>
        </w:rPr>
        <w:t>Объём</w:t>
      </w:r>
      <w:r w:rsidRPr="002419EE">
        <w:rPr>
          <w:noProof/>
          <w:sz w:val="26"/>
          <w:szCs w:val="26"/>
        </w:rPr>
        <w:t xml:space="preserve"> </w:t>
      </w:r>
      <w:r w:rsidRPr="00D67B55">
        <w:rPr>
          <w:sz w:val="26"/>
          <w:szCs w:val="26"/>
        </w:rPr>
        <w:t>э</w:t>
      </w:r>
      <w:r w:rsidRPr="00D67B55">
        <w:rPr>
          <w:noProof/>
          <w:sz w:val="26"/>
          <w:szCs w:val="26"/>
        </w:rPr>
        <w:t xml:space="preserve">кспорта товаров </w:t>
      </w:r>
      <w:r w:rsidR="00785EE5" w:rsidRPr="00D67B55">
        <w:rPr>
          <w:noProof/>
          <w:sz w:val="26"/>
          <w:szCs w:val="26"/>
        </w:rPr>
        <w:t xml:space="preserve">по сравнению с 2018 годом увеличился на </w:t>
      </w:r>
      <w:r w:rsidR="00852279" w:rsidRPr="00D67B55">
        <w:rPr>
          <w:noProof/>
          <w:sz w:val="26"/>
          <w:szCs w:val="26"/>
        </w:rPr>
        <w:t>2</w:t>
      </w:r>
      <w:r w:rsidR="004F2628" w:rsidRPr="00D67B55">
        <w:rPr>
          <w:noProof/>
          <w:sz w:val="26"/>
          <w:szCs w:val="26"/>
        </w:rPr>
        <w:t>2</w:t>
      </w:r>
      <w:r w:rsidR="00521504">
        <w:rPr>
          <w:noProof/>
          <w:sz w:val="26"/>
          <w:szCs w:val="26"/>
        </w:rPr>
        <w:t>%</w:t>
      </w:r>
      <w:r w:rsidR="00785EE5" w:rsidRPr="00D67B55">
        <w:rPr>
          <w:noProof/>
          <w:sz w:val="26"/>
          <w:szCs w:val="26"/>
        </w:rPr>
        <w:t xml:space="preserve">. </w:t>
      </w:r>
      <w:r w:rsidR="00521504">
        <w:rPr>
          <w:noProof/>
          <w:sz w:val="26"/>
          <w:szCs w:val="26"/>
        </w:rPr>
        <w:br/>
      </w:r>
      <w:r w:rsidR="00521504" w:rsidRPr="00D67B55">
        <w:rPr>
          <w:noProof/>
          <w:sz w:val="26"/>
          <w:szCs w:val="26"/>
        </w:rPr>
        <w:t xml:space="preserve">Доля </w:t>
      </w:r>
      <w:r w:rsidR="00521504">
        <w:rPr>
          <w:noProof/>
          <w:sz w:val="26"/>
          <w:szCs w:val="26"/>
        </w:rPr>
        <w:t xml:space="preserve">золота и газа </w:t>
      </w:r>
      <w:r w:rsidR="00B44DDD" w:rsidRPr="00D67B55">
        <w:rPr>
          <w:noProof/>
          <w:sz w:val="26"/>
          <w:szCs w:val="26"/>
        </w:rPr>
        <w:t xml:space="preserve">в </w:t>
      </w:r>
      <w:r w:rsidR="00785EE5" w:rsidRPr="00D67B55">
        <w:rPr>
          <w:noProof/>
          <w:sz w:val="26"/>
          <w:szCs w:val="26"/>
        </w:rPr>
        <w:t>экспорт</w:t>
      </w:r>
      <w:r w:rsidR="00B44DDD" w:rsidRPr="00D67B55">
        <w:rPr>
          <w:noProof/>
          <w:sz w:val="26"/>
          <w:szCs w:val="26"/>
        </w:rPr>
        <w:t xml:space="preserve">е </w:t>
      </w:r>
      <w:r w:rsidR="005B64C6">
        <w:rPr>
          <w:noProof/>
          <w:sz w:val="26"/>
          <w:szCs w:val="26"/>
        </w:rPr>
        <w:t>равно</w:t>
      </w:r>
      <w:r w:rsidR="00785EE5" w:rsidRPr="00D67B55">
        <w:rPr>
          <w:noProof/>
          <w:sz w:val="26"/>
          <w:szCs w:val="26"/>
        </w:rPr>
        <w:t xml:space="preserve"> </w:t>
      </w:r>
      <w:r w:rsidR="006958E5" w:rsidRPr="00D67B55">
        <w:rPr>
          <w:noProof/>
          <w:sz w:val="26"/>
          <w:szCs w:val="26"/>
        </w:rPr>
        <w:t>3</w:t>
      </w:r>
      <w:r w:rsidR="00DB4DEA" w:rsidRPr="00D67B55">
        <w:rPr>
          <w:noProof/>
          <w:sz w:val="26"/>
          <w:szCs w:val="26"/>
        </w:rPr>
        <w:t>5</w:t>
      </w:r>
      <w:r w:rsidR="00785EE5" w:rsidRPr="00D67B55">
        <w:rPr>
          <w:noProof/>
          <w:sz w:val="26"/>
          <w:szCs w:val="26"/>
        </w:rPr>
        <w:t xml:space="preserve">% и </w:t>
      </w:r>
      <w:r w:rsidR="00DB4DEA" w:rsidRPr="00D67B55">
        <w:rPr>
          <w:noProof/>
          <w:sz w:val="26"/>
          <w:szCs w:val="26"/>
        </w:rPr>
        <w:t>16</w:t>
      </w:r>
      <w:r w:rsidR="00785EE5" w:rsidRPr="00D67B55">
        <w:rPr>
          <w:noProof/>
          <w:sz w:val="26"/>
          <w:szCs w:val="26"/>
        </w:rPr>
        <w:t>% соответственно. При этом</w:t>
      </w:r>
      <w:r w:rsidR="00521504">
        <w:rPr>
          <w:noProof/>
          <w:sz w:val="26"/>
          <w:szCs w:val="26"/>
        </w:rPr>
        <w:t>,</w:t>
      </w:r>
      <w:r w:rsidR="00785EE5" w:rsidRPr="00D67B55">
        <w:rPr>
          <w:noProof/>
          <w:sz w:val="26"/>
          <w:szCs w:val="26"/>
        </w:rPr>
        <w:t xml:space="preserve"> наблюдал</w:t>
      </w:r>
      <w:r w:rsidR="002419EE" w:rsidRPr="00D67B55">
        <w:rPr>
          <w:noProof/>
          <w:sz w:val="26"/>
          <w:szCs w:val="26"/>
        </w:rPr>
        <w:t xml:space="preserve">ось сокращение </w:t>
      </w:r>
      <w:r w:rsidR="00785EE5" w:rsidRPr="00D67B55">
        <w:rPr>
          <w:noProof/>
          <w:sz w:val="26"/>
          <w:szCs w:val="26"/>
        </w:rPr>
        <w:t>объ</w:t>
      </w:r>
      <w:r w:rsidR="005B64C6">
        <w:rPr>
          <w:noProof/>
          <w:sz w:val="26"/>
          <w:szCs w:val="26"/>
        </w:rPr>
        <w:t>ё</w:t>
      </w:r>
      <w:r w:rsidR="00785EE5" w:rsidRPr="00D67B55">
        <w:rPr>
          <w:noProof/>
          <w:sz w:val="26"/>
          <w:szCs w:val="26"/>
        </w:rPr>
        <w:t xml:space="preserve">ма экспорта </w:t>
      </w:r>
      <w:r w:rsidR="0000120B">
        <w:rPr>
          <w:noProof/>
          <w:sz w:val="26"/>
          <w:szCs w:val="26"/>
          <w:lang w:val="uz-Cyrl-UZ"/>
        </w:rPr>
        <w:t>газа</w:t>
      </w:r>
      <w:r w:rsidR="00785EE5" w:rsidRPr="00D67B55">
        <w:rPr>
          <w:noProof/>
          <w:sz w:val="26"/>
          <w:szCs w:val="26"/>
        </w:rPr>
        <w:t xml:space="preserve"> на </w:t>
      </w:r>
      <w:r w:rsidR="00D67B55" w:rsidRPr="00D67B55">
        <w:rPr>
          <w:noProof/>
          <w:sz w:val="26"/>
          <w:szCs w:val="26"/>
        </w:rPr>
        <w:t>9</w:t>
      </w:r>
      <w:r w:rsidR="00785EE5" w:rsidRPr="00D67B55">
        <w:rPr>
          <w:noProof/>
          <w:sz w:val="26"/>
          <w:szCs w:val="26"/>
        </w:rPr>
        <w:t>% относительно 2018 года</w:t>
      </w:r>
      <w:r w:rsidR="00785EE5" w:rsidRPr="00A3100B">
        <w:rPr>
          <w:noProof/>
          <w:sz w:val="26"/>
          <w:szCs w:val="26"/>
        </w:rPr>
        <w:t>.</w:t>
      </w:r>
    </w:p>
    <w:p w:rsidR="000860D7" w:rsidRPr="009E6965" w:rsidRDefault="000860D7" w:rsidP="000860D7">
      <w:pPr>
        <w:suppressAutoHyphens/>
        <w:spacing w:before="120" w:line="288" w:lineRule="auto"/>
        <w:ind w:firstLine="709"/>
        <w:jc w:val="both"/>
        <w:rPr>
          <w:noProof/>
          <w:sz w:val="26"/>
          <w:szCs w:val="26"/>
        </w:rPr>
      </w:pPr>
      <w:r w:rsidRPr="006D47F8">
        <w:rPr>
          <w:noProof/>
          <w:sz w:val="26"/>
          <w:szCs w:val="26"/>
        </w:rPr>
        <w:t xml:space="preserve">Объём экспорта товаров </w:t>
      </w:r>
      <w:r w:rsidRPr="006D47F8">
        <w:rPr>
          <w:i/>
          <w:noProof/>
          <w:sz w:val="26"/>
          <w:szCs w:val="26"/>
        </w:rPr>
        <w:t>(без учёта золота и корректировок</w:t>
      </w:r>
      <w:r w:rsidR="000975B5" w:rsidRPr="006D47F8">
        <w:rPr>
          <w:rStyle w:val="a9"/>
          <w:i/>
          <w:noProof/>
          <w:sz w:val="26"/>
          <w:szCs w:val="26"/>
        </w:rPr>
        <w:footnoteReference w:id="4"/>
      </w:r>
      <w:r w:rsidR="009B6C4F">
        <w:rPr>
          <w:i/>
          <w:noProof/>
          <w:sz w:val="26"/>
          <w:szCs w:val="26"/>
          <w:lang w:val="uz-Cyrl-UZ"/>
        </w:rPr>
        <w:t>)</w:t>
      </w:r>
      <w:r w:rsidRPr="006D47F8">
        <w:rPr>
          <w:noProof/>
          <w:sz w:val="26"/>
          <w:szCs w:val="26"/>
        </w:rPr>
        <w:t xml:space="preserve"> </w:t>
      </w:r>
      <w:r w:rsidR="00785EE5" w:rsidRPr="006D47F8">
        <w:rPr>
          <w:noProof/>
          <w:sz w:val="26"/>
          <w:szCs w:val="26"/>
        </w:rPr>
        <w:t xml:space="preserve">за 2019 год </w:t>
      </w:r>
      <w:r w:rsidR="005B64C6">
        <w:rPr>
          <w:noProof/>
          <w:sz w:val="26"/>
          <w:szCs w:val="26"/>
        </w:rPr>
        <w:br/>
      </w:r>
      <w:r w:rsidR="00785EE5" w:rsidRPr="006D47F8">
        <w:rPr>
          <w:noProof/>
          <w:sz w:val="26"/>
          <w:szCs w:val="26"/>
        </w:rPr>
        <w:t xml:space="preserve">по сравнению с </w:t>
      </w:r>
      <w:r w:rsidR="007A5368">
        <w:rPr>
          <w:noProof/>
          <w:sz w:val="26"/>
          <w:szCs w:val="26"/>
          <w:lang w:val="uz-Cyrl-UZ"/>
        </w:rPr>
        <w:t xml:space="preserve">предыдущим </w:t>
      </w:r>
      <w:r w:rsidR="007A5368">
        <w:rPr>
          <w:sz w:val="26"/>
          <w:szCs w:val="26"/>
        </w:rPr>
        <w:t>годом</w:t>
      </w:r>
      <w:r w:rsidR="00785EE5" w:rsidRPr="006D47F8">
        <w:rPr>
          <w:noProof/>
          <w:sz w:val="26"/>
          <w:szCs w:val="26"/>
        </w:rPr>
        <w:t xml:space="preserve"> </w:t>
      </w:r>
      <w:r w:rsidR="001C46EA" w:rsidRPr="006D47F8">
        <w:rPr>
          <w:noProof/>
          <w:sz w:val="26"/>
          <w:szCs w:val="26"/>
        </w:rPr>
        <w:t>вырос</w:t>
      </w:r>
      <w:r w:rsidRPr="006D47F8">
        <w:rPr>
          <w:noProof/>
          <w:sz w:val="26"/>
          <w:szCs w:val="26"/>
        </w:rPr>
        <w:t xml:space="preserve"> на </w:t>
      </w:r>
      <w:r w:rsidR="008C4F18" w:rsidRPr="006D47F8">
        <w:rPr>
          <w:noProof/>
          <w:sz w:val="26"/>
          <w:szCs w:val="26"/>
        </w:rPr>
        <w:t>7</w:t>
      </w:r>
      <w:r w:rsidR="00785EE5" w:rsidRPr="006D47F8">
        <w:rPr>
          <w:noProof/>
          <w:sz w:val="26"/>
          <w:szCs w:val="26"/>
        </w:rPr>
        <w:t>%</w:t>
      </w:r>
      <w:r w:rsidR="001C46EA" w:rsidRPr="006D47F8">
        <w:rPr>
          <w:noProof/>
          <w:sz w:val="26"/>
          <w:szCs w:val="26"/>
        </w:rPr>
        <w:t xml:space="preserve"> </w:t>
      </w:r>
      <w:r w:rsidR="00785EE5" w:rsidRPr="006D47F8">
        <w:rPr>
          <w:i/>
          <w:noProof/>
          <w:sz w:val="26"/>
          <w:szCs w:val="26"/>
        </w:rPr>
        <w:t>(</w:t>
      </w:r>
      <w:r w:rsidR="00B44DDD" w:rsidRPr="006D47F8">
        <w:rPr>
          <w:i/>
          <w:noProof/>
          <w:sz w:val="26"/>
          <w:szCs w:val="26"/>
        </w:rPr>
        <w:t xml:space="preserve">23% </w:t>
      </w:r>
      <w:r w:rsidR="00785EE5" w:rsidRPr="006D47F8">
        <w:rPr>
          <w:i/>
          <w:noProof/>
          <w:sz w:val="26"/>
          <w:szCs w:val="26"/>
        </w:rPr>
        <w:t>за</w:t>
      </w:r>
      <w:r w:rsidR="00785EE5" w:rsidRPr="00BB3DF7">
        <w:rPr>
          <w:i/>
          <w:noProof/>
          <w:sz w:val="26"/>
          <w:szCs w:val="26"/>
        </w:rPr>
        <w:t xml:space="preserve"> 2018 год)</w:t>
      </w:r>
      <w:r w:rsidRPr="009E6965">
        <w:rPr>
          <w:i/>
          <w:noProof/>
          <w:sz w:val="26"/>
          <w:szCs w:val="26"/>
        </w:rPr>
        <w:t xml:space="preserve"> </w:t>
      </w:r>
      <w:r w:rsidRPr="009E6965">
        <w:rPr>
          <w:noProof/>
          <w:color w:val="2E74B5"/>
          <w:sz w:val="26"/>
          <w:szCs w:val="26"/>
        </w:rPr>
        <w:t xml:space="preserve">(Диаграмма </w:t>
      </w:r>
      <w:r w:rsidR="00007D35">
        <w:rPr>
          <w:noProof/>
          <w:color w:val="2E74B5"/>
          <w:sz w:val="26"/>
          <w:szCs w:val="26"/>
        </w:rPr>
        <w:t>3</w:t>
      </w:r>
      <w:r w:rsidRPr="009E6965">
        <w:rPr>
          <w:noProof/>
          <w:color w:val="2E74B5"/>
          <w:sz w:val="26"/>
          <w:szCs w:val="26"/>
        </w:rPr>
        <w:t>)</w:t>
      </w:r>
      <w:r w:rsidR="00920AD2">
        <w:rPr>
          <w:noProof/>
          <w:color w:val="2E74B5"/>
          <w:sz w:val="26"/>
          <w:szCs w:val="26"/>
        </w:rPr>
        <w:t>.</w:t>
      </w:r>
    </w:p>
    <w:p w:rsidR="00434770" w:rsidRDefault="00434770" w:rsidP="00434770">
      <w:pPr>
        <w:suppressAutoHyphens/>
        <w:ind w:firstLine="709"/>
        <w:jc w:val="right"/>
        <w:rPr>
          <w:noProof/>
          <w:sz w:val="26"/>
          <w:szCs w:val="26"/>
        </w:rPr>
      </w:pPr>
    </w:p>
    <w:p w:rsidR="000860D7" w:rsidRPr="004A7153" w:rsidRDefault="0051438B" w:rsidP="00434770">
      <w:pPr>
        <w:suppressAutoHyphens/>
        <w:ind w:firstLine="709"/>
        <w:jc w:val="right"/>
        <w:rPr>
          <w:noProof/>
        </w:rPr>
      </w:pPr>
      <w:r w:rsidRPr="004A7153">
        <w:rPr>
          <w:noProof/>
        </w:rPr>
        <w:t xml:space="preserve">Диаграмма </w:t>
      </w:r>
      <w:r w:rsidR="00007D35">
        <w:rPr>
          <w:noProof/>
        </w:rPr>
        <w:t>3</w:t>
      </w:r>
    </w:p>
    <w:p w:rsidR="0051438B" w:rsidRPr="004A7153" w:rsidRDefault="0051438B" w:rsidP="00053B44">
      <w:pPr>
        <w:suppressAutoHyphens/>
        <w:spacing w:line="288" w:lineRule="auto"/>
        <w:ind w:firstLine="709"/>
        <w:jc w:val="center"/>
        <w:rPr>
          <w:b/>
          <w:noProof/>
          <w:sz w:val="28"/>
          <w:szCs w:val="28"/>
        </w:rPr>
      </w:pPr>
      <w:r w:rsidRPr="004A7153">
        <w:rPr>
          <w:b/>
          <w:noProof/>
          <w:sz w:val="28"/>
          <w:szCs w:val="28"/>
        </w:rPr>
        <w:t>КОМ</w:t>
      </w:r>
      <w:r w:rsidR="00216F77" w:rsidRPr="004A7153">
        <w:rPr>
          <w:b/>
          <w:noProof/>
          <w:sz w:val="28"/>
          <w:szCs w:val="28"/>
        </w:rPr>
        <w:t>П</w:t>
      </w:r>
      <w:r w:rsidRPr="004A7153">
        <w:rPr>
          <w:b/>
          <w:noProof/>
          <w:sz w:val="28"/>
          <w:szCs w:val="28"/>
        </w:rPr>
        <w:t>ОНЕНТЫ ЭКСПОРТА ТОВАРОВ</w:t>
      </w:r>
    </w:p>
    <w:p w:rsidR="0051438B" w:rsidRPr="009E6965" w:rsidRDefault="0051438B" w:rsidP="0051438B">
      <w:pPr>
        <w:suppressAutoHyphens/>
        <w:spacing w:before="120" w:line="288" w:lineRule="auto"/>
        <w:ind w:firstLine="708"/>
        <w:jc w:val="right"/>
        <w:rPr>
          <w:rFonts w:cs="Calibri"/>
          <w:i/>
          <w:lang w:val="uz-Cyrl-UZ"/>
        </w:rPr>
      </w:pPr>
      <w:r w:rsidRPr="004A7153">
        <w:rPr>
          <w:rFonts w:cs="Calibri"/>
          <w:i/>
          <w:lang w:val="uz-Cyrl-UZ"/>
        </w:rPr>
        <w:t>(млн. долл.)</w:t>
      </w:r>
    </w:p>
    <w:p w:rsidR="000860D7" w:rsidRPr="008C4F18" w:rsidRDefault="008C4F18" w:rsidP="0051438B">
      <w:pPr>
        <w:suppressAutoHyphens/>
        <w:spacing w:line="288" w:lineRule="auto"/>
        <w:jc w:val="both"/>
        <w:rPr>
          <w:noProof/>
          <w:sz w:val="26"/>
          <w:szCs w:val="26"/>
          <w:lang w:val="uz-Cyrl-UZ"/>
        </w:rPr>
      </w:pPr>
      <w:r>
        <w:rPr>
          <w:noProof/>
        </w:rPr>
        <w:drawing>
          <wp:inline distT="0" distB="0" distL="0" distR="0">
            <wp:extent cx="6380703" cy="3858260"/>
            <wp:effectExtent l="0" t="0" r="1270" b="889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860D7" w:rsidRPr="009E6965" w:rsidRDefault="00785EE5" w:rsidP="000860D7">
      <w:pPr>
        <w:tabs>
          <w:tab w:val="left" w:pos="9356"/>
        </w:tabs>
        <w:suppressAutoHyphens/>
        <w:spacing w:before="120" w:line="288" w:lineRule="auto"/>
        <w:ind w:firstLine="709"/>
        <w:jc w:val="both"/>
        <w:rPr>
          <w:noProof/>
          <w:sz w:val="26"/>
          <w:szCs w:val="26"/>
        </w:rPr>
      </w:pPr>
      <w:r w:rsidRPr="00785EE5">
        <w:rPr>
          <w:noProof/>
          <w:sz w:val="26"/>
          <w:szCs w:val="26"/>
        </w:rPr>
        <w:t>Объём импорта товаров относительно 2018 года увеличился</w:t>
      </w:r>
      <w:r w:rsidR="000860D7" w:rsidRPr="005B64C6">
        <w:rPr>
          <w:noProof/>
          <w:sz w:val="26"/>
          <w:szCs w:val="26"/>
        </w:rPr>
        <w:t xml:space="preserve"> </w:t>
      </w:r>
      <w:r w:rsidRPr="005B64C6">
        <w:rPr>
          <w:noProof/>
          <w:sz w:val="26"/>
          <w:szCs w:val="26"/>
        </w:rPr>
        <w:t>н</w:t>
      </w:r>
      <w:r w:rsidRPr="004A7153">
        <w:rPr>
          <w:noProof/>
          <w:sz w:val="26"/>
          <w:szCs w:val="26"/>
        </w:rPr>
        <w:t xml:space="preserve">а </w:t>
      </w:r>
      <w:r w:rsidR="001C46EA" w:rsidRPr="004A7153">
        <w:rPr>
          <w:noProof/>
          <w:sz w:val="26"/>
          <w:szCs w:val="26"/>
        </w:rPr>
        <w:t>16</w:t>
      </w:r>
      <w:r w:rsidRPr="004A7153">
        <w:rPr>
          <w:noProof/>
          <w:sz w:val="26"/>
          <w:szCs w:val="26"/>
        </w:rPr>
        <w:t>%. Вместе</w:t>
      </w:r>
      <w:r w:rsidRPr="00785EE5">
        <w:rPr>
          <w:noProof/>
          <w:sz w:val="26"/>
          <w:szCs w:val="26"/>
        </w:rPr>
        <w:t xml:space="preserve"> с тем, </w:t>
      </w:r>
      <w:r w:rsidR="00717354">
        <w:rPr>
          <w:noProof/>
          <w:sz w:val="26"/>
          <w:szCs w:val="26"/>
        </w:rPr>
        <w:t>в</w:t>
      </w:r>
      <w:r w:rsidRPr="00785EE5">
        <w:rPr>
          <w:noProof/>
          <w:sz w:val="26"/>
          <w:szCs w:val="26"/>
        </w:rPr>
        <w:t xml:space="preserve"> 2019 год</w:t>
      </w:r>
      <w:r w:rsidR="00717354">
        <w:rPr>
          <w:noProof/>
          <w:sz w:val="26"/>
          <w:szCs w:val="26"/>
        </w:rPr>
        <w:t>у</w:t>
      </w:r>
      <w:r w:rsidRPr="00785EE5">
        <w:rPr>
          <w:noProof/>
          <w:sz w:val="26"/>
          <w:szCs w:val="26"/>
        </w:rPr>
        <w:t xml:space="preserve"> </w:t>
      </w:r>
      <w:r w:rsidR="00717354">
        <w:rPr>
          <w:noProof/>
          <w:sz w:val="26"/>
          <w:szCs w:val="26"/>
        </w:rPr>
        <w:t xml:space="preserve">наблюдалось замедление темпов роста </w:t>
      </w:r>
      <w:r w:rsidRPr="00785EE5">
        <w:rPr>
          <w:noProof/>
          <w:sz w:val="26"/>
          <w:szCs w:val="26"/>
        </w:rPr>
        <w:t>по сравнению с 2018 год</w:t>
      </w:r>
      <w:r w:rsidR="006B7214">
        <w:rPr>
          <w:noProof/>
          <w:sz w:val="26"/>
          <w:szCs w:val="26"/>
        </w:rPr>
        <w:t>ом</w:t>
      </w:r>
      <w:r w:rsidR="004A7153">
        <w:rPr>
          <w:noProof/>
          <w:sz w:val="26"/>
          <w:szCs w:val="26"/>
        </w:rPr>
        <w:t xml:space="preserve"> </w:t>
      </w:r>
      <w:r w:rsidR="000860D7" w:rsidRPr="009E6965">
        <w:rPr>
          <w:noProof/>
          <w:color w:val="2E74B5"/>
          <w:sz w:val="26"/>
          <w:szCs w:val="26"/>
        </w:rPr>
        <w:t xml:space="preserve">(Диаграмма </w:t>
      </w:r>
      <w:r w:rsidR="00007D35">
        <w:rPr>
          <w:noProof/>
          <w:color w:val="2E74B5"/>
          <w:sz w:val="26"/>
          <w:szCs w:val="26"/>
        </w:rPr>
        <w:t>4</w:t>
      </w:r>
      <w:r w:rsidR="000860D7" w:rsidRPr="009E6965">
        <w:rPr>
          <w:noProof/>
          <w:color w:val="2E74B5"/>
          <w:sz w:val="26"/>
          <w:szCs w:val="26"/>
        </w:rPr>
        <w:t>)</w:t>
      </w:r>
      <w:r w:rsidR="00920AD2">
        <w:rPr>
          <w:noProof/>
          <w:color w:val="2E74B5"/>
          <w:sz w:val="26"/>
          <w:szCs w:val="26"/>
        </w:rPr>
        <w:t>.</w:t>
      </w:r>
    </w:p>
    <w:p w:rsidR="00925495" w:rsidRPr="004A7153" w:rsidRDefault="00925495" w:rsidP="00AA0FBE">
      <w:pPr>
        <w:suppressAutoHyphens/>
        <w:spacing w:line="288" w:lineRule="auto"/>
        <w:ind w:firstLine="709"/>
        <w:jc w:val="right"/>
        <w:rPr>
          <w:noProof/>
        </w:rPr>
      </w:pPr>
      <w:r w:rsidRPr="004A7153">
        <w:rPr>
          <w:noProof/>
        </w:rPr>
        <w:t xml:space="preserve">Диаграмма </w:t>
      </w:r>
      <w:r w:rsidR="00007D35">
        <w:rPr>
          <w:noProof/>
        </w:rPr>
        <w:t>4</w:t>
      </w:r>
    </w:p>
    <w:p w:rsidR="00925495" w:rsidRPr="004A7153" w:rsidRDefault="00925495" w:rsidP="00A33EC2">
      <w:pPr>
        <w:suppressAutoHyphens/>
        <w:spacing w:before="60" w:line="288" w:lineRule="auto"/>
        <w:ind w:firstLine="709"/>
        <w:jc w:val="center"/>
        <w:rPr>
          <w:b/>
          <w:noProof/>
          <w:sz w:val="28"/>
          <w:szCs w:val="28"/>
        </w:rPr>
      </w:pPr>
      <w:r w:rsidRPr="004A7153">
        <w:rPr>
          <w:b/>
          <w:noProof/>
          <w:sz w:val="28"/>
          <w:szCs w:val="28"/>
        </w:rPr>
        <w:lastRenderedPageBreak/>
        <w:t>КОМ</w:t>
      </w:r>
      <w:r w:rsidR="00216F77" w:rsidRPr="004A7153">
        <w:rPr>
          <w:b/>
          <w:noProof/>
          <w:sz w:val="28"/>
          <w:szCs w:val="28"/>
        </w:rPr>
        <w:t>П</w:t>
      </w:r>
      <w:r w:rsidRPr="004A7153">
        <w:rPr>
          <w:b/>
          <w:noProof/>
          <w:sz w:val="28"/>
          <w:szCs w:val="28"/>
        </w:rPr>
        <w:t>ОНЕНТЫ ИМПОРТА ТОВАРОВ</w:t>
      </w:r>
    </w:p>
    <w:p w:rsidR="00925495" w:rsidRPr="009E6965" w:rsidRDefault="00925495" w:rsidP="00A33EC2">
      <w:pPr>
        <w:suppressAutoHyphens/>
        <w:spacing w:before="60" w:line="288" w:lineRule="auto"/>
        <w:ind w:firstLine="708"/>
        <w:jc w:val="right"/>
        <w:rPr>
          <w:rFonts w:cs="Calibri"/>
          <w:i/>
          <w:lang w:val="uz-Cyrl-UZ"/>
        </w:rPr>
      </w:pPr>
      <w:r w:rsidRPr="004A7153">
        <w:rPr>
          <w:rFonts w:cs="Calibri"/>
          <w:i/>
          <w:lang w:val="uz-Cyrl-UZ"/>
        </w:rPr>
        <w:t>(млн. долл.)</w:t>
      </w:r>
    </w:p>
    <w:p w:rsidR="00925495" w:rsidRPr="009E6965" w:rsidRDefault="005D01C6" w:rsidP="00925495">
      <w:pPr>
        <w:tabs>
          <w:tab w:val="left" w:pos="9356"/>
        </w:tabs>
        <w:suppressAutoHyphens/>
        <w:spacing w:line="288" w:lineRule="auto"/>
        <w:jc w:val="both"/>
        <w:rPr>
          <w:noProof/>
          <w:sz w:val="26"/>
          <w:szCs w:val="26"/>
          <w:lang w:val="uz-Cyrl-UZ"/>
        </w:rPr>
      </w:pPr>
      <w:r>
        <w:rPr>
          <w:noProof/>
        </w:rPr>
        <w:drawing>
          <wp:inline distT="0" distB="0" distL="0" distR="0">
            <wp:extent cx="6400800" cy="3930732"/>
            <wp:effectExtent l="0" t="0" r="0" b="1270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30ED9" w:rsidRDefault="00785EE5" w:rsidP="00A33EC2">
      <w:pPr>
        <w:spacing w:before="100" w:line="288" w:lineRule="auto"/>
        <w:ind w:firstLine="709"/>
        <w:jc w:val="both"/>
        <w:rPr>
          <w:sz w:val="26"/>
          <w:szCs w:val="26"/>
        </w:rPr>
      </w:pPr>
      <w:r w:rsidRPr="00785EE5">
        <w:rPr>
          <w:sz w:val="26"/>
          <w:szCs w:val="26"/>
        </w:rPr>
        <w:t xml:space="preserve">За 2019 год </w:t>
      </w:r>
      <w:r w:rsidR="00430ED9" w:rsidRPr="004A7153">
        <w:rPr>
          <w:sz w:val="26"/>
          <w:szCs w:val="26"/>
        </w:rPr>
        <w:t>8</w:t>
      </w:r>
      <w:r w:rsidR="00921152" w:rsidRPr="004A7153">
        <w:rPr>
          <w:sz w:val="26"/>
          <w:szCs w:val="26"/>
        </w:rPr>
        <w:t>2</w:t>
      </w:r>
      <w:r w:rsidRPr="004A7153">
        <w:rPr>
          <w:sz w:val="26"/>
          <w:szCs w:val="26"/>
        </w:rPr>
        <w:t xml:space="preserve">% совокупного объёма экспорта товаров приходились на </w:t>
      </w:r>
      <w:r w:rsidR="00430ED9" w:rsidRPr="004A7153">
        <w:rPr>
          <w:sz w:val="26"/>
          <w:szCs w:val="26"/>
          <w:lang w:val="uz-Cyrl-UZ"/>
        </w:rPr>
        <w:t>шесть</w:t>
      </w:r>
      <w:r w:rsidRPr="004A7153">
        <w:rPr>
          <w:sz w:val="26"/>
          <w:szCs w:val="26"/>
        </w:rPr>
        <w:t xml:space="preserve"> стран, из которых </w:t>
      </w:r>
      <w:r w:rsidR="00921152" w:rsidRPr="004A7153">
        <w:rPr>
          <w:sz w:val="26"/>
          <w:szCs w:val="26"/>
        </w:rPr>
        <w:t>20</w:t>
      </w:r>
      <w:r w:rsidRPr="004A7153">
        <w:rPr>
          <w:sz w:val="26"/>
          <w:szCs w:val="26"/>
        </w:rPr>
        <w:t>% на Швейцарию</w:t>
      </w:r>
      <w:r w:rsidR="00430ED9" w:rsidRPr="004A7153">
        <w:rPr>
          <w:sz w:val="26"/>
          <w:szCs w:val="26"/>
        </w:rPr>
        <w:t xml:space="preserve"> </w:t>
      </w:r>
      <w:r w:rsidR="00430ED9" w:rsidRPr="004A7153">
        <w:rPr>
          <w:i/>
          <w:sz w:val="26"/>
          <w:szCs w:val="26"/>
        </w:rPr>
        <w:t>(золото)</w:t>
      </w:r>
      <w:r w:rsidR="00430ED9" w:rsidRPr="004A7153">
        <w:rPr>
          <w:sz w:val="26"/>
          <w:szCs w:val="26"/>
        </w:rPr>
        <w:t>,</w:t>
      </w:r>
      <w:r w:rsidRPr="004A7153">
        <w:rPr>
          <w:sz w:val="26"/>
          <w:szCs w:val="26"/>
        </w:rPr>
        <w:t xml:space="preserve"> </w:t>
      </w:r>
      <w:r w:rsidR="00430ED9" w:rsidRPr="004A7153">
        <w:rPr>
          <w:sz w:val="26"/>
          <w:szCs w:val="26"/>
        </w:rPr>
        <w:t>1</w:t>
      </w:r>
      <w:r w:rsidR="00921152" w:rsidRPr="004A7153">
        <w:rPr>
          <w:sz w:val="26"/>
          <w:szCs w:val="26"/>
        </w:rPr>
        <w:t>7</w:t>
      </w:r>
      <w:r w:rsidR="00430ED9" w:rsidRPr="004A7153">
        <w:rPr>
          <w:sz w:val="26"/>
          <w:szCs w:val="26"/>
        </w:rPr>
        <w:t xml:space="preserve">% на </w:t>
      </w:r>
      <w:r w:rsidR="00FD332F">
        <w:rPr>
          <w:sz w:val="26"/>
          <w:szCs w:val="26"/>
        </w:rPr>
        <w:t>Великобританию</w:t>
      </w:r>
      <w:r w:rsidR="00885411">
        <w:rPr>
          <w:rStyle w:val="a9"/>
          <w:sz w:val="26"/>
          <w:szCs w:val="26"/>
        </w:rPr>
        <w:footnoteReference w:id="5"/>
      </w:r>
      <w:r w:rsidRPr="00785EE5">
        <w:rPr>
          <w:sz w:val="26"/>
          <w:szCs w:val="26"/>
        </w:rPr>
        <w:t xml:space="preserve"> </w:t>
      </w:r>
      <w:r w:rsidRPr="00BB3DF7">
        <w:rPr>
          <w:i/>
          <w:sz w:val="26"/>
          <w:szCs w:val="26"/>
        </w:rPr>
        <w:t>(золото)</w:t>
      </w:r>
      <w:r w:rsidR="00430ED9">
        <w:rPr>
          <w:sz w:val="26"/>
          <w:szCs w:val="26"/>
        </w:rPr>
        <w:t xml:space="preserve">, </w:t>
      </w:r>
      <w:r w:rsidR="009F07F7">
        <w:rPr>
          <w:sz w:val="26"/>
          <w:szCs w:val="26"/>
        </w:rPr>
        <w:br/>
      </w:r>
      <w:r w:rsidR="00430ED9" w:rsidRPr="004A7153">
        <w:rPr>
          <w:sz w:val="26"/>
          <w:szCs w:val="26"/>
        </w:rPr>
        <w:t>1</w:t>
      </w:r>
      <w:r w:rsidR="00921152" w:rsidRPr="004A7153">
        <w:rPr>
          <w:sz w:val="26"/>
          <w:szCs w:val="26"/>
        </w:rPr>
        <w:t>3</w:t>
      </w:r>
      <w:r w:rsidR="00430ED9" w:rsidRPr="004A7153">
        <w:rPr>
          <w:sz w:val="26"/>
          <w:szCs w:val="26"/>
        </w:rPr>
        <w:t>% на Китай, 1</w:t>
      </w:r>
      <w:r w:rsidR="00921152" w:rsidRPr="004A7153">
        <w:rPr>
          <w:sz w:val="26"/>
          <w:szCs w:val="26"/>
        </w:rPr>
        <w:t>5</w:t>
      </w:r>
      <w:r w:rsidR="00430ED9" w:rsidRPr="004A7153">
        <w:rPr>
          <w:sz w:val="26"/>
          <w:szCs w:val="26"/>
        </w:rPr>
        <w:t xml:space="preserve">% на Россию, </w:t>
      </w:r>
      <w:r w:rsidR="00921152" w:rsidRPr="004A7153">
        <w:rPr>
          <w:sz w:val="26"/>
          <w:szCs w:val="26"/>
        </w:rPr>
        <w:t>9</w:t>
      </w:r>
      <w:r w:rsidR="00430ED9" w:rsidRPr="004A7153">
        <w:rPr>
          <w:sz w:val="26"/>
          <w:szCs w:val="26"/>
        </w:rPr>
        <w:t xml:space="preserve">% на Казахстан и </w:t>
      </w:r>
      <w:r w:rsidR="004045A3" w:rsidRPr="004A7153">
        <w:rPr>
          <w:sz w:val="26"/>
          <w:szCs w:val="26"/>
        </w:rPr>
        <w:t>8</w:t>
      </w:r>
      <w:r w:rsidR="00430ED9" w:rsidRPr="004A7153">
        <w:rPr>
          <w:sz w:val="26"/>
          <w:szCs w:val="26"/>
        </w:rPr>
        <w:t>% на Турцию</w:t>
      </w:r>
      <w:r w:rsidRPr="00785EE5">
        <w:rPr>
          <w:sz w:val="26"/>
          <w:szCs w:val="26"/>
        </w:rPr>
        <w:t xml:space="preserve"> </w:t>
      </w:r>
      <w:r w:rsidR="00430ED9" w:rsidRPr="009E6965">
        <w:rPr>
          <w:color w:val="2E74B5"/>
          <w:sz w:val="26"/>
          <w:szCs w:val="26"/>
        </w:rPr>
        <w:t xml:space="preserve">(Диаграмма </w:t>
      </w:r>
      <w:r w:rsidR="00007D35">
        <w:rPr>
          <w:color w:val="2E74B5"/>
          <w:sz w:val="26"/>
          <w:szCs w:val="26"/>
          <w:lang w:val="uz-Cyrl-UZ"/>
        </w:rPr>
        <w:t>5</w:t>
      </w:r>
      <w:r w:rsidR="00430ED9" w:rsidRPr="009E6965">
        <w:rPr>
          <w:color w:val="2E74B5"/>
          <w:sz w:val="26"/>
          <w:szCs w:val="26"/>
        </w:rPr>
        <w:t>).</w:t>
      </w:r>
    </w:p>
    <w:p w:rsidR="000860D7" w:rsidRPr="002856FD" w:rsidRDefault="009F07F7" w:rsidP="00A33EC2">
      <w:pPr>
        <w:spacing w:before="100" w:line="288" w:lineRule="auto"/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</w:rPr>
        <w:t>Э</w:t>
      </w:r>
      <w:r w:rsidR="00785EE5" w:rsidRPr="00785EE5">
        <w:rPr>
          <w:sz w:val="26"/>
          <w:szCs w:val="26"/>
        </w:rPr>
        <w:t xml:space="preserve">кспорт сырьевых товаров </w:t>
      </w:r>
      <w:r w:rsidR="00785EE5" w:rsidRPr="00BB3DF7">
        <w:rPr>
          <w:i/>
          <w:sz w:val="26"/>
          <w:szCs w:val="26"/>
        </w:rPr>
        <w:t xml:space="preserve">(золота </w:t>
      </w:r>
      <w:r w:rsidR="00785EE5" w:rsidRPr="00AA0FBE">
        <w:rPr>
          <w:i/>
          <w:sz w:val="26"/>
          <w:szCs w:val="26"/>
        </w:rPr>
        <w:t xml:space="preserve">и </w:t>
      </w:r>
      <w:r w:rsidR="00214C2B" w:rsidRPr="00AA0FBE">
        <w:rPr>
          <w:i/>
          <w:sz w:val="26"/>
          <w:szCs w:val="26"/>
        </w:rPr>
        <w:t>природного</w:t>
      </w:r>
      <w:r w:rsidR="00785EE5" w:rsidRPr="00AA0FBE">
        <w:rPr>
          <w:i/>
          <w:sz w:val="26"/>
          <w:szCs w:val="26"/>
        </w:rPr>
        <w:t xml:space="preserve"> газа)</w:t>
      </w:r>
      <w:r w:rsidR="00785EE5" w:rsidRPr="00AA0FBE">
        <w:rPr>
          <w:sz w:val="26"/>
          <w:szCs w:val="26"/>
        </w:rPr>
        <w:t xml:space="preserve"> составляет 5</w:t>
      </w:r>
      <w:r w:rsidR="00921152" w:rsidRPr="00AA0FBE">
        <w:rPr>
          <w:sz w:val="26"/>
          <w:szCs w:val="26"/>
          <w:lang w:val="uz-Cyrl-UZ"/>
        </w:rPr>
        <w:t>3</w:t>
      </w:r>
      <w:r w:rsidR="00785EE5" w:rsidRPr="00AA0FBE">
        <w:rPr>
          <w:sz w:val="26"/>
          <w:szCs w:val="26"/>
        </w:rPr>
        <w:t xml:space="preserve">% </w:t>
      </w:r>
      <w:r w:rsidR="006B7214" w:rsidRPr="00AA0FBE">
        <w:rPr>
          <w:sz w:val="26"/>
          <w:szCs w:val="26"/>
        </w:rPr>
        <w:br/>
      </w:r>
      <w:r w:rsidR="00785EE5" w:rsidRPr="00AA0FBE">
        <w:rPr>
          <w:sz w:val="26"/>
          <w:szCs w:val="26"/>
        </w:rPr>
        <w:t>от совокупного объёма экспорта</w:t>
      </w:r>
      <w:r w:rsidR="00430ED9" w:rsidRPr="00AA0FBE">
        <w:rPr>
          <w:sz w:val="26"/>
          <w:szCs w:val="26"/>
        </w:rPr>
        <w:t>, из которых 3</w:t>
      </w:r>
      <w:r w:rsidR="00921152" w:rsidRPr="00AA0FBE">
        <w:rPr>
          <w:sz w:val="26"/>
          <w:szCs w:val="26"/>
        </w:rPr>
        <w:t>6</w:t>
      </w:r>
      <w:r w:rsidR="00430ED9" w:rsidRPr="00AA0FBE">
        <w:rPr>
          <w:sz w:val="26"/>
          <w:szCs w:val="26"/>
        </w:rPr>
        <w:t xml:space="preserve">% приходится на золото и </w:t>
      </w:r>
      <w:r w:rsidR="00921152" w:rsidRPr="00AA0FBE">
        <w:rPr>
          <w:sz w:val="26"/>
          <w:szCs w:val="26"/>
        </w:rPr>
        <w:t>17</w:t>
      </w:r>
      <w:r w:rsidR="00430ED9" w:rsidRPr="00AA0FBE">
        <w:rPr>
          <w:sz w:val="26"/>
          <w:szCs w:val="26"/>
        </w:rPr>
        <w:t xml:space="preserve">% на </w:t>
      </w:r>
      <w:r w:rsidR="00214C2B" w:rsidRPr="00AA0FBE">
        <w:rPr>
          <w:sz w:val="26"/>
          <w:szCs w:val="26"/>
        </w:rPr>
        <w:t>природный</w:t>
      </w:r>
      <w:r w:rsidR="00430ED9" w:rsidRPr="00AA0FBE">
        <w:rPr>
          <w:sz w:val="26"/>
          <w:szCs w:val="26"/>
        </w:rPr>
        <w:t xml:space="preserve"> газ</w:t>
      </w:r>
      <w:r w:rsidR="00785EE5" w:rsidRPr="00AA0FBE">
        <w:rPr>
          <w:sz w:val="26"/>
          <w:szCs w:val="26"/>
        </w:rPr>
        <w:t>.</w:t>
      </w:r>
      <w:r w:rsidR="00785EE5" w:rsidRPr="00785EE5">
        <w:rPr>
          <w:sz w:val="26"/>
          <w:szCs w:val="26"/>
        </w:rPr>
        <w:t xml:space="preserve"> </w:t>
      </w:r>
      <w:r w:rsidR="00785EE5" w:rsidRPr="00AA0FBE">
        <w:rPr>
          <w:sz w:val="26"/>
          <w:szCs w:val="26"/>
        </w:rPr>
        <w:t xml:space="preserve">При этом, </w:t>
      </w:r>
      <w:r w:rsidR="00430ED9" w:rsidRPr="00AA0FBE">
        <w:rPr>
          <w:sz w:val="26"/>
          <w:szCs w:val="26"/>
        </w:rPr>
        <w:t xml:space="preserve">из совокупного объёма </w:t>
      </w:r>
      <w:r w:rsidR="00785EE5" w:rsidRPr="00AA0FBE">
        <w:rPr>
          <w:sz w:val="26"/>
          <w:szCs w:val="26"/>
        </w:rPr>
        <w:t xml:space="preserve">экспорта природного газа </w:t>
      </w:r>
      <w:r w:rsidR="007A097D" w:rsidRPr="00AA0FBE">
        <w:rPr>
          <w:sz w:val="26"/>
          <w:szCs w:val="26"/>
        </w:rPr>
        <w:br/>
      </w:r>
      <w:r w:rsidR="00C23E73">
        <w:rPr>
          <w:sz w:val="26"/>
          <w:szCs w:val="26"/>
          <w:lang w:val="uz-Cyrl-UZ"/>
        </w:rPr>
        <w:t>40</w:t>
      </w:r>
      <w:r w:rsidR="007A097D" w:rsidRPr="00AA0FBE">
        <w:rPr>
          <w:sz w:val="26"/>
          <w:szCs w:val="26"/>
          <w:lang w:val="uz-Cyrl-UZ"/>
        </w:rPr>
        <w:t xml:space="preserve">% </w:t>
      </w:r>
      <w:r w:rsidR="00785EE5" w:rsidRPr="00AA0FBE">
        <w:rPr>
          <w:sz w:val="26"/>
          <w:szCs w:val="26"/>
        </w:rPr>
        <w:t>приходится</w:t>
      </w:r>
      <w:r w:rsidR="000860D7" w:rsidRPr="00AA0FBE">
        <w:rPr>
          <w:sz w:val="26"/>
          <w:szCs w:val="26"/>
        </w:rPr>
        <w:t xml:space="preserve"> на Китай, </w:t>
      </w:r>
      <w:r w:rsidR="00AA0FBE">
        <w:rPr>
          <w:sz w:val="26"/>
          <w:szCs w:val="26"/>
          <w:lang w:val="uz-Cyrl-UZ"/>
        </w:rPr>
        <w:t>39</w:t>
      </w:r>
      <w:r w:rsidR="00246D82" w:rsidRPr="00AA0FBE">
        <w:rPr>
          <w:sz w:val="26"/>
          <w:szCs w:val="26"/>
          <w:lang w:val="uz-Cyrl-UZ"/>
        </w:rPr>
        <w:t>%</w:t>
      </w:r>
      <w:r w:rsidR="007A097D" w:rsidRPr="00AA0FBE">
        <w:rPr>
          <w:sz w:val="26"/>
          <w:szCs w:val="26"/>
          <w:lang w:val="uz-Cyrl-UZ"/>
        </w:rPr>
        <w:t xml:space="preserve"> – </w:t>
      </w:r>
      <w:r w:rsidR="00246D82" w:rsidRPr="00AA0FBE">
        <w:rPr>
          <w:sz w:val="26"/>
          <w:szCs w:val="26"/>
          <w:lang w:val="uz-Cyrl-UZ"/>
        </w:rPr>
        <w:t xml:space="preserve">на </w:t>
      </w:r>
      <w:r w:rsidR="000860D7" w:rsidRPr="00AA0FBE">
        <w:rPr>
          <w:sz w:val="26"/>
          <w:szCs w:val="26"/>
        </w:rPr>
        <w:t>Россию</w:t>
      </w:r>
      <w:r w:rsidR="000053FA" w:rsidRPr="00AA0FBE">
        <w:rPr>
          <w:sz w:val="26"/>
          <w:szCs w:val="26"/>
          <w:lang w:val="uz-Cyrl-UZ"/>
        </w:rPr>
        <w:t xml:space="preserve"> </w:t>
      </w:r>
      <w:r w:rsidR="000860D7" w:rsidRPr="00AA0FBE">
        <w:rPr>
          <w:sz w:val="26"/>
          <w:szCs w:val="26"/>
        </w:rPr>
        <w:t xml:space="preserve">и </w:t>
      </w:r>
      <w:r w:rsidR="00AA0FBE">
        <w:rPr>
          <w:sz w:val="26"/>
          <w:szCs w:val="26"/>
          <w:lang w:val="uz-Cyrl-UZ"/>
        </w:rPr>
        <w:t>19</w:t>
      </w:r>
      <w:r w:rsidR="00246D82" w:rsidRPr="00AA0FBE">
        <w:rPr>
          <w:sz w:val="26"/>
          <w:szCs w:val="26"/>
          <w:lang w:val="uz-Cyrl-UZ"/>
        </w:rPr>
        <w:t xml:space="preserve">% </w:t>
      </w:r>
      <w:r w:rsidR="007A097D" w:rsidRPr="00AA0FBE">
        <w:rPr>
          <w:sz w:val="26"/>
          <w:szCs w:val="26"/>
          <w:lang w:val="uz-Cyrl-UZ"/>
        </w:rPr>
        <w:t xml:space="preserve">– </w:t>
      </w:r>
      <w:r w:rsidR="00246D82" w:rsidRPr="00AA0FBE">
        <w:rPr>
          <w:sz w:val="26"/>
          <w:szCs w:val="26"/>
          <w:lang w:val="uz-Cyrl-UZ"/>
        </w:rPr>
        <w:t xml:space="preserve">на </w:t>
      </w:r>
      <w:r w:rsidR="000860D7" w:rsidRPr="00AA0FBE">
        <w:rPr>
          <w:sz w:val="26"/>
          <w:szCs w:val="26"/>
        </w:rPr>
        <w:t>Казахстан</w:t>
      </w:r>
      <w:r w:rsidR="00246D82" w:rsidRPr="00AA0FBE">
        <w:rPr>
          <w:sz w:val="26"/>
          <w:szCs w:val="26"/>
          <w:lang w:val="uz-Cyrl-UZ"/>
        </w:rPr>
        <w:t>.</w:t>
      </w:r>
    </w:p>
    <w:p w:rsidR="00925495" w:rsidRDefault="00785EE5" w:rsidP="00A33EC2">
      <w:pPr>
        <w:spacing w:before="100" w:line="288" w:lineRule="auto"/>
        <w:ind w:firstLine="709"/>
        <w:jc w:val="both"/>
        <w:rPr>
          <w:sz w:val="26"/>
          <w:szCs w:val="26"/>
        </w:rPr>
      </w:pPr>
      <w:r w:rsidRPr="00AA0FBE">
        <w:rPr>
          <w:sz w:val="26"/>
          <w:szCs w:val="26"/>
        </w:rPr>
        <w:t xml:space="preserve">Вместе с тем, в </w:t>
      </w:r>
      <w:r w:rsidR="00FD332F">
        <w:rPr>
          <w:sz w:val="26"/>
          <w:szCs w:val="26"/>
        </w:rPr>
        <w:t xml:space="preserve">структуре </w:t>
      </w:r>
      <w:r w:rsidRPr="00AA0FBE">
        <w:rPr>
          <w:sz w:val="26"/>
          <w:szCs w:val="26"/>
        </w:rPr>
        <w:t>импорт</w:t>
      </w:r>
      <w:r w:rsidR="00FD332F">
        <w:rPr>
          <w:sz w:val="26"/>
          <w:szCs w:val="26"/>
        </w:rPr>
        <w:t>а</w:t>
      </w:r>
      <w:r w:rsidRPr="00AA0FBE">
        <w:rPr>
          <w:sz w:val="26"/>
          <w:szCs w:val="26"/>
        </w:rPr>
        <w:t xml:space="preserve"> товаров значительную долю </w:t>
      </w:r>
      <w:r w:rsidR="00FD332F">
        <w:rPr>
          <w:sz w:val="26"/>
          <w:szCs w:val="26"/>
        </w:rPr>
        <w:t>занимает</w:t>
      </w:r>
      <w:r w:rsidRPr="00AA0FBE">
        <w:rPr>
          <w:sz w:val="26"/>
          <w:szCs w:val="26"/>
        </w:rPr>
        <w:t xml:space="preserve"> групп</w:t>
      </w:r>
      <w:r w:rsidR="00FD332F">
        <w:rPr>
          <w:sz w:val="26"/>
          <w:szCs w:val="26"/>
        </w:rPr>
        <w:t>а</w:t>
      </w:r>
      <w:r w:rsidRPr="00AA0FBE">
        <w:rPr>
          <w:sz w:val="26"/>
          <w:szCs w:val="26"/>
        </w:rPr>
        <w:t xml:space="preserve"> товаров «машины, оборудование, механизмы» – </w:t>
      </w:r>
      <w:r w:rsidR="00A80A49" w:rsidRPr="00AA0FBE">
        <w:rPr>
          <w:sz w:val="26"/>
          <w:szCs w:val="26"/>
        </w:rPr>
        <w:t>7</w:t>
      </w:r>
      <w:r w:rsidRPr="00AA0FBE">
        <w:rPr>
          <w:sz w:val="26"/>
          <w:szCs w:val="26"/>
        </w:rPr>
        <w:t>,</w:t>
      </w:r>
      <w:r w:rsidR="00A80A49" w:rsidRPr="00AA0FBE">
        <w:rPr>
          <w:sz w:val="26"/>
          <w:szCs w:val="26"/>
        </w:rPr>
        <w:t>1</w:t>
      </w:r>
      <w:r w:rsidRPr="00AA0FBE">
        <w:rPr>
          <w:sz w:val="26"/>
          <w:szCs w:val="26"/>
        </w:rPr>
        <w:t xml:space="preserve"> млрд. долл. </w:t>
      </w:r>
      <w:r w:rsidRPr="00AA0FBE">
        <w:rPr>
          <w:i/>
          <w:sz w:val="26"/>
          <w:szCs w:val="26"/>
        </w:rPr>
        <w:t>(</w:t>
      </w:r>
      <w:r w:rsidR="00A80A49" w:rsidRPr="00AA0FBE">
        <w:rPr>
          <w:i/>
          <w:sz w:val="26"/>
          <w:szCs w:val="26"/>
        </w:rPr>
        <w:t>6</w:t>
      </w:r>
      <w:r w:rsidRPr="00AA0FBE">
        <w:rPr>
          <w:i/>
          <w:sz w:val="26"/>
          <w:szCs w:val="26"/>
        </w:rPr>
        <w:t>,</w:t>
      </w:r>
      <w:r w:rsidR="00A80A49" w:rsidRPr="00AA0FBE">
        <w:rPr>
          <w:i/>
          <w:sz w:val="26"/>
          <w:szCs w:val="26"/>
        </w:rPr>
        <w:t>2</w:t>
      </w:r>
      <w:r w:rsidRPr="00AA0FBE">
        <w:rPr>
          <w:i/>
          <w:sz w:val="26"/>
          <w:szCs w:val="26"/>
        </w:rPr>
        <w:t xml:space="preserve"> млрд. долл. за 2018 год)</w:t>
      </w:r>
      <w:r w:rsidRPr="00AA0FBE">
        <w:rPr>
          <w:sz w:val="26"/>
          <w:szCs w:val="26"/>
        </w:rPr>
        <w:t>, «недрагоценные металлы и изделия из них» – 2,</w:t>
      </w:r>
      <w:r w:rsidR="00A80A49" w:rsidRPr="00AA0FBE">
        <w:rPr>
          <w:sz w:val="26"/>
          <w:szCs w:val="26"/>
        </w:rPr>
        <w:t>9</w:t>
      </w:r>
      <w:r w:rsidRPr="00AA0FBE">
        <w:rPr>
          <w:sz w:val="26"/>
          <w:szCs w:val="26"/>
        </w:rPr>
        <w:t xml:space="preserve"> млрд. долл. </w:t>
      </w:r>
      <w:r w:rsidRPr="00AA0FBE">
        <w:rPr>
          <w:i/>
          <w:sz w:val="26"/>
          <w:szCs w:val="26"/>
        </w:rPr>
        <w:t>(</w:t>
      </w:r>
      <w:r w:rsidR="00A80A49" w:rsidRPr="00AA0FBE">
        <w:rPr>
          <w:i/>
          <w:sz w:val="26"/>
          <w:szCs w:val="26"/>
        </w:rPr>
        <w:t>2</w:t>
      </w:r>
      <w:r w:rsidRPr="00AA0FBE">
        <w:rPr>
          <w:i/>
          <w:sz w:val="26"/>
          <w:szCs w:val="26"/>
        </w:rPr>
        <w:t>,</w:t>
      </w:r>
      <w:r w:rsidR="00A80A49" w:rsidRPr="00AA0FBE">
        <w:rPr>
          <w:i/>
          <w:sz w:val="26"/>
          <w:szCs w:val="26"/>
        </w:rPr>
        <w:t>4</w:t>
      </w:r>
      <w:r w:rsidRPr="00AA0FBE">
        <w:rPr>
          <w:i/>
          <w:sz w:val="26"/>
          <w:szCs w:val="26"/>
        </w:rPr>
        <w:t xml:space="preserve"> млрд. долл. </w:t>
      </w:r>
      <w:r w:rsidR="004B49B3">
        <w:rPr>
          <w:i/>
          <w:sz w:val="26"/>
          <w:szCs w:val="26"/>
        </w:rPr>
        <w:br/>
      </w:r>
      <w:r w:rsidRPr="00AA0FBE">
        <w:rPr>
          <w:i/>
          <w:sz w:val="26"/>
          <w:szCs w:val="26"/>
        </w:rPr>
        <w:t>за 2018 год)</w:t>
      </w:r>
      <w:r w:rsidRPr="00AA0FBE">
        <w:rPr>
          <w:sz w:val="26"/>
          <w:szCs w:val="26"/>
        </w:rPr>
        <w:t>, «средства наземного, водного и воздушного транспорта» – 2,</w:t>
      </w:r>
      <w:r w:rsidR="00A80A49" w:rsidRPr="00AA0FBE">
        <w:rPr>
          <w:sz w:val="26"/>
          <w:szCs w:val="26"/>
        </w:rPr>
        <w:t>8</w:t>
      </w:r>
      <w:r w:rsidRPr="00AA0FBE">
        <w:rPr>
          <w:sz w:val="26"/>
          <w:szCs w:val="26"/>
        </w:rPr>
        <w:t xml:space="preserve"> млрд. долл. </w:t>
      </w:r>
      <w:r w:rsidR="00AA0FBE">
        <w:rPr>
          <w:sz w:val="26"/>
          <w:szCs w:val="26"/>
        </w:rPr>
        <w:br/>
      </w:r>
      <w:r w:rsidRPr="00AA0FBE">
        <w:rPr>
          <w:i/>
          <w:sz w:val="26"/>
          <w:szCs w:val="26"/>
        </w:rPr>
        <w:t>(</w:t>
      </w:r>
      <w:r w:rsidR="00A80A49" w:rsidRPr="00AA0FBE">
        <w:rPr>
          <w:i/>
          <w:sz w:val="26"/>
          <w:szCs w:val="26"/>
        </w:rPr>
        <w:t>2</w:t>
      </w:r>
      <w:r w:rsidRPr="00AA0FBE">
        <w:rPr>
          <w:i/>
          <w:sz w:val="26"/>
          <w:szCs w:val="26"/>
        </w:rPr>
        <w:t>,</w:t>
      </w:r>
      <w:r w:rsidR="00A80A49" w:rsidRPr="00AA0FBE">
        <w:rPr>
          <w:i/>
          <w:sz w:val="26"/>
          <w:szCs w:val="26"/>
        </w:rPr>
        <w:t>6</w:t>
      </w:r>
      <w:r w:rsidRPr="00AA0FBE">
        <w:rPr>
          <w:i/>
          <w:sz w:val="26"/>
          <w:szCs w:val="26"/>
        </w:rPr>
        <w:t xml:space="preserve"> млрд. долл. за 2018 год)</w:t>
      </w:r>
      <w:r w:rsidRPr="00AA0FBE">
        <w:rPr>
          <w:sz w:val="26"/>
          <w:szCs w:val="26"/>
        </w:rPr>
        <w:t xml:space="preserve">, и все эти группы товаров составили 57% от совокупного объёма импорта товаров </w:t>
      </w:r>
      <w:r w:rsidRPr="00AA0FBE">
        <w:rPr>
          <w:i/>
          <w:sz w:val="26"/>
          <w:szCs w:val="26"/>
        </w:rPr>
        <w:t>(</w:t>
      </w:r>
      <w:r w:rsidR="00A80A49" w:rsidRPr="00AA0FBE">
        <w:rPr>
          <w:i/>
          <w:sz w:val="26"/>
          <w:szCs w:val="26"/>
        </w:rPr>
        <w:t>60</w:t>
      </w:r>
      <w:r w:rsidRPr="00AA0FBE">
        <w:rPr>
          <w:i/>
          <w:sz w:val="26"/>
          <w:szCs w:val="26"/>
        </w:rPr>
        <w:t>% за 2018 года</w:t>
      </w:r>
      <w:r w:rsidRPr="00BB3DF7">
        <w:rPr>
          <w:i/>
          <w:sz w:val="26"/>
          <w:szCs w:val="26"/>
        </w:rPr>
        <w:t>)</w:t>
      </w:r>
      <w:r w:rsidRPr="00785EE5">
        <w:rPr>
          <w:sz w:val="26"/>
          <w:szCs w:val="26"/>
        </w:rPr>
        <w:t xml:space="preserve"> </w:t>
      </w:r>
      <w:r w:rsidR="00925495" w:rsidRPr="009E6965">
        <w:rPr>
          <w:color w:val="2E74B5"/>
          <w:sz w:val="26"/>
          <w:szCs w:val="26"/>
        </w:rPr>
        <w:t xml:space="preserve">(Диаграмма </w:t>
      </w:r>
      <w:r w:rsidR="00007D35">
        <w:rPr>
          <w:color w:val="2E74B5"/>
          <w:sz w:val="26"/>
          <w:szCs w:val="26"/>
        </w:rPr>
        <w:t>6</w:t>
      </w:r>
      <w:r w:rsidR="00925495" w:rsidRPr="009E6965">
        <w:rPr>
          <w:color w:val="2E74B5"/>
          <w:sz w:val="26"/>
          <w:szCs w:val="26"/>
        </w:rPr>
        <w:t>)</w:t>
      </w:r>
      <w:r w:rsidR="00925495" w:rsidRPr="009E6965">
        <w:rPr>
          <w:sz w:val="26"/>
          <w:szCs w:val="26"/>
        </w:rPr>
        <w:t>.</w:t>
      </w:r>
    </w:p>
    <w:p w:rsidR="00AA0FBE" w:rsidRPr="00AA0FBE" w:rsidRDefault="00AA0FBE" w:rsidP="00AA0FBE">
      <w:pPr>
        <w:suppressAutoHyphens/>
        <w:spacing w:line="288" w:lineRule="auto"/>
        <w:ind w:firstLine="709"/>
        <w:jc w:val="right"/>
        <w:rPr>
          <w:noProof/>
          <w:sz w:val="10"/>
          <w:szCs w:val="10"/>
        </w:rPr>
      </w:pPr>
    </w:p>
    <w:p w:rsidR="00925495" w:rsidRPr="00AA0FBE" w:rsidRDefault="00925495" w:rsidP="00AA0FBE">
      <w:pPr>
        <w:suppressAutoHyphens/>
        <w:spacing w:line="288" w:lineRule="auto"/>
        <w:ind w:firstLine="709"/>
        <w:jc w:val="right"/>
        <w:rPr>
          <w:noProof/>
        </w:rPr>
      </w:pPr>
      <w:r w:rsidRPr="00AA0FBE">
        <w:rPr>
          <w:noProof/>
        </w:rPr>
        <w:t xml:space="preserve">Диаграмма </w:t>
      </w:r>
      <w:r w:rsidR="00007D35">
        <w:rPr>
          <w:noProof/>
        </w:rPr>
        <w:t>5</w:t>
      </w:r>
    </w:p>
    <w:p w:rsidR="00925495" w:rsidRPr="00AA0FBE" w:rsidRDefault="00925495" w:rsidP="00925495">
      <w:pPr>
        <w:suppressAutoHyphens/>
        <w:spacing w:before="120" w:line="288" w:lineRule="auto"/>
        <w:ind w:firstLine="709"/>
        <w:jc w:val="center"/>
        <w:rPr>
          <w:b/>
          <w:noProof/>
          <w:sz w:val="28"/>
          <w:szCs w:val="28"/>
        </w:rPr>
      </w:pPr>
      <w:r w:rsidRPr="00AA0FBE">
        <w:rPr>
          <w:b/>
          <w:noProof/>
          <w:sz w:val="28"/>
          <w:szCs w:val="28"/>
        </w:rPr>
        <w:t>ОСНОВНЫЕ СТРАНЫ ЭКСПОРТА ТОВАРОВ</w:t>
      </w:r>
    </w:p>
    <w:p w:rsidR="00925495" w:rsidRPr="009E6965" w:rsidRDefault="00925495" w:rsidP="00012954">
      <w:pPr>
        <w:suppressAutoHyphens/>
        <w:spacing w:after="60" w:line="168" w:lineRule="auto"/>
        <w:ind w:firstLine="709"/>
        <w:jc w:val="right"/>
        <w:rPr>
          <w:rFonts w:cs="Calibri"/>
          <w:i/>
          <w:lang w:val="uz-Cyrl-UZ"/>
        </w:rPr>
      </w:pPr>
      <w:r w:rsidRPr="00AA0FBE">
        <w:rPr>
          <w:rFonts w:cs="Calibri"/>
          <w:i/>
          <w:lang w:val="uz-Cyrl-UZ"/>
        </w:rPr>
        <w:t>(млн. долл.)</w:t>
      </w:r>
    </w:p>
    <w:p w:rsidR="00925495" w:rsidRPr="009E6965" w:rsidRDefault="00921152" w:rsidP="004D7609">
      <w:pPr>
        <w:spacing w:line="168" w:lineRule="auto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299835" cy="3675380"/>
            <wp:effectExtent l="0" t="0" r="5715" b="127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25495" w:rsidRPr="00AA0FBE" w:rsidRDefault="00925495" w:rsidP="00AA0FBE">
      <w:pPr>
        <w:suppressAutoHyphens/>
        <w:spacing w:before="240" w:line="288" w:lineRule="auto"/>
        <w:ind w:firstLine="709"/>
        <w:jc w:val="right"/>
        <w:rPr>
          <w:noProof/>
        </w:rPr>
      </w:pPr>
      <w:r w:rsidRPr="00AA0FBE">
        <w:rPr>
          <w:noProof/>
        </w:rPr>
        <w:t xml:space="preserve">Диаграмма </w:t>
      </w:r>
      <w:r w:rsidR="00007D35">
        <w:rPr>
          <w:noProof/>
        </w:rPr>
        <w:t>6</w:t>
      </w:r>
    </w:p>
    <w:p w:rsidR="00925495" w:rsidRPr="00AA0FBE" w:rsidRDefault="00925495" w:rsidP="00B90CBF">
      <w:pPr>
        <w:suppressAutoHyphens/>
        <w:spacing w:line="288" w:lineRule="auto"/>
        <w:ind w:firstLine="709"/>
        <w:jc w:val="center"/>
        <w:rPr>
          <w:b/>
          <w:noProof/>
          <w:sz w:val="28"/>
          <w:szCs w:val="28"/>
        </w:rPr>
      </w:pPr>
      <w:r w:rsidRPr="00AA0FBE">
        <w:rPr>
          <w:b/>
          <w:noProof/>
          <w:sz w:val="28"/>
          <w:szCs w:val="28"/>
        </w:rPr>
        <w:t>ОСНОВНЫЕ ГРУППЫ ИМПОРТИРУЕМЫХ ТОВАРОВ</w:t>
      </w:r>
    </w:p>
    <w:p w:rsidR="00925495" w:rsidRPr="00AA0FBE" w:rsidRDefault="00925495" w:rsidP="00B90CBF">
      <w:pPr>
        <w:suppressAutoHyphens/>
        <w:spacing w:line="288" w:lineRule="auto"/>
        <w:ind w:firstLine="709"/>
        <w:jc w:val="center"/>
        <w:rPr>
          <w:i/>
          <w:noProof/>
          <w:sz w:val="28"/>
          <w:szCs w:val="28"/>
        </w:rPr>
      </w:pPr>
      <w:r w:rsidRPr="00AA0FBE">
        <w:rPr>
          <w:i/>
          <w:noProof/>
          <w:sz w:val="28"/>
          <w:szCs w:val="28"/>
        </w:rPr>
        <w:t>(</w:t>
      </w:r>
      <w:r w:rsidR="00CA2237" w:rsidRPr="00AA0FBE">
        <w:rPr>
          <w:i/>
          <w:noProof/>
          <w:sz w:val="28"/>
          <w:szCs w:val="28"/>
        </w:rPr>
        <w:t>нормировано к общему объёму импорта)</w:t>
      </w:r>
    </w:p>
    <w:p w:rsidR="00925495" w:rsidRPr="009E6965" w:rsidRDefault="00925495" w:rsidP="00925495">
      <w:pPr>
        <w:suppressAutoHyphens/>
        <w:spacing w:before="120" w:line="288" w:lineRule="auto"/>
        <w:ind w:firstLine="708"/>
        <w:jc w:val="right"/>
        <w:rPr>
          <w:rFonts w:cs="Calibri"/>
          <w:i/>
          <w:lang w:val="uz-Cyrl-UZ"/>
        </w:rPr>
      </w:pPr>
      <w:r w:rsidRPr="00AA0FBE">
        <w:rPr>
          <w:rFonts w:cs="Calibri"/>
          <w:i/>
          <w:lang w:val="uz-Cyrl-UZ"/>
        </w:rPr>
        <w:t>(млн. долл.)</w:t>
      </w:r>
    </w:p>
    <w:p w:rsidR="00925495" w:rsidRPr="009E6965" w:rsidRDefault="007A635D" w:rsidP="00925495">
      <w:pPr>
        <w:spacing w:line="288" w:lineRule="auto"/>
        <w:jc w:val="right"/>
        <w:rPr>
          <w:color w:val="2E74B5"/>
          <w:sz w:val="26"/>
          <w:szCs w:val="26"/>
          <w:lang w:val="uz-Cyrl-UZ"/>
        </w:rPr>
      </w:pPr>
      <w:r>
        <w:rPr>
          <w:noProof/>
        </w:rPr>
        <w:drawing>
          <wp:inline distT="0" distB="0" distL="0" distR="0">
            <wp:extent cx="6353299" cy="3262630"/>
            <wp:effectExtent l="0" t="0" r="9525" b="1397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860D7" w:rsidRPr="00AE2CF3" w:rsidRDefault="008F5EE2" w:rsidP="00AE2CF3">
      <w:pPr>
        <w:spacing w:before="120" w:line="288" w:lineRule="auto"/>
        <w:ind w:firstLine="709"/>
        <w:jc w:val="both"/>
        <w:rPr>
          <w:sz w:val="26"/>
          <w:szCs w:val="26"/>
          <w:lang w:val="uz-Cyrl-UZ"/>
        </w:rPr>
      </w:pPr>
      <w:r w:rsidRPr="00AA0FBE">
        <w:rPr>
          <w:sz w:val="26"/>
          <w:szCs w:val="26"/>
        </w:rPr>
        <w:t xml:space="preserve">При этом, </w:t>
      </w:r>
      <w:r w:rsidR="002B66A3">
        <w:rPr>
          <w:sz w:val="26"/>
          <w:szCs w:val="26"/>
        </w:rPr>
        <w:t>по</w:t>
      </w:r>
      <w:r w:rsidRPr="00AA0FBE">
        <w:rPr>
          <w:sz w:val="26"/>
          <w:szCs w:val="26"/>
        </w:rPr>
        <w:t xml:space="preserve"> сравнени</w:t>
      </w:r>
      <w:r w:rsidR="002B66A3">
        <w:rPr>
          <w:sz w:val="26"/>
          <w:szCs w:val="26"/>
        </w:rPr>
        <w:t>ю</w:t>
      </w:r>
      <w:r w:rsidRPr="00AA0FBE">
        <w:rPr>
          <w:sz w:val="26"/>
          <w:szCs w:val="26"/>
        </w:rPr>
        <w:t xml:space="preserve"> с 2018 год</w:t>
      </w:r>
      <w:r w:rsidR="006B7214" w:rsidRPr="00AA0FBE">
        <w:rPr>
          <w:sz w:val="26"/>
          <w:szCs w:val="26"/>
        </w:rPr>
        <w:t>ом</w:t>
      </w:r>
      <w:r w:rsidRPr="00AA0FBE">
        <w:rPr>
          <w:sz w:val="26"/>
          <w:szCs w:val="26"/>
        </w:rPr>
        <w:t xml:space="preserve"> </w:t>
      </w:r>
      <w:r w:rsidR="002B66A3">
        <w:rPr>
          <w:sz w:val="26"/>
          <w:szCs w:val="26"/>
        </w:rPr>
        <w:t xml:space="preserve">в отчётном году </w:t>
      </w:r>
      <w:r w:rsidRPr="00AA0FBE">
        <w:rPr>
          <w:sz w:val="26"/>
          <w:szCs w:val="26"/>
        </w:rPr>
        <w:t xml:space="preserve">объём импорта </w:t>
      </w:r>
      <w:r w:rsidR="00246D82" w:rsidRPr="00AA0FBE">
        <w:rPr>
          <w:sz w:val="26"/>
          <w:szCs w:val="26"/>
        </w:rPr>
        <w:t xml:space="preserve">товаров </w:t>
      </w:r>
      <w:r w:rsidR="002B66A3">
        <w:rPr>
          <w:sz w:val="26"/>
          <w:szCs w:val="26"/>
        </w:rPr>
        <w:br/>
      </w:r>
      <w:r w:rsidR="00246D82" w:rsidRPr="00AA0FBE">
        <w:rPr>
          <w:sz w:val="26"/>
          <w:szCs w:val="26"/>
        </w:rPr>
        <w:t>из Китая</w:t>
      </w:r>
      <w:r w:rsidR="0059277D" w:rsidRPr="00AA0FBE">
        <w:rPr>
          <w:sz w:val="26"/>
          <w:szCs w:val="26"/>
        </w:rPr>
        <w:t xml:space="preserve"> вырос на</w:t>
      </w:r>
      <w:r w:rsidR="00246D82" w:rsidRPr="00AA0FBE">
        <w:rPr>
          <w:sz w:val="26"/>
          <w:szCs w:val="26"/>
          <w:lang w:val="uz-Cyrl-UZ"/>
        </w:rPr>
        <w:t xml:space="preserve"> 3</w:t>
      </w:r>
      <w:r w:rsidR="001277D4" w:rsidRPr="00AA0FBE">
        <w:rPr>
          <w:sz w:val="26"/>
          <w:szCs w:val="26"/>
          <w:lang w:val="uz-Cyrl-UZ"/>
        </w:rPr>
        <w:t>3</w:t>
      </w:r>
      <w:r w:rsidR="00246D82" w:rsidRPr="00AA0FBE">
        <w:rPr>
          <w:sz w:val="26"/>
          <w:szCs w:val="26"/>
          <w:lang w:val="uz-Cyrl-UZ"/>
        </w:rPr>
        <w:t xml:space="preserve">%, из России </w:t>
      </w:r>
      <w:r w:rsidR="0059277D" w:rsidRPr="00AA0FBE">
        <w:rPr>
          <w:sz w:val="26"/>
          <w:szCs w:val="26"/>
          <w:lang w:val="uz-Cyrl-UZ"/>
        </w:rPr>
        <w:t xml:space="preserve">– на </w:t>
      </w:r>
      <w:r w:rsidR="001277D4" w:rsidRPr="00AA0FBE">
        <w:rPr>
          <w:sz w:val="26"/>
          <w:szCs w:val="26"/>
          <w:lang w:val="uz-Cyrl-UZ"/>
        </w:rPr>
        <w:t>22</w:t>
      </w:r>
      <w:r w:rsidR="00246D82" w:rsidRPr="00AA0FBE">
        <w:rPr>
          <w:sz w:val="26"/>
          <w:szCs w:val="26"/>
          <w:lang w:val="uz-Cyrl-UZ"/>
        </w:rPr>
        <w:t xml:space="preserve">%, из Республики Корея </w:t>
      </w:r>
      <w:r w:rsidR="0059277D" w:rsidRPr="00AA0FBE">
        <w:rPr>
          <w:sz w:val="26"/>
          <w:szCs w:val="26"/>
          <w:lang w:val="uz-Cyrl-UZ"/>
        </w:rPr>
        <w:t xml:space="preserve">– на </w:t>
      </w:r>
      <w:r w:rsidR="001277D4" w:rsidRPr="00AA0FBE">
        <w:rPr>
          <w:sz w:val="26"/>
          <w:szCs w:val="26"/>
          <w:lang w:val="uz-Cyrl-UZ"/>
        </w:rPr>
        <w:t>29</w:t>
      </w:r>
      <w:r w:rsidR="00246D82" w:rsidRPr="00AA0FBE">
        <w:rPr>
          <w:sz w:val="26"/>
          <w:szCs w:val="26"/>
          <w:lang w:val="uz-Cyrl-UZ"/>
        </w:rPr>
        <w:t>% и</w:t>
      </w:r>
      <w:r w:rsidRPr="00AA0FBE">
        <w:rPr>
          <w:sz w:val="26"/>
          <w:szCs w:val="26"/>
        </w:rPr>
        <w:t xml:space="preserve"> </w:t>
      </w:r>
      <w:r w:rsidR="00246D82" w:rsidRPr="00AA0FBE">
        <w:rPr>
          <w:sz w:val="26"/>
          <w:szCs w:val="26"/>
          <w:lang w:val="uz-Cyrl-UZ"/>
        </w:rPr>
        <w:t>из Казахстана</w:t>
      </w:r>
      <w:r w:rsidRPr="00AA0FBE">
        <w:rPr>
          <w:sz w:val="26"/>
          <w:szCs w:val="26"/>
        </w:rPr>
        <w:t xml:space="preserve"> </w:t>
      </w:r>
      <w:r w:rsidR="0059277D" w:rsidRPr="00AA0FBE">
        <w:rPr>
          <w:sz w:val="26"/>
          <w:szCs w:val="26"/>
          <w:lang w:val="uz-Cyrl-UZ"/>
        </w:rPr>
        <w:t xml:space="preserve">– на </w:t>
      </w:r>
      <w:r w:rsidR="001277D4" w:rsidRPr="00AA0FBE">
        <w:rPr>
          <w:sz w:val="26"/>
          <w:szCs w:val="26"/>
          <w:lang w:val="uz-Cyrl-UZ"/>
        </w:rPr>
        <w:t>29</w:t>
      </w:r>
      <w:r w:rsidR="00AE2CF3" w:rsidRPr="00AA0FBE">
        <w:rPr>
          <w:sz w:val="26"/>
          <w:szCs w:val="26"/>
        </w:rPr>
        <w:t xml:space="preserve">%. </w:t>
      </w:r>
      <w:r w:rsidR="009F07F7" w:rsidRPr="00AA0FBE">
        <w:rPr>
          <w:sz w:val="26"/>
          <w:szCs w:val="26"/>
        </w:rPr>
        <w:t>С</w:t>
      </w:r>
      <w:r w:rsidR="00AE2CF3" w:rsidRPr="00AA0FBE">
        <w:rPr>
          <w:sz w:val="26"/>
          <w:szCs w:val="26"/>
        </w:rPr>
        <w:t xml:space="preserve">овокупная доля этих стран в объёме </w:t>
      </w:r>
      <w:r w:rsidR="001277D4" w:rsidRPr="00952B00">
        <w:rPr>
          <w:sz w:val="26"/>
          <w:szCs w:val="26"/>
        </w:rPr>
        <w:t>годового</w:t>
      </w:r>
      <w:r w:rsidR="009F07F7" w:rsidRPr="00952B00">
        <w:rPr>
          <w:sz w:val="26"/>
          <w:szCs w:val="26"/>
        </w:rPr>
        <w:t xml:space="preserve"> </w:t>
      </w:r>
      <w:r w:rsidR="00AE2CF3" w:rsidRPr="00AA0FBE">
        <w:rPr>
          <w:sz w:val="26"/>
          <w:szCs w:val="26"/>
        </w:rPr>
        <w:t xml:space="preserve">импорта </w:t>
      </w:r>
      <w:r w:rsidR="00575791" w:rsidRPr="00AA0FBE">
        <w:rPr>
          <w:sz w:val="26"/>
          <w:szCs w:val="26"/>
        </w:rPr>
        <w:t xml:space="preserve">за </w:t>
      </w:r>
      <w:r w:rsidR="004B49B3">
        <w:rPr>
          <w:sz w:val="26"/>
          <w:szCs w:val="26"/>
        </w:rPr>
        <w:t>2019</w:t>
      </w:r>
      <w:r w:rsidR="00575791" w:rsidRPr="00AA0FBE">
        <w:rPr>
          <w:sz w:val="26"/>
          <w:szCs w:val="26"/>
        </w:rPr>
        <w:t xml:space="preserve"> год </w:t>
      </w:r>
      <w:r w:rsidR="00AE2CF3" w:rsidRPr="00AA0FBE">
        <w:rPr>
          <w:sz w:val="26"/>
          <w:szCs w:val="26"/>
        </w:rPr>
        <w:t>составила 6</w:t>
      </w:r>
      <w:r w:rsidR="001277D4" w:rsidRPr="00AA0FBE">
        <w:rPr>
          <w:sz w:val="26"/>
          <w:szCs w:val="26"/>
        </w:rPr>
        <w:t>2</w:t>
      </w:r>
      <w:r w:rsidR="00AE2CF3" w:rsidRPr="00AA0FBE">
        <w:rPr>
          <w:sz w:val="26"/>
          <w:szCs w:val="26"/>
        </w:rPr>
        <w:t>%</w:t>
      </w:r>
      <w:r w:rsidR="00F055FB" w:rsidRPr="00AA0FBE">
        <w:rPr>
          <w:sz w:val="26"/>
          <w:szCs w:val="26"/>
        </w:rPr>
        <w:t>,</w:t>
      </w:r>
      <w:r w:rsidR="00AE2CF3" w:rsidRPr="00AA0FBE">
        <w:rPr>
          <w:sz w:val="26"/>
          <w:szCs w:val="26"/>
        </w:rPr>
        <w:t xml:space="preserve"> из которых 22% </w:t>
      </w:r>
      <w:r w:rsidR="00F055FB" w:rsidRPr="00AA0FBE">
        <w:rPr>
          <w:sz w:val="26"/>
          <w:szCs w:val="26"/>
        </w:rPr>
        <w:t xml:space="preserve">приходится </w:t>
      </w:r>
      <w:r w:rsidR="00AE2CF3" w:rsidRPr="00AA0FBE">
        <w:rPr>
          <w:sz w:val="26"/>
          <w:szCs w:val="26"/>
        </w:rPr>
        <w:t>на Китай, 1</w:t>
      </w:r>
      <w:r w:rsidR="001277D4" w:rsidRPr="00AA0FBE">
        <w:rPr>
          <w:sz w:val="26"/>
          <w:szCs w:val="26"/>
        </w:rPr>
        <w:t>9</w:t>
      </w:r>
      <w:r w:rsidR="00AE2CF3" w:rsidRPr="00AA0FBE">
        <w:rPr>
          <w:sz w:val="26"/>
          <w:szCs w:val="26"/>
        </w:rPr>
        <w:t xml:space="preserve">% </w:t>
      </w:r>
      <w:r w:rsidR="00F055FB" w:rsidRPr="00AA0FBE">
        <w:rPr>
          <w:sz w:val="26"/>
          <w:szCs w:val="26"/>
          <w:lang w:val="uz-Cyrl-UZ"/>
        </w:rPr>
        <w:t xml:space="preserve">– </w:t>
      </w:r>
      <w:r w:rsidR="00AE2CF3" w:rsidRPr="00AA0FBE">
        <w:rPr>
          <w:sz w:val="26"/>
          <w:szCs w:val="26"/>
        </w:rPr>
        <w:t xml:space="preserve">на Россию, </w:t>
      </w:r>
      <w:r w:rsidR="00AE2CF3" w:rsidRPr="00AA0FBE">
        <w:rPr>
          <w:sz w:val="26"/>
          <w:szCs w:val="26"/>
          <w:lang w:val="uz-Cyrl-UZ"/>
        </w:rPr>
        <w:t xml:space="preserve">12% </w:t>
      </w:r>
      <w:r w:rsidR="00F055FB" w:rsidRPr="00AA0FBE">
        <w:rPr>
          <w:sz w:val="26"/>
          <w:szCs w:val="26"/>
          <w:lang w:val="uz-Cyrl-UZ"/>
        </w:rPr>
        <w:t xml:space="preserve">– </w:t>
      </w:r>
      <w:r w:rsidR="00AE2CF3" w:rsidRPr="00AA0FBE">
        <w:rPr>
          <w:sz w:val="26"/>
          <w:szCs w:val="26"/>
          <w:lang w:val="uz-Cyrl-UZ"/>
        </w:rPr>
        <w:t xml:space="preserve">на </w:t>
      </w:r>
      <w:r w:rsidR="00AE2CF3" w:rsidRPr="00AA0FBE">
        <w:rPr>
          <w:sz w:val="26"/>
          <w:szCs w:val="26"/>
          <w:lang w:val="uz-Cyrl-UZ"/>
        </w:rPr>
        <w:lastRenderedPageBreak/>
        <w:t xml:space="preserve">Республику Корея </w:t>
      </w:r>
      <w:r w:rsidR="002B66A3">
        <w:rPr>
          <w:sz w:val="26"/>
          <w:szCs w:val="26"/>
          <w:lang w:val="uz-Cyrl-UZ"/>
        </w:rPr>
        <w:br/>
      </w:r>
      <w:r w:rsidR="00AE2CF3" w:rsidRPr="00AA0FBE">
        <w:rPr>
          <w:sz w:val="26"/>
          <w:szCs w:val="26"/>
          <w:lang w:val="uz-Cyrl-UZ"/>
        </w:rPr>
        <w:t xml:space="preserve">и </w:t>
      </w:r>
      <w:r w:rsidR="001277D4" w:rsidRPr="00AA0FBE">
        <w:rPr>
          <w:sz w:val="26"/>
          <w:szCs w:val="26"/>
          <w:lang w:val="uz-Cyrl-UZ"/>
        </w:rPr>
        <w:t>9</w:t>
      </w:r>
      <w:r w:rsidR="00AE2CF3" w:rsidRPr="00AA0FBE">
        <w:rPr>
          <w:sz w:val="26"/>
          <w:szCs w:val="26"/>
          <w:lang w:val="uz-Cyrl-UZ"/>
        </w:rPr>
        <w:t>%</w:t>
      </w:r>
      <w:r w:rsidR="004B49B3">
        <w:rPr>
          <w:sz w:val="26"/>
          <w:szCs w:val="26"/>
          <w:lang w:val="uz-Cyrl-UZ"/>
        </w:rPr>
        <w:t xml:space="preserve"> </w:t>
      </w:r>
      <w:r w:rsidR="00F055FB" w:rsidRPr="00AA0FBE">
        <w:rPr>
          <w:sz w:val="26"/>
          <w:szCs w:val="26"/>
          <w:lang w:val="uz-Cyrl-UZ"/>
        </w:rPr>
        <w:t xml:space="preserve">– </w:t>
      </w:r>
      <w:r w:rsidR="00AE2CF3" w:rsidRPr="00AA0FBE">
        <w:rPr>
          <w:sz w:val="26"/>
          <w:szCs w:val="26"/>
          <w:lang w:val="uz-Cyrl-UZ"/>
        </w:rPr>
        <w:t xml:space="preserve">на Казахстан. </w:t>
      </w:r>
      <w:r w:rsidR="00AE2CF3" w:rsidRPr="00AA0FBE">
        <w:rPr>
          <w:i/>
          <w:sz w:val="26"/>
          <w:szCs w:val="26"/>
          <w:lang w:val="uz-Cyrl-UZ"/>
        </w:rPr>
        <w:t>(</w:t>
      </w:r>
      <w:r w:rsidR="00AE2CF3" w:rsidRPr="00AA0FBE">
        <w:rPr>
          <w:i/>
          <w:sz w:val="26"/>
          <w:szCs w:val="26"/>
        </w:rPr>
        <w:t>В 2018 год</w:t>
      </w:r>
      <w:r w:rsidR="006B7214" w:rsidRPr="00AA0FBE">
        <w:rPr>
          <w:i/>
          <w:sz w:val="26"/>
          <w:szCs w:val="26"/>
        </w:rPr>
        <w:t>у</w:t>
      </w:r>
      <w:r w:rsidR="00AE2CF3" w:rsidRPr="00AA0FBE">
        <w:rPr>
          <w:i/>
          <w:sz w:val="26"/>
          <w:szCs w:val="26"/>
        </w:rPr>
        <w:t xml:space="preserve"> совокупная доля этих стран в объёме импорта составила 5</w:t>
      </w:r>
      <w:r w:rsidR="001277D4" w:rsidRPr="00AA0FBE">
        <w:rPr>
          <w:i/>
          <w:sz w:val="26"/>
          <w:szCs w:val="26"/>
          <w:lang w:val="uz-Cyrl-UZ"/>
        </w:rPr>
        <w:t>8</w:t>
      </w:r>
      <w:r w:rsidR="00AE2CF3" w:rsidRPr="00AA0FBE">
        <w:rPr>
          <w:i/>
          <w:sz w:val="26"/>
          <w:szCs w:val="26"/>
        </w:rPr>
        <w:t>%</w:t>
      </w:r>
      <w:r w:rsidR="00E03AD7" w:rsidRPr="00AA0FBE">
        <w:rPr>
          <w:i/>
          <w:sz w:val="26"/>
          <w:szCs w:val="26"/>
        </w:rPr>
        <w:t>,</w:t>
      </w:r>
      <w:r w:rsidR="00AE2CF3" w:rsidRPr="00AA0FBE">
        <w:rPr>
          <w:i/>
          <w:sz w:val="26"/>
          <w:szCs w:val="26"/>
        </w:rPr>
        <w:t xml:space="preserve"> из которых на каждую из них приходилось 20%, 1</w:t>
      </w:r>
      <w:r w:rsidR="001277D4" w:rsidRPr="00AA0FBE">
        <w:rPr>
          <w:i/>
          <w:sz w:val="26"/>
          <w:szCs w:val="26"/>
        </w:rPr>
        <w:t>8</w:t>
      </w:r>
      <w:r w:rsidR="00AE2CF3" w:rsidRPr="00AA0FBE">
        <w:rPr>
          <w:i/>
          <w:sz w:val="26"/>
          <w:szCs w:val="26"/>
        </w:rPr>
        <w:t xml:space="preserve">%, </w:t>
      </w:r>
      <w:r w:rsidR="00AE2CF3" w:rsidRPr="00AA0FBE">
        <w:rPr>
          <w:i/>
          <w:sz w:val="26"/>
          <w:szCs w:val="26"/>
          <w:lang w:val="uz-Cyrl-UZ"/>
        </w:rPr>
        <w:t>1</w:t>
      </w:r>
      <w:r w:rsidR="001277D4" w:rsidRPr="00AA0FBE">
        <w:rPr>
          <w:i/>
          <w:sz w:val="26"/>
          <w:szCs w:val="26"/>
          <w:lang w:val="uz-Cyrl-UZ"/>
        </w:rPr>
        <w:t>1</w:t>
      </w:r>
      <w:r w:rsidR="00AE2CF3" w:rsidRPr="00AA0FBE">
        <w:rPr>
          <w:i/>
          <w:sz w:val="26"/>
          <w:szCs w:val="26"/>
          <w:lang w:val="uz-Cyrl-UZ"/>
        </w:rPr>
        <w:t>% и 9% соответственно</w:t>
      </w:r>
      <w:r w:rsidR="00AE2CF3" w:rsidRPr="00BB3DF7">
        <w:rPr>
          <w:i/>
          <w:sz w:val="26"/>
          <w:szCs w:val="26"/>
          <w:lang w:val="uz-Cyrl-UZ"/>
        </w:rPr>
        <w:t>)</w:t>
      </w:r>
      <w:r w:rsidR="00AE2CF3">
        <w:rPr>
          <w:sz w:val="26"/>
          <w:szCs w:val="26"/>
          <w:lang w:val="uz-Cyrl-UZ"/>
        </w:rPr>
        <w:t xml:space="preserve">. </w:t>
      </w:r>
      <w:r w:rsidRPr="008F5EE2">
        <w:rPr>
          <w:sz w:val="26"/>
          <w:szCs w:val="26"/>
        </w:rPr>
        <w:t xml:space="preserve">Вместе с тем, доля Европейских стран </w:t>
      </w:r>
      <w:r w:rsidRPr="00AA0FBE">
        <w:rPr>
          <w:sz w:val="26"/>
          <w:szCs w:val="26"/>
        </w:rPr>
        <w:t>сократилась с 2</w:t>
      </w:r>
      <w:r w:rsidR="001277D4" w:rsidRPr="00AA0FBE">
        <w:rPr>
          <w:sz w:val="26"/>
          <w:szCs w:val="26"/>
        </w:rPr>
        <w:t>5</w:t>
      </w:r>
      <w:r w:rsidRPr="00AA0FBE">
        <w:rPr>
          <w:sz w:val="26"/>
          <w:szCs w:val="26"/>
        </w:rPr>
        <w:t>% до 23%</w:t>
      </w:r>
      <w:r w:rsidR="000860D7" w:rsidRPr="00AA0FBE">
        <w:rPr>
          <w:sz w:val="26"/>
          <w:szCs w:val="26"/>
        </w:rPr>
        <w:t>.</w:t>
      </w:r>
      <w:r w:rsidR="00AE2CF3" w:rsidRPr="00AA0FBE">
        <w:rPr>
          <w:sz w:val="26"/>
          <w:szCs w:val="26"/>
        </w:rPr>
        <w:t xml:space="preserve"> Данные изменения связаны с увеличением доли </w:t>
      </w:r>
      <w:r w:rsidR="00AA0FBE">
        <w:rPr>
          <w:sz w:val="26"/>
          <w:szCs w:val="26"/>
        </w:rPr>
        <w:t>основных торговых партнёров</w:t>
      </w:r>
      <w:r w:rsidR="00AE2CF3" w:rsidRPr="00AA0FBE">
        <w:rPr>
          <w:sz w:val="26"/>
          <w:szCs w:val="26"/>
        </w:rPr>
        <w:t xml:space="preserve"> в объёме импорта.</w:t>
      </w:r>
    </w:p>
    <w:p w:rsidR="000860D7" w:rsidRPr="00262868" w:rsidRDefault="000860D7" w:rsidP="000860D7">
      <w:pPr>
        <w:pStyle w:val="21"/>
        <w:spacing w:after="240"/>
        <w:ind w:left="0" w:firstLine="709"/>
        <w:rPr>
          <w:rFonts w:ascii="Calibri" w:hAnsi="Calibri"/>
          <w:b w:val="0"/>
        </w:rPr>
      </w:pPr>
      <w:bookmarkStart w:id="6" w:name="_Toc35458606"/>
      <w:r w:rsidRPr="009E6965">
        <w:rPr>
          <w:rFonts w:ascii="Calibri" w:hAnsi="Calibri"/>
        </w:rPr>
        <w:t>УСЛУГИ</w:t>
      </w:r>
      <w:bookmarkEnd w:id="6"/>
    </w:p>
    <w:p w:rsidR="000860D7" w:rsidRPr="009E6965" w:rsidRDefault="008F5EE2" w:rsidP="000860D7">
      <w:pPr>
        <w:spacing w:line="288" w:lineRule="auto"/>
        <w:ind w:firstLine="709"/>
        <w:jc w:val="both"/>
        <w:rPr>
          <w:sz w:val="26"/>
          <w:szCs w:val="26"/>
        </w:rPr>
      </w:pPr>
      <w:r w:rsidRPr="00AA0FBE">
        <w:rPr>
          <w:sz w:val="26"/>
          <w:szCs w:val="26"/>
        </w:rPr>
        <w:t>Отрицательное сальдо по международной торговле услугами сократилось</w:t>
      </w:r>
      <w:r w:rsidR="00CA2237" w:rsidRPr="00AA0FBE">
        <w:rPr>
          <w:sz w:val="26"/>
          <w:szCs w:val="26"/>
        </w:rPr>
        <w:t xml:space="preserve"> </w:t>
      </w:r>
      <w:r w:rsidR="004D7609" w:rsidRPr="00AA0FBE">
        <w:rPr>
          <w:sz w:val="26"/>
          <w:szCs w:val="26"/>
        </w:rPr>
        <w:br/>
      </w:r>
      <w:r w:rsidRPr="00AA0FBE">
        <w:rPr>
          <w:sz w:val="26"/>
          <w:szCs w:val="26"/>
        </w:rPr>
        <w:t xml:space="preserve">на 7% относительно 2018 года и составило </w:t>
      </w:r>
      <w:r w:rsidR="001277D4" w:rsidRPr="00AA0FBE">
        <w:rPr>
          <w:sz w:val="26"/>
          <w:szCs w:val="26"/>
        </w:rPr>
        <w:t>2</w:t>
      </w:r>
      <w:r w:rsidRPr="00AA0FBE">
        <w:rPr>
          <w:sz w:val="26"/>
          <w:szCs w:val="26"/>
        </w:rPr>
        <w:t>,</w:t>
      </w:r>
      <w:r w:rsidR="001277D4" w:rsidRPr="00AA0FBE">
        <w:rPr>
          <w:sz w:val="26"/>
          <w:szCs w:val="26"/>
        </w:rPr>
        <w:t>3</w:t>
      </w:r>
      <w:r w:rsidRPr="00AA0FBE">
        <w:rPr>
          <w:sz w:val="26"/>
          <w:szCs w:val="26"/>
        </w:rPr>
        <w:t xml:space="preserve"> млрд. долл.</w:t>
      </w:r>
      <w:r w:rsidRPr="008F5EE2">
        <w:rPr>
          <w:sz w:val="26"/>
          <w:szCs w:val="26"/>
        </w:rPr>
        <w:t xml:space="preserve"> Вместе с тем,</w:t>
      </w:r>
      <w:r w:rsidR="000860D7" w:rsidRPr="009E6965">
        <w:rPr>
          <w:sz w:val="26"/>
          <w:szCs w:val="26"/>
        </w:rPr>
        <w:t xml:space="preserve"> </w:t>
      </w:r>
      <w:r w:rsidRPr="008F5EE2">
        <w:rPr>
          <w:sz w:val="26"/>
          <w:szCs w:val="26"/>
        </w:rPr>
        <w:t>в структуре экспорта и импорта услуг</w:t>
      </w:r>
      <w:r w:rsidR="006F1640">
        <w:rPr>
          <w:sz w:val="26"/>
          <w:szCs w:val="26"/>
        </w:rPr>
        <w:t xml:space="preserve"> исторически преобладают</w:t>
      </w:r>
      <w:r w:rsidRPr="008F5EE2">
        <w:rPr>
          <w:sz w:val="26"/>
          <w:szCs w:val="26"/>
        </w:rPr>
        <w:t xml:space="preserve"> транспортные услуги</w:t>
      </w:r>
      <w:r w:rsidR="000860D7" w:rsidRPr="009E6965">
        <w:rPr>
          <w:sz w:val="26"/>
          <w:szCs w:val="26"/>
        </w:rPr>
        <w:t xml:space="preserve"> </w:t>
      </w:r>
      <w:r w:rsidRPr="008F5EE2">
        <w:rPr>
          <w:sz w:val="26"/>
          <w:szCs w:val="26"/>
        </w:rPr>
        <w:t>и услуги, связанные с поездками</w:t>
      </w:r>
      <w:r w:rsidR="000860D7" w:rsidRPr="009E6965">
        <w:rPr>
          <w:sz w:val="26"/>
          <w:szCs w:val="26"/>
        </w:rPr>
        <w:t xml:space="preserve"> </w:t>
      </w:r>
      <w:r w:rsidR="000860D7" w:rsidRPr="009E6965">
        <w:rPr>
          <w:color w:val="2E74B5"/>
          <w:sz w:val="26"/>
          <w:szCs w:val="26"/>
        </w:rPr>
        <w:t xml:space="preserve">(Диаграммы </w:t>
      </w:r>
      <w:r w:rsidR="00007D35">
        <w:rPr>
          <w:color w:val="2E74B5"/>
          <w:sz w:val="26"/>
          <w:szCs w:val="26"/>
        </w:rPr>
        <w:t>7</w:t>
      </w:r>
      <w:r w:rsidR="000860D7" w:rsidRPr="009E6965">
        <w:rPr>
          <w:color w:val="2E74B5"/>
          <w:sz w:val="26"/>
          <w:szCs w:val="26"/>
        </w:rPr>
        <w:t>,</w:t>
      </w:r>
      <w:r w:rsidR="00007D35">
        <w:rPr>
          <w:color w:val="2E74B5"/>
          <w:sz w:val="26"/>
          <w:szCs w:val="26"/>
        </w:rPr>
        <w:t xml:space="preserve"> 8</w:t>
      </w:r>
      <w:r w:rsidR="000860D7" w:rsidRPr="009E6965">
        <w:rPr>
          <w:color w:val="2E74B5"/>
          <w:sz w:val="26"/>
          <w:szCs w:val="26"/>
        </w:rPr>
        <w:t>)</w:t>
      </w:r>
      <w:r w:rsidR="000860D7" w:rsidRPr="009E6965">
        <w:rPr>
          <w:sz w:val="26"/>
          <w:szCs w:val="26"/>
        </w:rPr>
        <w:t>.</w:t>
      </w:r>
    </w:p>
    <w:p w:rsidR="00270446" w:rsidRPr="006F1640" w:rsidRDefault="00270446" w:rsidP="00270446">
      <w:pPr>
        <w:suppressAutoHyphens/>
        <w:spacing w:before="120" w:line="288" w:lineRule="auto"/>
        <w:ind w:firstLine="709"/>
        <w:jc w:val="right"/>
        <w:rPr>
          <w:noProof/>
        </w:rPr>
      </w:pPr>
      <w:r w:rsidRPr="006F1640">
        <w:rPr>
          <w:noProof/>
        </w:rPr>
        <w:t xml:space="preserve">Диаграмма </w:t>
      </w:r>
      <w:r w:rsidR="00007D35">
        <w:rPr>
          <w:noProof/>
        </w:rPr>
        <w:t>7</w:t>
      </w:r>
    </w:p>
    <w:p w:rsidR="00270446" w:rsidRPr="006F1640" w:rsidRDefault="00270446" w:rsidP="00270446">
      <w:pPr>
        <w:suppressAutoHyphens/>
        <w:spacing w:before="120" w:line="288" w:lineRule="auto"/>
        <w:ind w:firstLine="709"/>
        <w:jc w:val="center"/>
        <w:rPr>
          <w:b/>
          <w:noProof/>
          <w:sz w:val="28"/>
          <w:szCs w:val="28"/>
        </w:rPr>
      </w:pPr>
      <w:r w:rsidRPr="006F1640">
        <w:rPr>
          <w:b/>
          <w:noProof/>
          <w:sz w:val="28"/>
          <w:szCs w:val="28"/>
        </w:rPr>
        <w:t>ЭКСПОРТ УСЛУГ ПО ОСНОВНЫМ КОМПОНЕНТАМ</w:t>
      </w:r>
    </w:p>
    <w:p w:rsidR="00270446" w:rsidRPr="009E6965" w:rsidRDefault="00270446" w:rsidP="00270446">
      <w:pPr>
        <w:suppressAutoHyphens/>
        <w:spacing w:line="288" w:lineRule="auto"/>
        <w:ind w:firstLine="709"/>
        <w:jc w:val="right"/>
        <w:rPr>
          <w:rFonts w:cs="Calibri"/>
          <w:i/>
          <w:lang w:val="uz-Cyrl-UZ"/>
        </w:rPr>
      </w:pPr>
      <w:r w:rsidRPr="006F1640">
        <w:rPr>
          <w:rFonts w:cs="Calibri"/>
          <w:i/>
          <w:lang w:val="uz-Cyrl-UZ"/>
        </w:rPr>
        <w:t>(млн. долл.)</w:t>
      </w:r>
      <w:r w:rsidR="00C927C7" w:rsidRPr="00C927C7">
        <w:rPr>
          <w:noProof/>
        </w:rPr>
        <w:t xml:space="preserve"> </w:t>
      </w:r>
      <w:r w:rsidR="00C927C7">
        <w:rPr>
          <w:noProof/>
        </w:rPr>
        <w:drawing>
          <wp:inline distT="0" distB="0" distL="0" distR="0">
            <wp:extent cx="6347460" cy="4197350"/>
            <wp:effectExtent l="0" t="0" r="15240" b="1270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860D7" w:rsidRPr="009E6965" w:rsidRDefault="000860D7" w:rsidP="00270446">
      <w:pPr>
        <w:spacing w:line="288" w:lineRule="auto"/>
        <w:jc w:val="both"/>
        <w:rPr>
          <w:sz w:val="26"/>
          <w:szCs w:val="26"/>
        </w:rPr>
      </w:pPr>
    </w:p>
    <w:p w:rsidR="000860D7" w:rsidRPr="009E6965" w:rsidRDefault="008F5EE2" w:rsidP="000860D7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262868">
        <w:rPr>
          <w:sz w:val="26"/>
          <w:szCs w:val="26"/>
        </w:rPr>
        <w:t>Объём экспорта услуг</w:t>
      </w:r>
      <w:r w:rsidRPr="006F1640">
        <w:rPr>
          <w:sz w:val="26"/>
          <w:szCs w:val="26"/>
        </w:rPr>
        <w:t xml:space="preserve"> составил </w:t>
      </w:r>
      <w:r w:rsidR="001277D4" w:rsidRPr="006F1640">
        <w:rPr>
          <w:sz w:val="26"/>
          <w:szCs w:val="26"/>
        </w:rPr>
        <w:t>3</w:t>
      </w:r>
      <w:r w:rsidRPr="006F1640">
        <w:rPr>
          <w:sz w:val="26"/>
          <w:szCs w:val="26"/>
        </w:rPr>
        <w:t>,</w:t>
      </w:r>
      <w:r w:rsidR="001277D4" w:rsidRPr="006F1640">
        <w:rPr>
          <w:sz w:val="26"/>
          <w:szCs w:val="26"/>
        </w:rPr>
        <w:t>1</w:t>
      </w:r>
      <w:r w:rsidRPr="006F1640">
        <w:rPr>
          <w:sz w:val="26"/>
          <w:szCs w:val="26"/>
        </w:rPr>
        <w:t xml:space="preserve"> млрд. долл. </w:t>
      </w:r>
      <w:r w:rsidRPr="006F1640">
        <w:rPr>
          <w:i/>
          <w:sz w:val="26"/>
          <w:szCs w:val="26"/>
        </w:rPr>
        <w:t>(2,</w:t>
      </w:r>
      <w:r w:rsidR="001277D4" w:rsidRPr="006F1640">
        <w:rPr>
          <w:i/>
          <w:sz w:val="26"/>
          <w:szCs w:val="26"/>
        </w:rPr>
        <w:t>7</w:t>
      </w:r>
      <w:r w:rsidRPr="006F1640">
        <w:rPr>
          <w:i/>
          <w:sz w:val="26"/>
          <w:szCs w:val="26"/>
        </w:rPr>
        <w:t xml:space="preserve"> млрд. долл. за 2018 год), </w:t>
      </w:r>
      <w:r w:rsidRPr="006F1640">
        <w:rPr>
          <w:sz w:val="26"/>
          <w:szCs w:val="26"/>
        </w:rPr>
        <w:t xml:space="preserve">тогда как их импорт – </w:t>
      </w:r>
      <w:r w:rsidR="001277D4" w:rsidRPr="006F1640">
        <w:rPr>
          <w:sz w:val="26"/>
          <w:szCs w:val="26"/>
        </w:rPr>
        <w:t>5</w:t>
      </w:r>
      <w:r w:rsidRPr="006F1640">
        <w:rPr>
          <w:sz w:val="26"/>
          <w:szCs w:val="26"/>
        </w:rPr>
        <w:t>,</w:t>
      </w:r>
      <w:r w:rsidR="001277D4" w:rsidRPr="006F1640">
        <w:rPr>
          <w:sz w:val="26"/>
          <w:szCs w:val="26"/>
        </w:rPr>
        <w:t>4</w:t>
      </w:r>
      <w:r w:rsidRPr="006F1640">
        <w:rPr>
          <w:sz w:val="26"/>
          <w:szCs w:val="26"/>
        </w:rPr>
        <w:t xml:space="preserve"> млрд. долл.</w:t>
      </w:r>
      <w:r w:rsidRPr="006F1640">
        <w:rPr>
          <w:i/>
          <w:sz w:val="26"/>
          <w:szCs w:val="26"/>
        </w:rPr>
        <w:t xml:space="preserve"> (</w:t>
      </w:r>
      <w:r w:rsidR="001277D4" w:rsidRPr="006F1640">
        <w:rPr>
          <w:i/>
          <w:sz w:val="26"/>
          <w:szCs w:val="26"/>
        </w:rPr>
        <w:t>5</w:t>
      </w:r>
      <w:r w:rsidRPr="006F1640">
        <w:rPr>
          <w:i/>
          <w:sz w:val="26"/>
          <w:szCs w:val="26"/>
        </w:rPr>
        <w:t>,</w:t>
      </w:r>
      <w:r w:rsidR="001277D4" w:rsidRPr="006F1640">
        <w:rPr>
          <w:i/>
          <w:sz w:val="26"/>
          <w:szCs w:val="26"/>
        </w:rPr>
        <w:t>2</w:t>
      </w:r>
      <w:r w:rsidRPr="006F1640">
        <w:rPr>
          <w:i/>
          <w:sz w:val="26"/>
          <w:szCs w:val="26"/>
        </w:rPr>
        <w:t xml:space="preserve"> млрд. долл. за</w:t>
      </w:r>
      <w:r w:rsidRPr="009F07F7">
        <w:rPr>
          <w:i/>
          <w:sz w:val="26"/>
          <w:szCs w:val="26"/>
        </w:rPr>
        <w:t xml:space="preserve"> 2018 год)</w:t>
      </w:r>
      <w:r w:rsidRPr="008F5EE2">
        <w:rPr>
          <w:sz w:val="26"/>
          <w:szCs w:val="26"/>
        </w:rPr>
        <w:t xml:space="preserve">. На транспортные услуги </w:t>
      </w:r>
      <w:r w:rsidR="006B7214">
        <w:rPr>
          <w:sz w:val="26"/>
          <w:szCs w:val="26"/>
        </w:rPr>
        <w:br/>
      </w:r>
      <w:r w:rsidRPr="008F5EE2">
        <w:rPr>
          <w:sz w:val="26"/>
          <w:szCs w:val="26"/>
        </w:rPr>
        <w:t xml:space="preserve">и услуги, связанные с туризмом </w:t>
      </w:r>
      <w:r w:rsidRPr="00BB3DF7">
        <w:rPr>
          <w:i/>
          <w:sz w:val="26"/>
          <w:szCs w:val="26"/>
        </w:rPr>
        <w:t>(поездками)</w:t>
      </w:r>
      <w:r w:rsidRPr="008F5EE2">
        <w:rPr>
          <w:sz w:val="26"/>
          <w:szCs w:val="26"/>
        </w:rPr>
        <w:t>,</w:t>
      </w:r>
      <w:r w:rsidRPr="008F5EE2">
        <w:rPr>
          <w:i/>
          <w:sz w:val="26"/>
          <w:szCs w:val="26"/>
        </w:rPr>
        <w:t xml:space="preserve"> </w:t>
      </w:r>
      <w:r w:rsidRPr="008F5EE2">
        <w:rPr>
          <w:sz w:val="26"/>
          <w:szCs w:val="26"/>
        </w:rPr>
        <w:t xml:space="preserve">приходится в совокупности </w:t>
      </w:r>
      <w:r w:rsidRPr="006F1640">
        <w:rPr>
          <w:sz w:val="26"/>
          <w:szCs w:val="26"/>
        </w:rPr>
        <w:t xml:space="preserve">около </w:t>
      </w:r>
      <w:r w:rsidR="00E87EE4">
        <w:rPr>
          <w:sz w:val="26"/>
          <w:szCs w:val="26"/>
        </w:rPr>
        <w:br/>
      </w:r>
      <w:r w:rsidR="001277D4" w:rsidRPr="006F1640">
        <w:rPr>
          <w:sz w:val="26"/>
          <w:szCs w:val="26"/>
        </w:rPr>
        <w:lastRenderedPageBreak/>
        <w:t>8</w:t>
      </w:r>
      <w:r w:rsidR="007A0CE7" w:rsidRPr="006F1640">
        <w:rPr>
          <w:sz w:val="26"/>
          <w:szCs w:val="26"/>
        </w:rPr>
        <w:t>9</w:t>
      </w:r>
      <w:r w:rsidRPr="006F1640">
        <w:rPr>
          <w:sz w:val="26"/>
          <w:szCs w:val="26"/>
        </w:rPr>
        <w:t>% от общего объёма экспорта и импорта услуг.</w:t>
      </w:r>
    </w:p>
    <w:p w:rsidR="008C1963" w:rsidRDefault="00B93663" w:rsidP="000860D7">
      <w:pPr>
        <w:spacing w:before="120" w:line="276" w:lineRule="auto"/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Сокращ</w:t>
      </w:r>
      <w:r w:rsidR="008F5EE2" w:rsidRPr="008F5EE2">
        <w:rPr>
          <w:sz w:val="26"/>
          <w:szCs w:val="26"/>
          <w:lang w:val="uz-Cyrl-UZ"/>
        </w:rPr>
        <w:t xml:space="preserve">ение дефицита </w:t>
      </w:r>
      <w:r w:rsidR="008F5EE2" w:rsidRPr="006F1640">
        <w:rPr>
          <w:sz w:val="26"/>
          <w:szCs w:val="26"/>
          <w:lang w:val="uz-Cyrl-UZ"/>
        </w:rPr>
        <w:t xml:space="preserve">международных услуг </w:t>
      </w:r>
      <w:r w:rsidR="006B7214" w:rsidRPr="006F1640">
        <w:rPr>
          <w:sz w:val="26"/>
          <w:szCs w:val="26"/>
          <w:lang w:val="uz-Cyrl-UZ"/>
        </w:rPr>
        <w:t>в</w:t>
      </w:r>
      <w:r w:rsidR="008F5EE2" w:rsidRPr="006F1640">
        <w:rPr>
          <w:sz w:val="26"/>
          <w:szCs w:val="26"/>
          <w:lang w:val="uz-Cyrl-UZ"/>
        </w:rPr>
        <w:t xml:space="preserve"> 2019 год</w:t>
      </w:r>
      <w:r w:rsidR="006B7214" w:rsidRPr="006F1640">
        <w:rPr>
          <w:sz w:val="26"/>
          <w:szCs w:val="26"/>
          <w:lang w:val="uz-Cyrl-UZ"/>
        </w:rPr>
        <w:t>у</w:t>
      </w:r>
      <w:r w:rsidR="008F5EE2" w:rsidRPr="006F1640">
        <w:rPr>
          <w:sz w:val="26"/>
          <w:szCs w:val="26"/>
          <w:lang w:val="uz-Cyrl-UZ"/>
        </w:rPr>
        <w:t xml:space="preserve"> было связ</w:t>
      </w:r>
      <w:r w:rsidR="007E55D8" w:rsidRPr="006F1640">
        <w:rPr>
          <w:sz w:val="26"/>
          <w:szCs w:val="26"/>
          <w:lang w:val="uz-Cyrl-UZ"/>
        </w:rPr>
        <w:t xml:space="preserve">ано, </w:t>
      </w:r>
      <w:r w:rsidR="006B7214" w:rsidRPr="006F1640">
        <w:rPr>
          <w:sz w:val="26"/>
          <w:szCs w:val="26"/>
          <w:lang w:val="uz-Cyrl-UZ"/>
        </w:rPr>
        <w:br/>
      </w:r>
      <w:r w:rsidR="007E55D8" w:rsidRPr="006F1640">
        <w:rPr>
          <w:sz w:val="26"/>
          <w:szCs w:val="26"/>
          <w:lang w:val="uz-Cyrl-UZ"/>
        </w:rPr>
        <w:t>в основном с ростом</w:t>
      </w:r>
      <w:r w:rsidR="008F5EE2" w:rsidRPr="006F1640">
        <w:rPr>
          <w:sz w:val="26"/>
          <w:szCs w:val="26"/>
          <w:lang w:val="uz-Cyrl-UZ"/>
        </w:rPr>
        <w:t xml:space="preserve"> услуг в сфере </w:t>
      </w:r>
      <w:r w:rsidR="009F07F7" w:rsidRPr="006F1640">
        <w:rPr>
          <w:sz w:val="26"/>
          <w:szCs w:val="26"/>
          <w:lang w:val="uz-Cyrl-UZ"/>
        </w:rPr>
        <w:t>поездок</w:t>
      </w:r>
      <w:r w:rsidR="007E55D8" w:rsidRPr="006F1640">
        <w:rPr>
          <w:sz w:val="26"/>
          <w:szCs w:val="26"/>
          <w:lang w:val="uz-Cyrl-UZ"/>
        </w:rPr>
        <w:t xml:space="preserve"> </w:t>
      </w:r>
      <w:r w:rsidR="00D83200">
        <w:rPr>
          <w:sz w:val="26"/>
          <w:szCs w:val="26"/>
          <w:lang w:val="uz-Cyrl-UZ"/>
        </w:rPr>
        <w:t xml:space="preserve">(туризм) </w:t>
      </w:r>
      <w:r w:rsidR="007E55D8" w:rsidRPr="006F1640">
        <w:rPr>
          <w:sz w:val="26"/>
          <w:szCs w:val="26"/>
          <w:lang w:val="uz-Cyrl-UZ"/>
        </w:rPr>
        <w:t xml:space="preserve">на </w:t>
      </w:r>
      <w:r w:rsidR="00AD1E83" w:rsidRPr="006F1640">
        <w:rPr>
          <w:sz w:val="26"/>
          <w:szCs w:val="26"/>
          <w:lang w:val="uz-Cyrl-UZ"/>
        </w:rPr>
        <w:t>29</w:t>
      </w:r>
      <w:r w:rsidR="007E55D8" w:rsidRPr="006F1640">
        <w:rPr>
          <w:sz w:val="26"/>
          <w:szCs w:val="26"/>
          <w:lang w:val="uz-Cyrl-UZ"/>
        </w:rPr>
        <w:t>%</w:t>
      </w:r>
      <w:r w:rsidR="008C1963" w:rsidRPr="006F1640">
        <w:rPr>
          <w:sz w:val="26"/>
          <w:szCs w:val="26"/>
          <w:lang w:val="uz-Cyrl-UZ"/>
        </w:rPr>
        <w:t>.</w:t>
      </w:r>
    </w:p>
    <w:p w:rsidR="009F07F7" w:rsidRPr="009F07F7" w:rsidRDefault="009F07F7" w:rsidP="008C1963">
      <w:pPr>
        <w:suppressAutoHyphens/>
        <w:spacing w:before="120" w:line="288" w:lineRule="auto"/>
        <w:ind w:firstLine="709"/>
        <w:jc w:val="right"/>
        <w:rPr>
          <w:noProof/>
          <w:sz w:val="2"/>
          <w:szCs w:val="2"/>
          <w:lang w:val="uz-Cyrl-UZ"/>
        </w:rPr>
      </w:pPr>
    </w:p>
    <w:p w:rsidR="008C1963" w:rsidRPr="006F1640" w:rsidRDefault="008C1963" w:rsidP="008C1963">
      <w:pPr>
        <w:suppressAutoHyphens/>
        <w:spacing w:before="120" w:line="288" w:lineRule="auto"/>
        <w:ind w:firstLine="709"/>
        <w:jc w:val="right"/>
        <w:rPr>
          <w:noProof/>
        </w:rPr>
      </w:pPr>
      <w:r w:rsidRPr="006F1640">
        <w:rPr>
          <w:noProof/>
        </w:rPr>
        <w:t xml:space="preserve">Диаграмма </w:t>
      </w:r>
      <w:r w:rsidR="00007D35">
        <w:rPr>
          <w:noProof/>
        </w:rPr>
        <w:t>8</w:t>
      </w:r>
    </w:p>
    <w:p w:rsidR="008C1963" w:rsidRPr="006F1640" w:rsidRDefault="008C1963" w:rsidP="008C1963">
      <w:pPr>
        <w:suppressAutoHyphens/>
        <w:spacing w:before="120" w:line="288" w:lineRule="auto"/>
        <w:ind w:firstLine="709"/>
        <w:jc w:val="center"/>
        <w:rPr>
          <w:b/>
          <w:noProof/>
          <w:sz w:val="28"/>
          <w:szCs w:val="28"/>
        </w:rPr>
      </w:pPr>
      <w:r w:rsidRPr="006F1640">
        <w:rPr>
          <w:b/>
          <w:noProof/>
          <w:sz w:val="28"/>
          <w:szCs w:val="28"/>
        </w:rPr>
        <w:t>ИМПОРТ УСЛУГ ПО ОСНОВНЫМ КОМПОНЕНТАМ</w:t>
      </w:r>
    </w:p>
    <w:p w:rsidR="008C1963" w:rsidRPr="009E6965" w:rsidRDefault="008C1963" w:rsidP="008C1963">
      <w:pPr>
        <w:suppressAutoHyphens/>
        <w:spacing w:line="288" w:lineRule="auto"/>
        <w:ind w:firstLine="709"/>
        <w:jc w:val="right"/>
        <w:rPr>
          <w:rFonts w:cs="Calibri"/>
          <w:i/>
          <w:lang w:val="uz-Cyrl-UZ"/>
        </w:rPr>
      </w:pPr>
      <w:r w:rsidRPr="006F1640">
        <w:rPr>
          <w:rFonts w:cs="Calibri"/>
          <w:i/>
          <w:lang w:val="uz-Cyrl-UZ"/>
        </w:rPr>
        <w:t>(млн. долл.)</w:t>
      </w:r>
    </w:p>
    <w:p w:rsidR="008C1963" w:rsidRPr="009E6965" w:rsidRDefault="006408F2" w:rsidP="008C1963">
      <w:pPr>
        <w:spacing w:line="276" w:lineRule="auto"/>
        <w:jc w:val="both"/>
        <w:rPr>
          <w:sz w:val="26"/>
          <w:szCs w:val="26"/>
          <w:lang w:val="uz-Cyrl-UZ"/>
        </w:rPr>
      </w:pPr>
      <w:r>
        <w:rPr>
          <w:noProof/>
        </w:rPr>
        <w:drawing>
          <wp:inline distT="0" distB="0" distL="0" distR="0">
            <wp:extent cx="6400800" cy="4309607"/>
            <wp:effectExtent l="0" t="0" r="0" b="1524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860D7" w:rsidRPr="009E6965" w:rsidRDefault="008F5EE2" w:rsidP="005736C5">
      <w:pPr>
        <w:spacing w:before="120" w:line="276" w:lineRule="auto"/>
        <w:ind w:firstLine="709"/>
        <w:jc w:val="both"/>
        <w:rPr>
          <w:sz w:val="26"/>
          <w:szCs w:val="26"/>
        </w:rPr>
      </w:pPr>
      <w:r w:rsidRPr="00EC23A2">
        <w:rPr>
          <w:sz w:val="26"/>
          <w:szCs w:val="26"/>
        </w:rPr>
        <w:t xml:space="preserve">В импорте транспортных услуг традиционно </w:t>
      </w:r>
      <w:r w:rsidRPr="004703F5">
        <w:rPr>
          <w:sz w:val="26"/>
          <w:szCs w:val="26"/>
        </w:rPr>
        <w:t>преобладали</w:t>
      </w:r>
      <w:r w:rsidRPr="00EC23A2">
        <w:rPr>
          <w:sz w:val="26"/>
          <w:szCs w:val="26"/>
        </w:rPr>
        <w:t xml:space="preserve"> услуги, связанные </w:t>
      </w:r>
      <w:r w:rsidR="00864443">
        <w:rPr>
          <w:sz w:val="26"/>
          <w:szCs w:val="26"/>
        </w:rPr>
        <w:br/>
      </w:r>
      <w:r w:rsidR="003A33D9" w:rsidRPr="00EC23A2">
        <w:rPr>
          <w:sz w:val="26"/>
          <w:szCs w:val="26"/>
        </w:rPr>
        <w:t>с железнодорожным</w:t>
      </w:r>
      <w:r w:rsidR="004B49B3">
        <w:rPr>
          <w:sz w:val="26"/>
          <w:szCs w:val="26"/>
        </w:rPr>
        <w:t xml:space="preserve"> </w:t>
      </w:r>
      <w:r w:rsidR="005736C5">
        <w:rPr>
          <w:sz w:val="26"/>
          <w:szCs w:val="26"/>
        </w:rPr>
        <w:t xml:space="preserve">и автомобильным </w:t>
      </w:r>
      <w:r w:rsidRPr="00EC23A2">
        <w:rPr>
          <w:sz w:val="26"/>
          <w:szCs w:val="26"/>
        </w:rPr>
        <w:t xml:space="preserve">транспортом. Объём импорта транспортных услуг железнодорожного транспорта </w:t>
      </w:r>
      <w:r w:rsidR="004703F5">
        <w:rPr>
          <w:sz w:val="26"/>
          <w:szCs w:val="26"/>
        </w:rPr>
        <w:t>был равен</w:t>
      </w:r>
      <w:r w:rsidRPr="00EC23A2">
        <w:rPr>
          <w:sz w:val="26"/>
          <w:szCs w:val="26"/>
        </w:rPr>
        <w:t xml:space="preserve"> </w:t>
      </w:r>
      <w:r w:rsidR="001E1AEE" w:rsidRPr="00EC23A2">
        <w:rPr>
          <w:sz w:val="26"/>
          <w:szCs w:val="26"/>
        </w:rPr>
        <w:t>1,3</w:t>
      </w:r>
      <w:r w:rsidRPr="00EC23A2">
        <w:rPr>
          <w:sz w:val="26"/>
          <w:szCs w:val="26"/>
        </w:rPr>
        <w:t xml:space="preserve"> мл</w:t>
      </w:r>
      <w:r w:rsidR="001E1AEE" w:rsidRPr="00EC23A2">
        <w:rPr>
          <w:sz w:val="26"/>
          <w:szCs w:val="26"/>
        </w:rPr>
        <w:t>рд</w:t>
      </w:r>
      <w:r w:rsidRPr="00EC23A2">
        <w:rPr>
          <w:sz w:val="26"/>
          <w:szCs w:val="26"/>
        </w:rPr>
        <w:t xml:space="preserve">. долл. </w:t>
      </w:r>
      <w:r w:rsidRPr="00EC23A2">
        <w:rPr>
          <w:i/>
          <w:sz w:val="26"/>
          <w:szCs w:val="26"/>
        </w:rPr>
        <w:t>(</w:t>
      </w:r>
      <w:r w:rsidR="00CA652A" w:rsidRPr="00EC23A2">
        <w:rPr>
          <w:i/>
          <w:sz w:val="26"/>
          <w:szCs w:val="26"/>
        </w:rPr>
        <w:t>1,2</w:t>
      </w:r>
      <w:r w:rsidRPr="00EC23A2">
        <w:rPr>
          <w:i/>
          <w:sz w:val="26"/>
          <w:szCs w:val="26"/>
        </w:rPr>
        <w:t xml:space="preserve"> мл</w:t>
      </w:r>
      <w:r w:rsidR="00CA652A" w:rsidRPr="00EC23A2">
        <w:rPr>
          <w:i/>
          <w:sz w:val="26"/>
          <w:szCs w:val="26"/>
        </w:rPr>
        <w:t>рд</w:t>
      </w:r>
      <w:r w:rsidRPr="00EC23A2">
        <w:rPr>
          <w:i/>
          <w:sz w:val="26"/>
          <w:szCs w:val="26"/>
        </w:rPr>
        <w:t>. долл. за 2018 год)</w:t>
      </w:r>
      <w:r w:rsidRPr="00EC23A2">
        <w:rPr>
          <w:sz w:val="26"/>
          <w:szCs w:val="26"/>
        </w:rPr>
        <w:t xml:space="preserve">, </w:t>
      </w:r>
      <w:r w:rsidR="005736C5">
        <w:rPr>
          <w:sz w:val="26"/>
          <w:szCs w:val="26"/>
        </w:rPr>
        <w:t xml:space="preserve">автомобильным транспортом – </w:t>
      </w:r>
      <w:r w:rsidR="005736C5" w:rsidRPr="00806365">
        <w:rPr>
          <w:sz w:val="26"/>
          <w:szCs w:val="26"/>
        </w:rPr>
        <w:t xml:space="preserve">479 млн. долл. </w:t>
      </w:r>
      <w:r w:rsidR="005736C5" w:rsidRPr="00806365">
        <w:rPr>
          <w:i/>
          <w:sz w:val="26"/>
          <w:szCs w:val="26"/>
        </w:rPr>
        <w:t xml:space="preserve">(422 млн. долл. за 2018 год), </w:t>
      </w:r>
      <w:r w:rsidR="005736C5" w:rsidRPr="00806365">
        <w:rPr>
          <w:i/>
          <w:sz w:val="26"/>
          <w:szCs w:val="26"/>
        </w:rPr>
        <w:br/>
      </w:r>
      <w:r w:rsidR="004703F5" w:rsidRPr="00806365">
        <w:rPr>
          <w:sz w:val="26"/>
          <w:szCs w:val="26"/>
        </w:rPr>
        <w:t xml:space="preserve">тогда как объём импорта другими видами </w:t>
      </w:r>
      <w:r w:rsidR="00CA652A" w:rsidRPr="00806365">
        <w:rPr>
          <w:sz w:val="26"/>
          <w:szCs w:val="26"/>
        </w:rPr>
        <w:t>транспорта</w:t>
      </w:r>
      <w:r w:rsidR="004703F5" w:rsidRPr="00806365">
        <w:rPr>
          <w:sz w:val="26"/>
          <w:szCs w:val="26"/>
        </w:rPr>
        <w:t xml:space="preserve"> составил </w:t>
      </w:r>
      <w:r w:rsidR="005736C5" w:rsidRPr="00806365">
        <w:rPr>
          <w:sz w:val="26"/>
          <w:szCs w:val="26"/>
        </w:rPr>
        <w:t>783</w:t>
      </w:r>
      <w:r w:rsidR="00CA652A" w:rsidRPr="00806365">
        <w:rPr>
          <w:sz w:val="26"/>
          <w:szCs w:val="26"/>
        </w:rPr>
        <w:t xml:space="preserve"> млн. долл. </w:t>
      </w:r>
      <w:r w:rsidR="004703F5" w:rsidRPr="00806365">
        <w:rPr>
          <w:i/>
          <w:sz w:val="26"/>
          <w:szCs w:val="26"/>
        </w:rPr>
        <w:t>(</w:t>
      </w:r>
      <w:r w:rsidR="005736C5" w:rsidRPr="00806365">
        <w:rPr>
          <w:i/>
          <w:sz w:val="26"/>
          <w:szCs w:val="26"/>
        </w:rPr>
        <w:t>802</w:t>
      </w:r>
      <w:r w:rsidR="004703F5" w:rsidRPr="00806365">
        <w:rPr>
          <w:i/>
          <w:sz w:val="26"/>
          <w:szCs w:val="26"/>
        </w:rPr>
        <w:t xml:space="preserve"> млн. долл. за 2018 год</w:t>
      </w:r>
      <w:r w:rsidR="000860D7" w:rsidRPr="00806365">
        <w:rPr>
          <w:i/>
          <w:sz w:val="26"/>
          <w:szCs w:val="26"/>
        </w:rPr>
        <w:t>)</w:t>
      </w:r>
      <w:r w:rsidR="003A33D9" w:rsidRPr="00806365">
        <w:rPr>
          <w:i/>
          <w:sz w:val="26"/>
          <w:szCs w:val="26"/>
        </w:rPr>
        <w:t>.</w:t>
      </w:r>
    </w:p>
    <w:p w:rsidR="00FF312C" w:rsidRPr="004941DA" w:rsidRDefault="00FF312C" w:rsidP="000860D7">
      <w:pPr>
        <w:spacing w:before="120" w:line="276" w:lineRule="auto"/>
        <w:ind w:firstLine="709"/>
        <w:jc w:val="both"/>
        <w:rPr>
          <w:sz w:val="22"/>
          <w:szCs w:val="22"/>
        </w:rPr>
      </w:pPr>
      <w:r w:rsidRPr="004941DA">
        <w:rPr>
          <w:sz w:val="22"/>
          <w:szCs w:val="22"/>
        </w:rPr>
        <w:br w:type="page"/>
      </w:r>
    </w:p>
    <w:p w:rsidR="000860D7" w:rsidRPr="009E6965" w:rsidRDefault="000860D7" w:rsidP="00C90FE5">
      <w:pPr>
        <w:pStyle w:val="21"/>
        <w:spacing w:before="360" w:after="240"/>
        <w:ind w:left="0" w:firstLine="709"/>
        <w:rPr>
          <w:rFonts w:ascii="Calibri" w:hAnsi="Calibri"/>
        </w:rPr>
      </w:pPr>
      <w:bookmarkStart w:id="7" w:name="_Toc35458607"/>
      <w:r w:rsidRPr="009E6965">
        <w:rPr>
          <w:rFonts w:ascii="Calibri" w:hAnsi="Calibri"/>
        </w:rPr>
        <w:lastRenderedPageBreak/>
        <w:t>ПЕРВИЧНЫЕ ДОХОДЫ</w:t>
      </w:r>
      <w:bookmarkEnd w:id="7"/>
    </w:p>
    <w:p w:rsidR="000860D7" w:rsidRPr="00D83200" w:rsidRDefault="008F5EE2" w:rsidP="000860D7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EC23A2">
        <w:rPr>
          <w:sz w:val="26"/>
          <w:szCs w:val="26"/>
        </w:rPr>
        <w:t xml:space="preserve">Положительное сальдо по счёту первичных доходов за </w:t>
      </w:r>
      <w:r w:rsidR="00DD7FC2" w:rsidRPr="00EC23A2">
        <w:rPr>
          <w:sz w:val="26"/>
          <w:szCs w:val="26"/>
        </w:rPr>
        <w:t>2019 год</w:t>
      </w:r>
      <w:r w:rsidRPr="00EC23A2">
        <w:rPr>
          <w:sz w:val="26"/>
          <w:szCs w:val="26"/>
        </w:rPr>
        <w:t xml:space="preserve"> было равно </w:t>
      </w:r>
      <w:r w:rsidR="00864443">
        <w:rPr>
          <w:sz w:val="26"/>
          <w:szCs w:val="26"/>
        </w:rPr>
        <w:br/>
      </w:r>
      <w:r w:rsidR="00423F1D" w:rsidRPr="00EC23A2">
        <w:rPr>
          <w:sz w:val="26"/>
          <w:szCs w:val="26"/>
        </w:rPr>
        <w:t>8</w:t>
      </w:r>
      <w:r w:rsidR="00D31BA2" w:rsidRPr="00EC23A2">
        <w:rPr>
          <w:sz w:val="26"/>
          <w:szCs w:val="26"/>
        </w:rPr>
        <w:t>7</w:t>
      </w:r>
      <w:r w:rsidR="003F05F7" w:rsidRPr="00EC23A2">
        <w:rPr>
          <w:sz w:val="26"/>
          <w:szCs w:val="26"/>
          <w:lang w:val="uz-Cyrl-UZ"/>
        </w:rPr>
        <w:t>3</w:t>
      </w:r>
      <w:r w:rsidR="00423F1D" w:rsidRPr="00EC23A2">
        <w:rPr>
          <w:sz w:val="26"/>
          <w:szCs w:val="26"/>
        </w:rPr>
        <w:t xml:space="preserve"> млн</w:t>
      </w:r>
      <w:r w:rsidRPr="00EC23A2">
        <w:rPr>
          <w:sz w:val="26"/>
          <w:szCs w:val="26"/>
        </w:rPr>
        <w:t xml:space="preserve">. долл. </w:t>
      </w:r>
      <w:r w:rsidRPr="00EC23A2">
        <w:rPr>
          <w:i/>
          <w:sz w:val="26"/>
          <w:szCs w:val="26"/>
        </w:rPr>
        <w:t>(1</w:t>
      </w:r>
      <w:r w:rsidR="00D31BA2" w:rsidRPr="00EC23A2">
        <w:rPr>
          <w:i/>
          <w:sz w:val="26"/>
          <w:szCs w:val="26"/>
        </w:rPr>
        <w:t>,5</w:t>
      </w:r>
      <w:r w:rsidRPr="00EC23A2">
        <w:rPr>
          <w:i/>
          <w:sz w:val="26"/>
          <w:szCs w:val="26"/>
        </w:rPr>
        <w:t xml:space="preserve"> млрд. долл. за 2018</w:t>
      </w:r>
      <w:r w:rsidRPr="00BB3DF7">
        <w:rPr>
          <w:i/>
          <w:sz w:val="26"/>
          <w:szCs w:val="26"/>
        </w:rPr>
        <w:t xml:space="preserve"> год)</w:t>
      </w:r>
      <w:r w:rsidR="000860D7" w:rsidRPr="009E6965">
        <w:rPr>
          <w:i/>
          <w:sz w:val="26"/>
          <w:szCs w:val="26"/>
        </w:rPr>
        <w:t>.</w:t>
      </w:r>
      <w:r w:rsidR="000860D7" w:rsidRPr="009E6965">
        <w:rPr>
          <w:sz w:val="26"/>
          <w:szCs w:val="26"/>
        </w:rPr>
        <w:t xml:space="preserve"> </w:t>
      </w:r>
      <w:r w:rsidR="000860D7" w:rsidRPr="009E6965">
        <w:rPr>
          <w:color w:val="0070C0"/>
          <w:sz w:val="26"/>
          <w:szCs w:val="26"/>
        </w:rPr>
        <w:t xml:space="preserve">(Диаграмма </w:t>
      </w:r>
      <w:r w:rsidR="00007D35">
        <w:rPr>
          <w:color w:val="0070C0"/>
          <w:sz w:val="26"/>
          <w:szCs w:val="26"/>
        </w:rPr>
        <w:t>9</w:t>
      </w:r>
      <w:r w:rsidR="000860D7" w:rsidRPr="009E6965">
        <w:rPr>
          <w:color w:val="0070C0"/>
          <w:sz w:val="26"/>
          <w:szCs w:val="26"/>
        </w:rPr>
        <w:t>)</w:t>
      </w:r>
      <w:r w:rsidR="000860D7" w:rsidRPr="009E6965">
        <w:rPr>
          <w:sz w:val="26"/>
          <w:szCs w:val="26"/>
        </w:rPr>
        <w:t>.</w:t>
      </w:r>
      <w:r w:rsidR="004703F5">
        <w:rPr>
          <w:sz w:val="26"/>
          <w:szCs w:val="26"/>
        </w:rPr>
        <w:t xml:space="preserve"> Сокращение сальдо первичных доходов связано с уменьшением количества краткосрочных работников и увеличением доходов нерезидентов по внешним займам и инвестициям.</w:t>
      </w:r>
    </w:p>
    <w:p w:rsidR="000860D7" w:rsidRPr="009E6965" w:rsidRDefault="008F5EE2" w:rsidP="000860D7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8F5EE2">
        <w:rPr>
          <w:sz w:val="26"/>
          <w:szCs w:val="26"/>
        </w:rPr>
        <w:t xml:space="preserve">Основным источником по статье «доходы» за 2019 год являлась оплата труда, полученная гражданами Узбекистана, выехавшими на заработки за рубеж на краткосрочный период, которая составила </w:t>
      </w:r>
      <w:r w:rsidRPr="00EC23A2">
        <w:rPr>
          <w:sz w:val="26"/>
          <w:szCs w:val="26"/>
        </w:rPr>
        <w:t>2,</w:t>
      </w:r>
      <w:r w:rsidR="00D31BA2" w:rsidRPr="00EC23A2">
        <w:rPr>
          <w:sz w:val="26"/>
          <w:szCs w:val="26"/>
        </w:rPr>
        <w:t>7</w:t>
      </w:r>
      <w:r w:rsidRPr="00EC23A2">
        <w:rPr>
          <w:sz w:val="26"/>
          <w:szCs w:val="26"/>
        </w:rPr>
        <w:t xml:space="preserve"> млрд. долл. </w:t>
      </w:r>
      <w:r w:rsidRPr="00EC23A2">
        <w:rPr>
          <w:i/>
          <w:sz w:val="26"/>
          <w:szCs w:val="26"/>
        </w:rPr>
        <w:t>(2,</w:t>
      </w:r>
      <w:r w:rsidR="00D31BA2" w:rsidRPr="00EC23A2">
        <w:rPr>
          <w:i/>
          <w:sz w:val="26"/>
          <w:szCs w:val="26"/>
        </w:rPr>
        <w:t>9</w:t>
      </w:r>
      <w:r w:rsidRPr="00EC23A2">
        <w:rPr>
          <w:i/>
          <w:sz w:val="26"/>
          <w:szCs w:val="26"/>
        </w:rPr>
        <w:t xml:space="preserve"> млрд. долл. за </w:t>
      </w:r>
      <w:r w:rsidR="000860D7" w:rsidRPr="00EC23A2">
        <w:rPr>
          <w:i/>
          <w:sz w:val="26"/>
          <w:szCs w:val="26"/>
        </w:rPr>
        <w:t>2018 год)</w:t>
      </w:r>
      <w:r w:rsidR="000860D7" w:rsidRPr="00EC23A2">
        <w:rPr>
          <w:sz w:val="26"/>
          <w:szCs w:val="26"/>
        </w:rPr>
        <w:t>.</w:t>
      </w:r>
    </w:p>
    <w:p w:rsidR="000860D7" w:rsidRPr="00A53047" w:rsidRDefault="008F5EE2" w:rsidP="0076529D">
      <w:pPr>
        <w:spacing w:before="120" w:line="288" w:lineRule="auto"/>
        <w:ind w:firstLine="708"/>
        <w:jc w:val="both"/>
      </w:pPr>
      <w:r w:rsidRPr="00EC23A2">
        <w:rPr>
          <w:sz w:val="26"/>
          <w:szCs w:val="26"/>
          <w:u w:val="single"/>
        </w:rPr>
        <w:t>Доходы резидентов от инвестиций за рубеж</w:t>
      </w:r>
      <w:r w:rsidRPr="00EC23A2">
        <w:rPr>
          <w:sz w:val="26"/>
          <w:szCs w:val="26"/>
        </w:rPr>
        <w:t xml:space="preserve"> составили 2</w:t>
      </w:r>
      <w:r w:rsidR="00D31BA2" w:rsidRPr="00EC23A2">
        <w:rPr>
          <w:sz w:val="26"/>
          <w:szCs w:val="26"/>
          <w:lang w:val="uz-Cyrl-UZ"/>
        </w:rPr>
        <w:t>93</w:t>
      </w:r>
      <w:r w:rsidRPr="00EC23A2">
        <w:rPr>
          <w:sz w:val="26"/>
          <w:szCs w:val="26"/>
        </w:rPr>
        <w:t xml:space="preserve"> млн. долл</w:t>
      </w:r>
      <w:r w:rsidR="000860D7" w:rsidRPr="00EC23A2">
        <w:rPr>
          <w:sz w:val="26"/>
          <w:szCs w:val="26"/>
        </w:rPr>
        <w:t xml:space="preserve">. </w:t>
      </w:r>
      <w:r w:rsidRPr="00EC23A2">
        <w:rPr>
          <w:i/>
          <w:sz w:val="26"/>
          <w:szCs w:val="26"/>
        </w:rPr>
        <w:t>(</w:t>
      </w:r>
      <w:r w:rsidR="00A60C82" w:rsidRPr="00EC23A2">
        <w:rPr>
          <w:i/>
          <w:sz w:val="26"/>
          <w:szCs w:val="26"/>
        </w:rPr>
        <w:t>238</w:t>
      </w:r>
      <w:r w:rsidRPr="00EC23A2">
        <w:rPr>
          <w:i/>
          <w:sz w:val="26"/>
          <w:szCs w:val="26"/>
        </w:rPr>
        <w:t xml:space="preserve"> млн. долл. за 2018 год), </w:t>
      </w:r>
      <w:r w:rsidRPr="00EC23A2">
        <w:rPr>
          <w:sz w:val="26"/>
          <w:szCs w:val="26"/>
        </w:rPr>
        <w:t>из которых 2</w:t>
      </w:r>
      <w:r w:rsidR="00A60C82" w:rsidRPr="00EC23A2">
        <w:rPr>
          <w:sz w:val="26"/>
          <w:szCs w:val="26"/>
        </w:rPr>
        <w:t>84</w:t>
      </w:r>
      <w:r w:rsidRPr="00EC23A2">
        <w:rPr>
          <w:sz w:val="26"/>
          <w:szCs w:val="26"/>
        </w:rPr>
        <w:t xml:space="preserve"> млн. долл. </w:t>
      </w:r>
      <w:r w:rsidRPr="00EC23A2">
        <w:rPr>
          <w:i/>
          <w:sz w:val="26"/>
          <w:szCs w:val="26"/>
        </w:rPr>
        <w:t>(</w:t>
      </w:r>
      <w:r w:rsidR="00A60C82" w:rsidRPr="00EC23A2">
        <w:rPr>
          <w:i/>
          <w:sz w:val="26"/>
          <w:szCs w:val="26"/>
        </w:rPr>
        <w:t>226</w:t>
      </w:r>
      <w:r w:rsidRPr="00EC23A2">
        <w:rPr>
          <w:i/>
          <w:sz w:val="26"/>
          <w:szCs w:val="26"/>
        </w:rPr>
        <w:t xml:space="preserve"> млн. долл. за 2018 год) – </w:t>
      </w:r>
      <w:r w:rsidRPr="00EC23A2">
        <w:rPr>
          <w:sz w:val="26"/>
          <w:szCs w:val="26"/>
        </w:rPr>
        <w:t>доходы</w:t>
      </w:r>
      <w:r w:rsidRPr="00A53047">
        <w:rPr>
          <w:sz w:val="26"/>
          <w:szCs w:val="26"/>
        </w:rPr>
        <w:t xml:space="preserve"> </w:t>
      </w:r>
      <w:r w:rsidR="00864443">
        <w:rPr>
          <w:sz w:val="26"/>
          <w:szCs w:val="26"/>
        </w:rPr>
        <w:br/>
      </w:r>
      <w:r w:rsidRPr="00A53047">
        <w:rPr>
          <w:sz w:val="26"/>
          <w:szCs w:val="26"/>
        </w:rPr>
        <w:t xml:space="preserve">от размещения международных резервов. Оставшаяся часть, в основном, является доходом </w:t>
      </w:r>
      <w:r w:rsidR="00864443">
        <w:rPr>
          <w:sz w:val="26"/>
          <w:szCs w:val="26"/>
        </w:rPr>
        <w:t xml:space="preserve">отечественных банков </w:t>
      </w:r>
      <w:r w:rsidRPr="00A53047">
        <w:rPr>
          <w:sz w:val="26"/>
          <w:szCs w:val="26"/>
        </w:rPr>
        <w:t>по корсчетам</w:t>
      </w:r>
      <w:r w:rsidR="00864443">
        <w:rPr>
          <w:sz w:val="26"/>
          <w:szCs w:val="26"/>
        </w:rPr>
        <w:t>, а также</w:t>
      </w:r>
      <w:r w:rsidRPr="00A53047">
        <w:rPr>
          <w:sz w:val="26"/>
          <w:szCs w:val="26"/>
        </w:rPr>
        <w:t xml:space="preserve"> депозитам резидентов </w:t>
      </w:r>
      <w:r w:rsidR="00864443">
        <w:rPr>
          <w:sz w:val="26"/>
          <w:szCs w:val="26"/>
        </w:rPr>
        <w:br/>
      </w:r>
      <w:r w:rsidRPr="00A53047">
        <w:rPr>
          <w:sz w:val="26"/>
          <w:szCs w:val="26"/>
        </w:rPr>
        <w:t>в зарубежных</w:t>
      </w:r>
      <w:r w:rsidR="000860D7" w:rsidRPr="00A53047">
        <w:rPr>
          <w:sz w:val="26"/>
          <w:szCs w:val="26"/>
        </w:rPr>
        <w:t xml:space="preserve"> банках.</w:t>
      </w:r>
    </w:p>
    <w:p w:rsidR="000860D7" w:rsidRPr="00EC23A2" w:rsidRDefault="000860D7" w:rsidP="000860D7">
      <w:pPr>
        <w:jc w:val="right"/>
      </w:pPr>
      <w:r w:rsidRPr="00EC23A2">
        <w:t xml:space="preserve">Диаграмма </w:t>
      </w:r>
      <w:r w:rsidR="00007D35">
        <w:t>9</w:t>
      </w:r>
    </w:p>
    <w:p w:rsidR="000860D7" w:rsidRPr="00EC23A2" w:rsidRDefault="000860D7" w:rsidP="000860D7">
      <w:pPr>
        <w:jc w:val="center"/>
        <w:rPr>
          <w:b/>
          <w:sz w:val="28"/>
          <w:szCs w:val="28"/>
        </w:rPr>
      </w:pPr>
      <w:r w:rsidRPr="00EC23A2">
        <w:rPr>
          <w:b/>
          <w:sz w:val="28"/>
          <w:szCs w:val="28"/>
        </w:rPr>
        <w:t>ИЗМЕНЕНИЕ КОМПОНЕНТОВ ПЕРВИЧНЫХ ДОХОДОВ</w:t>
      </w:r>
    </w:p>
    <w:p w:rsidR="000860D7" w:rsidRPr="00EC23A2" w:rsidRDefault="000860D7" w:rsidP="000860D7">
      <w:pPr>
        <w:jc w:val="center"/>
        <w:rPr>
          <w:b/>
          <w:sz w:val="28"/>
          <w:szCs w:val="28"/>
        </w:rPr>
      </w:pPr>
    </w:p>
    <w:p w:rsidR="000860D7" w:rsidRPr="00FC475F" w:rsidRDefault="000860D7" w:rsidP="000860D7">
      <w:pPr>
        <w:jc w:val="right"/>
        <w:rPr>
          <w:i/>
        </w:rPr>
      </w:pPr>
      <w:r w:rsidRPr="00EC23A2">
        <w:rPr>
          <w:i/>
        </w:rPr>
        <w:t>(млн. долл.)</w:t>
      </w:r>
    </w:p>
    <w:p w:rsidR="000860D7" w:rsidRPr="009E6965" w:rsidRDefault="00A3100B" w:rsidP="00090F03">
      <w:pPr>
        <w:spacing w:line="288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394450" cy="3614468"/>
            <wp:effectExtent l="0" t="0" r="6350" b="508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412AC" w:rsidRPr="004412AC" w:rsidRDefault="004412AC" w:rsidP="004412AC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041C33">
        <w:rPr>
          <w:sz w:val="26"/>
          <w:szCs w:val="26"/>
        </w:rPr>
        <w:t xml:space="preserve">В свою очередь, </w:t>
      </w:r>
      <w:r w:rsidRPr="00041C33">
        <w:rPr>
          <w:sz w:val="26"/>
          <w:szCs w:val="26"/>
          <w:u w:val="single"/>
        </w:rPr>
        <w:t>доходы нерезидентов от инвестиций в Узбекистан</w:t>
      </w:r>
      <w:r w:rsidRPr="00041C33">
        <w:rPr>
          <w:sz w:val="26"/>
          <w:szCs w:val="26"/>
        </w:rPr>
        <w:t xml:space="preserve"> составили </w:t>
      </w:r>
      <w:r w:rsidR="00551D7D" w:rsidRPr="00041C33">
        <w:rPr>
          <w:sz w:val="26"/>
          <w:szCs w:val="26"/>
        </w:rPr>
        <w:br/>
      </w:r>
      <w:r w:rsidR="00754171" w:rsidRPr="00041C33">
        <w:rPr>
          <w:sz w:val="26"/>
          <w:szCs w:val="26"/>
        </w:rPr>
        <w:t>2</w:t>
      </w:r>
      <w:r w:rsidRPr="00041C33">
        <w:rPr>
          <w:sz w:val="26"/>
          <w:szCs w:val="26"/>
        </w:rPr>
        <w:t xml:space="preserve"> млрд. долл. </w:t>
      </w:r>
      <w:r w:rsidRPr="00041C33">
        <w:rPr>
          <w:i/>
          <w:sz w:val="26"/>
          <w:szCs w:val="26"/>
        </w:rPr>
        <w:t>(1,</w:t>
      </w:r>
      <w:r w:rsidR="00754171" w:rsidRPr="00041C33">
        <w:rPr>
          <w:i/>
          <w:sz w:val="26"/>
          <w:szCs w:val="26"/>
        </w:rPr>
        <w:t>7</w:t>
      </w:r>
      <w:r w:rsidRPr="00041C33">
        <w:rPr>
          <w:i/>
          <w:sz w:val="26"/>
          <w:szCs w:val="26"/>
        </w:rPr>
        <w:t xml:space="preserve"> млрд. долл. </w:t>
      </w:r>
      <w:r w:rsidR="007356A0" w:rsidRPr="00041C33">
        <w:rPr>
          <w:i/>
          <w:sz w:val="26"/>
          <w:szCs w:val="26"/>
        </w:rPr>
        <w:t>–</w:t>
      </w:r>
      <w:r w:rsidRPr="00041C33">
        <w:rPr>
          <w:i/>
          <w:sz w:val="26"/>
          <w:szCs w:val="26"/>
        </w:rPr>
        <w:t xml:space="preserve"> за 2</w:t>
      </w:r>
      <w:r w:rsidRPr="00BC51C7">
        <w:rPr>
          <w:i/>
          <w:sz w:val="26"/>
          <w:szCs w:val="26"/>
        </w:rPr>
        <w:t>018 год)</w:t>
      </w:r>
      <w:r w:rsidRPr="004412AC">
        <w:rPr>
          <w:sz w:val="26"/>
          <w:szCs w:val="26"/>
        </w:rPr>
        <w:t>, рост наблюдался</w:t>
      </w:r>
      <w:r w:rsidR="00455301">
        <w:rPr>
          <w:sz w:val="26"/>
          <w:szCs w:val="26"/>
        </w:rPr>
        <w:t>,</w:t>
      </w:r>
      <w:r w:rsidRPr="004412AC">
        <w:rPr>
          <w:sz w:val="26"/>
          <w:szCs w:val="26"/>
        </w:rPr>
        <w:t xml:space="preserve"> в основном</w:t>
      </w:r>
      <w:r w:rsidR="00455301">
        <w:rPr>
          <w:sz w:val="26"/>
          <w:szCs w:val="26"/>
        </w:rPr>
        <w:t>,</w:t>
      </w:r>
      <w:r w:rsidRPr="004412AC">
        <w:rPr>
          <w:sz w:val="26"/>
          <w:szCs w:val="26"/>
        </w:rPr>
        <w:t xml:space="preserve"> за счёт доходов от кредитов и займов, в том числе от международных облигаций,</w:t>
      </w:r>
      <w:r>
        <w:rPr>
          <w:sz w:val="26"/>
          <w:szCs w:val="26"/>
        </w:rPr>
        <w:t xml:space="preserve"> </w:t>
      </w:r>
      <w:r w:rsidRPr="00041C33">
        <w:rPr>
          <w:i/>
          <w:sz w:val="26"/>
          <w:szCs w:val="26"/>
        </w:rPr>
        <w:t>(</w:t>
      </w:r>
      <w:r w:rsidR="00DE1F08" w:rsidRPr="00041C33">
        <w:rPr>
          <w:i/>
          <w:sz w:val="26"/>
          <w:szCs w:val="26"/>
        </w:rPr>
        <w:t>730</w:t>
      </w:r>
      <w:r w:rsidRPr="00041C33">
        <w:rPr>
          <w:i/>
          <w:sz w:val="26"/>
          <w:szCs w:val="26"/>
        </w:rPr>
        <w:t xml:space="preserve"> млн. долл. </w:t>
      </w:r>
      <w:r w:rsidR="00864443">
        <w:rPr>
          <w:i/>
          <w:sz w:val="26"/>
          <w:szCs w:val="26"/>
        </w:rPr>
        <w:br/>
      </w:r>
      <w:r w:rsidRPr="00041C33">
        <w:rPr>
          <w:i/>
          <w:sz w:val="26"/>
          <w:szCs w:val="26"/>
        </w:rPr>
        <w:t xml:space="preserve">– за </w:t>
      </w:r>
      <w:r w:rsidR="00864443">
        <w:rPr>
          <w:i/>
          <w:sz w:val="26"/>
          <w:szCs w:val="26"/>
        </w:rPr>
        <w:t>2019 </w:t>
      </w:r>
      <w:r w:rsidRPr="00041C33">
        <w:rPr>
          <w:i/>
          <w:sz w:val="26"/>
          <w:szCs w:val="26"/>
        </w:rPr>
        <w:t>г</w:t>
      </w:r>
      <w:r w:rsidR="00864443">
        <w:rPr>
          <w:i/>
          <w:sz w:val="26"/>
          <w:szCs w:val="26"/>
        </w:rPr>
        <w:t>од</w:t>
      </w:r>
      <w:r w:rsidRPr="00041C33">
        <w:rPr>
          <w:i/>
          <w:sz w:val="26"/>
          <w:szCs w:val="26"/>
        </w:rPr>
        <w:t xml:space="preserve">, </w:t>
      </w:r>
      <w:r w:rsidR="00DE1F08" w:rsidRPr="00041C33">
        <w:rPr>
          <w:i/>
          <w:sz w:val="26"/>
          <w:szCs w:val="26"/>
        </w:rPr>
        <w:t>516</w:t>
      </w:r>
      <w:r w:rsidRPr="00041C33">
        <w:rPr>
          <w:i/>
          <w:sz w:val="26"/>
          <w:szCs w:val="26"/>
        </w:rPr>
        <w:t xml:space="preserve"> млн. долл. </w:t>
      </w:r>
      <w:r w:rsidR="007356A0" w:rsidRPr="00041C33">
        <w:rPr>
          <w:i/>
          <w:sz w:val="26"/>
          <w:szCs w:val="26"/>
        </w:rPr>
        <w:t>–</w:t>
      </w:r>
      <w:r w:rsidRPr="00041C33">
        <w:rPr>
          <w:i/>
          <w:sz w:val="26"/>
          <w:szCs w:val="26"/>
        </w:rPr>
        <w:t xml:space="preserve"> за 2018</w:t>
      </w:r>
      <w:r w:rsidR="00864443">
        <w:rPr>
          <w:i/>
          <w:sz w:val="26"/>
          <w:szCs w:val="26"/>
        </w:rPr>
        <w:t> </w:t>
      </w:r>
      <w:r w:rsidRPr="00041C33">
        <w:rPr>
          <w:i/>
          <w:sz w:val="26"/>
          <w:szCs w:val="26"/>
        </w:rPr>
        <w:t>г</w:t>
      </w:r>
      <w:r w:rsidR="00864443">
        <w:rPr>
          <w:i/>
          <w:sz w:val="26"/>
          <w:szCs w:val="26"/>
        </w:rPr>
        <w:t>од</w:t>
      </w:r>
      <w:r w:rsidRPr="00041C33">
        <w:rPr>
          <w:i/>
          <w:sz w:val="26"/>
          <w:szCs w:val="26"/>
        </w:rPr>
        <w:t>)</w:t>
      </w:r>
      <w:r w:rsidRPr="00041C33">
        <w:rPr>
          <w:sz w:val="26"/>
          <w:szCs w:val="26"/>
        </w:rPr>
        <w:t xml:space="preserve">. При этом, </w:t>
      </w:r>
      <w:r w:rsidR="007356A0" w:rsidRPr="00041C33">
        <w:rPr>
          <w:sz w:val="26"/>
          <w:szCs w:val="26"/>
        </w:rPr>
        <w:t>доходы</w:t>
      </w:r>
      <w:r w:rsidRPr="00041C33">
        <w:rPr>
          <w:sz w:val="26"/>
          <w:szCs w:val="26"/>
        </w:rPr>
        <w:t xml:space="preserve"> от прямых инвестиций </w:t>
      </w:r>
      <w:r w:rsidRPr="00041C33">
        <w:rPr>
          <w:sz w:val="26"/>
          <w:szCs w:val="26"/>
        </w:rPr>
        <w:lastRenderedPageBreak/>
        <w:t xml:space="preserve">составили </w:t>
      </w:r>
      <w:r w:rsidR="00DE1F08" w:rsidRPr="00041C33">
        <w:rPr>
          <w:sz w:val="26"/>
          <w:szCs w:val="26"/>
        </w:rPr>
        <w:t>1,3</w:t>
      </w:r>
      <w:r w:rsidRPr="00041C33">
        <w:rPr>
          <w:sz w:val="26"/>
          <w:szCs w:val="26"/>
        </w:rPr>
        <w:t xml:space="preserve"> мл</w:t>
      </w:r>
      <w:r w:rsidR="00DE1F08" w:rsidRPr="00041C33">
        <w:rPr>
          <w:sz w:val="26"/>
          <w:szCs w:val="26"/>
        </w:rPr>
        <w:t>рд</w:t>
      </w:r>
      <w:r w:rsidRPr="00041C33">
        <w:rPr>
          <w:sz w:val="26"/>
          <w:szCs w:val="26"/>
        </w:rPr>
        <w:t xml:space="preserve">. долл. </w:t>
      </w:r>
      <w:r w:rsidRPr="00041C33">
        <w:rPr>
          <w:i/>
          <w:sz w:val="26"/>
          <w:szCs w:val="26"/>
        </w:rPr>
        <w:t>(</w:t>
      </w:r>
      <w:r w:rsidR="0080693F" w:rsidRPr="00041C33">
        <w:rPr>
          <w:i/>
          <w:sz w:val="26"/>
          <w:szCs w:val="26"/>
        </w:rPr>
        <w:t>1,1</w:t>
      </w:r>
      <w:r w:rsidRPr="00041C33">
        <w:rPr>
          <w:i/>
          <w:sz w:val="26"/>
          <w:szCs w:val="26"/>
        </w:rPr>
        <w:t xml:space="preserve"> мл</w:t>
      </w:r>
      <w:r w:rsidR="0080693F" w:rsidRPr="00041C33">
        <w:rPr>
          <w:i/>
          <w:sz w:val="26"/>
          <w:szCs w:val="26"/>
        </w:rPr>
        <w:t>рд.</w:t>
      </w:r>
      <w:r w:rsidRPr="00041C33">
        <w:rPr>
          <w:i/>
          <w:sz w:val="26"/>
          <w:szCs w:val="26"/>
        </w:rPr>
        <w:t xml:space="preserve"> долл. </w:t>
      </w:r>
      <w:r w:rsidR="007356A0" w:rsidRPr="00041C33">
        <w:rPr>
          <w:i/>
          <w:sz w:val="26"/>
          <w:szCs w:val="26"/>
        </w:rPr>
        <w:t>–</w:t>
      </w:r>
      <w:r w:rsidRPr="00041C33">
        <w:rPr>
          <w:i/>
          <w:sz w:val="26"/>
          <w:szCs w:val="26"/>
        </w:rPr>
        <w:t xml:space="preserve"> за 2018 год)</w:t>
      </w:r>
      <w:r w:rsidRPr="00041C33">
        <w:rPr>
          <w:sz w:val="26"/>
          <w:szCs w:val="26"/>
        </w:rPr>
        <w:t>.</w:t>
      </w:r>
    </w:p>
    <w:p w:rsidR="00606A87" w:rsidRPr="00573CE2" w:rsidRDefault="004412AC" w:rsidP="004412AC">
      <w:pPr>
        <w:spacing w:before="120" w:line="288" w:lineRule="auto"/>
        <w:ind w:firstLine="709"/>
        <w:jc w:val="both"/>
        <w:rPr>
          <w:spacing w:val="-2"/>
          <w:sz w:val="26"/>
          <w:szCs w:val="26"/>
        </w:rPr>
      </w:pPr>
      <w:r w:rsidRPr="005B0733">
        <w:rPr>
          <w:spacing w:val="-2"/>
          <w:sz w:val="26"/>
          <w:szCs w:val="26"/>
        </w:rPr>
        <w:t xml:space="preserve">Реинвестированные доходы иностранных инвесторов в рассматриваемом периоде были равны </w:t>
      </w:r>
      <w:r w:rsidR="0080693F" w:rsidRPr="005B0733">
        <w:rPr>
          <w:spacing w:val="-2"/>
          <w:sz w:val="26"/>
          <w:szCs w:val="26"/>
        </w:rPr>
        <w:t>55</w:t>
      </w:r>
      <w:r w:rsidRPr="005B0733">
        <w:rPr>
          <w:spacing w:val="-2"/>
          <w:sz w:val="26"/>
          <w:szCs w:val="26"/>
        </w:rPr>
        <w:t xml:space="preserve">% от общей суммы доходов от прямых инвестиций </w:t>
      </w:r>
      <w:r w:rsidRPr="00864443">
        <w:rPr>
          <w:i/>
          <w:spacing w:val="-2"/>
          <w:sz w:val="26"/>
          <w:szCs w:val="26"/>
        </w:rPr>
        <w:t xml:space="preserve">(61% </w:t>
      </w:r>
      <w:r w:rsidR="00864443" w:rsidRPr="00864443">
        <w:rPr>
          <w:i/>
          <w:spacing w:val="-2"/>
          <w:sz w:val="26"/>
          <w:szCs w:val="26"/>
        </w:rPr>
        <w:t xml:space="preserve">в 2018 </w:t>
      </w:r>
      <w:r w:rsidRPr="00864443">
        <w:rPr>
          <w:i/>
          <w:spacing w:val="-2"/>
          <w:sz w:val="26"/>
          <w:szCs w:val="26"/>
        </w:rPr>
        <w:t>год</w:t>
      </w:r>
      <w:r w:rsidR="00864443" w:rsidRPr="00864443">
        <w:rPr>
          <w:i/>
          <w:spacing w:val="-2"/>
          <w:sz w:val="26"/>
          <w:szCs w:val="26"/>
        </w:rPr>
        <w:t>у</w:t>
      </w:r>
      <w:r w:rsidRPr="00864443">
        <w:rPr>
          <w:i/>
          <w:spacing w:val="-2"/>
          <w:sz w:val="26"/>
          <w:szCs w:val="26"/>
        </w:rPr>
        <w:t>)</w:t>
      </w:r>
      <w:r w:rsidRPr="00573CE2">
        <w:rPr>
          <w:spacing w:val="-2"/>
          <w:sz w:val="26"/>
          <w:szCs w:val="26"/>
        </w:rPr>
        <w:t>.</w:t>
      </w:r>
    </w:p>
    <w:p w:rsidR="000860D7" w:rsidRPr="00441607" w:rsidRDefault="000860D7" w:rsidP="000F5946">
      <w:pPr>
        <w:pStyle w:val="21"/>
        <w:spacing w:before="160" w:after="200"/>
        <w:ind w:left="0" w:firstLine="709"/>
        <w:rPr>
          <w:rFonts w:ascii="Calibri" w:hAnsi="Calibri"/>
          <w:b w:val="0"/>
        </w:rPr>
      </w:pPr>
      <w:bookmarkStart w:id="8" w:name="_Toc35458608"/>
      <w:r w:rsidRPr="00441607">
        <w:rPr>
          <w:rFonts w:ascii="Calibri" w:hAnsi="Calibri"/>
        </w:rPr>
        <w:t>ВТОРИЧНЫЕ ДОХОДЫ</w:t>
      </w:r>
      <w:bookmarkEnd w:id="8"/>
    </w:p>
    <w:p w:rsidR="000860D7" w:rsidRPr="009E6965" w:rsidRDefault="000860D7" w:rsidP="000860D7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FC475F">
        <w:rPr>
          <w:sz w:val="26"/>
          <w:szCs w:val="26"/>
        </w:rPr>
        <w:t xml:space="preserve">Положительное сальдо вторичных </w:t>
      </w:r>
      <w:r w:rsidRPr="005B0733">
        <w:rPr>
          <w:sz w:val="26"/>
          <w:szCs w:val="26"/>
        </w:rPr>
        <w:t xml:space="preserve">доходов </w:t>
      </w:r>
      <w:r w:rsidR="00864443">
        <w:rPr>
          <w:sz w:val="26"/>
          <w:szCs w:val="26"/>
        </w:rPr>
        <w:t>достигло</w:t>
      </w:r>
      <w:r w:rsidRPr="005B0733">
        <w:rPr>
          <w:sz w:val="26"/>
          <w:szCs w:val="26"/>
        </w:rPr>
        <w:t xml:space="preserve"> </w:t>
      </w:r>
      <w:r w:rsidR="003C7E7B" w:rsidRPr="005B0733">
        <w:rPr>
          <w:sz w:val="26"/>
          <w:szCs w:val="26"/>
        </w:rPr>
        <w:t>5</w:t>
      </w:r>
      <w:r w:rsidR="003C7A33" w:rsidRPr="005B0733">
        <w:rPr>
          <w:sz w:val="26"/>
          <w:szCs w:val="26"/>
        </w:rPr>
        <w:t>,</w:t>
      </w:r>
      <w:r w:rsidR="003C7E7B" w:rsidRPr="005B0733">
        <w:rPr>
          <w:sz w:val="26"/>
          <w:szCs w:val="26"/>
        </w:rPr>
        <w:t>5</w:t>
      </w:r>
      <w:r w:rsidRPr="005B0733">
        <w:rPr>
          <w:sz w:val="26"/>
          <w:szCs w:val="26"/>
        </w:rPr>
        <w:t xml:space="preserve"> мл</w:t>
      </w:r>
      <w:r w:rsidR="003C7A33" w:rsidRPr="005B0733">
        <w:rPr>
          <w:sz w:val="26"/>
          <w:szCs w:val="26"/>
        </w:rPr>
        <w:t>рд</w:t>
      </w:r>
      <w:r w:rsidRPr="005B0733">
        <w:rPr>
          <w:sz w:val="26"/>
          <w:szCs w:val="26"/>
        </w:rPr>
        <w:t>. долл.</w:t>
      </w:r>
      <w:r w:rsidRPr="005B0733">
        <w:rPr>
          <w:i/>
          <w:sz w:val="26"/>
          <w:szCs w:val="26"/>
        </w:rPr>
        <w:t xml:space="preserve"> (</w:t>
      </w:r>
      <w:r w:rsidR="003C7E7B" w:rsidRPr="005B0733">
        <w:rPr>
          <w:i/>
          <w:sz w:val="26"/>
          <w:szCs w:val="26"/>
        </w:rPr>
        <w:t>4</w:t>
      </w:r>
      <w:r w:rsidR="003C7A33" w:rsidRPr="005B0733">
        <w:rPr>
          <w:i/>
          <w:sz w:val="26"/>
          <w:szCs w:val="26"/>
        </w:rPr>
        <w:t>,</w:t>
      </w:r>
      <w:r w:rsidR="003C7E7B" w:rsidRPr="005B0733">
        <w:rPr>
          <w:i/>
          <w:sz w:val="26"/>
          <w:szCs w:val="26"/>
        </w:rPr>
        <w:t>2</w:t>
      </w:r>
      <w:r w:rsidRPr="005B0733">
        <w:rPr>
          <w:i/>
          <w:sz w:val="26"/>
          <w:szCs w:val="26"/>
        </w:rPr>
        <w:t xml:space="preserve"> мл</w:t>
      </w:r>
      <w:r w:rsidR="003C7A33" w:rsidRPr="005B0733">
        <w:rPr>
          <w:i/>
          <w:sz w:val="26"/>
          <w:szCs w:val="26"/>
        </w:rPr>
        <w:t>рд</w:t>
      </w:r>
      <w:r w:rsidRPr="005B0733">
        <w:rPr>
          <w:i/>
          <w:sz w:val="26"/>
          <w:szCs w:val="26"/>
        </w:rPr>
        <w:t xml:space="preserve">. долл. </w:t>
      </w:r>
      <w:r w:rsidR="00D66451" w:rsidRPr="005B0733">
        <w:rPr>
          <w:i/>
          <w:sz w:val="26"/>
          <w:szCs w:val="26"/>
        </w:rPr>
        <w:t xml:space="preserve">за </w:t>
      </w:r>
      <w:r w:rsidRPr="005B0733">
        <w:rPr>
          <w:i/>
          <w:sz w:val="26"/>
          <w:szCs w:val="26"/>
        </w:rPr>
        <w:t>201</w:t>
      </w:r>
      <w:r w:rsidR="00E6792F" w:rsidRPr="005B0733">
        <w:rPr>
          <w:i/>
          <w:sz w:val="26"/>
          <w:szCs w:val="26"/>
        </w:rPr>
        <w:t>8</w:t>
      </w:r>
      <w:r w:rsidRPr="005B0733">
        <w:rPr>
          <w:i/>
          <w:sz w:val="26"/>
          <w:szCs w:val="26"/>
        </w:rPr>
        <w:t xml:space="preserve"> год)</w:t>
      </w:r>
      <w:r w:rsidR="00E6792F" w:rsidRPr="005B0733">
        <w:rPr>
          <w:sz w:val="26"/>
          <w:szCs w:val="26"/>
        </w:rPr>
        <w:t>, которое обеспечива</w:t>
      </w:r>
      <w:r w:rsidR="00864443">
        <w:rPr>
          <w:sz w:val="26"/>
          <w:szCs w:val="26"/>
        </w:rPr>
        <w:t>л</w:t>
      </w:r>
      <w:r w:rsidR="00E6792F" w:rsidRPr="005B0733">
        <w:rPr>
          <w:sz w:val="26"/>
          <w:szCs w:val="26"/>
        </w:rPr>
        <w:t>ся</w:t>
      </w:r>
      <w:r w:rsidRPr="005B0733">
        <w:rPr>
          <w:sz w:val="26"/>
          <w:szCs w:val="26"/>
        </w:rPr>
        <w:t xml:space="preserve">, в основном, за счёт объёмов </w:t>
      </w:r>
      <w:r w:rsidR="00864443">
        <w:rPr>
          <w:sz w:val="26"/>
          <w:szCs w:val="26"/>
        </w:rPr>
        <w:t xml:space="preserve">трансграничных </w:t>
      </w:r>
      <w:r w:rsidRPr="005B0733">
        <w:rPr>
          <w:sz w:val="26"/>
          <w:szCs w:val="26"/>
        </w:rPr>
        <w:t>денежных переводов долгосрочных трудовых мигрантов.</w:t>
      </w:r>
    </w:p>
    <w:p w:rsidR="000860D7" w:rsidRPr="009E6965" w:rsidRDefault="00864443" w:rsidP="000860D7">
      <w:pPr>
        <w:spacing w:before="120"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Данные переводы являясь безвозмездными</w:t>
      </w:r>
      <w:r w:rsidR="000860D7" w:rsidRPr="009E6965">
        <w:rPr>
          <w:sz w:val="26"/>
          <w:szCs w:val="26"/>
        </w:rPr>
        <w:t xml:space="preserve"> </w:t>
      </w:r>
      <w:r w:rsidRPr="009E6965">
        <w:rPr>
          <w:sz w:val="26"/>
          <w:szCs w:val="26"/>
        </w:rPr>
        <w:t>трансферт</w:t>
      </w:r>
      <w:r>
        <w:rPr>
          <w:sz w:val="26"/>
          <w:szCs w:val="26"/>
        </w:rPr>
        <w:t>ами</w:t>
      </w:r>
      <w:r w:rsidRPr="009E6965">
        <w:rPr>
          <w:sz w:val="26"/>
          <w:szCs w:val="26"/>
        </w:rPr>
        <w:t xml:space="preserve"> </w:t>
      </w:r>
      <w:r w:rsidR="000860D7" w:rsidRPr="009E6965">
        <w:rPr>
          <w:sz w:val="26"/>
          <w:szCs w:val="26"/>
        </w:rPr>
        <w:t xml:space="preserve">физическим лицам – резидентам </w:t>
      </w:r>
      <w:r w:rsidR="000860D7" w:rsidRPr="00BB3DF7">
        <w:rPr>
          <w:i/>
          <w:sz w:val="26"/>
          <w:szCs w:val="26"/>
        </w:rPr>
        <w:t>(домохозяйствам)</w:t>
      </w:r>
      <w:r w:rsidR="000860D7" w:rsidRPr="009E6965">
        <w:rPr>
          <w:sz w:val="26"/>
          <w:szCs w:val="26"/>
        </w:rPr>
        <w:t xml:space="preserve"> из-за границы</w:t>
      </w:r>
      <w:r w:rsidR="00C67EA1">
        <w:rPr>
          <w:sz w:val="26"/>
          <w:szCs w:val="26"/>
        </w:rPr>
        <w:t>,</w:t>
      </w:r>
      <w:r w:rsidR="000860D7" w:rsidRPr="009E6965">
        <w:rPr>
          <w:sz w:val="26"/>
          <w:szCs w:val="26"/>
        </w:rPr>
        <w:t xml:space="preserve"> </w:t>
      </w:r>
      <w:r w:rsidR="00C67EA1">
        <w:rPr>
          <w:sz w:val="26"/>
          <w:szCs w:val="26"/>
        </w:rPr>
        <w:t xml:space="preserve">составляют </w:t>
      </w:r>
      <w:r w:rsidR="000860D7" w:rsidRPr="009E6965">
        <w:rPr>
          <w:sz w:val="26"/>
          <w:szCs w:val="26"/>
        </w:rPr>
        <w:t>основн</w:t>
      </w:r>
      <w:r w:rsidR="00C67EA1">
        <w:rPr>
          <w:sz w:val="26"/>
          <w:szCs w:val="26"/>
        </w:rPr>
        <w:t xml:space="preserve">ую часть </w:t>
      </w:r>
      <w:r w:rsidR="000860D7" w:rsidRPr="009E6965">
        <w:rPr>
          <w:sz w:val="26"/>
          <w:szCs w:val="26"/>
        </w:rPr>
        <w:t>компоненто</w:t>
      </w:r>
      <w:r w:rsidR="00C67EA1">
        <w:rPr>
          <w:sz w:val="26"/>
          <w:szCs w:val="26"/>
        </w:rPr>
        <w:t>в</w:t>
      </w:r>
      <w:r w:rsidR="000860D7" w:rsidRPr="009E6965">
        <w:rPr>
          <w:sz w:val="26"/>
          <w:szCs w:val="26"/>
        </w:rPr>
        <w:t xml:space="preserve"> статьи вторичных доходов. При этом, трансфертные переводы в адрес домашних хозяйств поступают преимущественно через системы международных денежных переводов. В свою очередь, </w:t>
      </w:r>
      <w:r w:rsidR="003C7A33" w:rsidRPr="009E6965">
        <w:rPr>
          <w:sz w:val="26"/>
          <w:szCs w:val="26"/>
          <w:lang w:val="uz-Cyrl-UZ"/>
        </w:rPr>
        <w:t xml:space="preserve">изучение показало, что </w:t>
      </w:r>
      <w:r w:rsidR="000860D7" w:rsidRPr="009E6965">
        <w:rPr>
          <w:sz w:val="26"/>
          <w:szCs w:val="26"/>
        </w:rPr>
        <w:t xml:space="preserve">выплаченные трансферты представляют собой </w:t>
      </w:r>
      <w:r w:rsidR="005D19BD">
        <w:rPr>
          <w:sz w:val="26"/>
          <w:szCs w:val="26"/>
        </w:rPr>
        <w:t>трансграничные переводы</w:t>
      </w:r>
      <w:r w:rsidR="000860D7" w:rsidRPr="009E6965">
        <w:rPr>
          <w:sz w:val="26"/>
          <w:szCs w:val="26"/>
        </w:rPr>
        <w:t xml:space="preserve">, отправленные резидентами нерезидентам </w:t>
      </w:r>
      <w:r w:rsidR="000860D7" w:rsidRPr="009E6965">
        <w:rPr>
          <w:color w:val="0070C0"/>
          <w:sz w:val="26"/>
          <w:szCs w:val="26"/>
        </w:rPr>
        <w:t xml:space="preserve">(Диаграмма </w:t>
      </w:r>
      <w:r w:rsidR="009103CC">
        <w:rPr>
          <w:color w:val="0070C0"/>
          <w:sz w:val="26"/>
          <w:szCs w:val="26"/>
        </w:rPr>
        <w:t>1</w:t>
      </w:r>
      <w:r w:rsidR="00007D35">
        <w:rPr>
          <w:color w:val="0070C0"/>
          <w:sz w:val="26"/>
          <w:szCs w:val="26"/>
        </w:rPr>
        <w:t>0</w:t>
      </w:r>
      <w:r w:rsidR="000860D7" w:rsidRPr="009E6965">
        <w:rPr>
          <w:color w:val="0070C0"/>
          <w:sz w:val="26"/>
          <w:szCs w:val="26"/>
        </w:rPr>
        <w:t>)</w:t>
      </w:r>
      <w:r w:rsidR="000860D7" w:rsidRPr="009E6965">
        <w:rPr>
          <w:sz w:val="26"/>
          <w:szCs w:val="26"/>
        </w:rPr>
        <w:t>.</w:t>
      </w:r>
    </w:p>
    <w:p w:rsidR="003C7A33" w:rsidRPr="005B0733" w:rsidRDefault="003C7A33" w:rsidP="003C7A33">
      <w:pPr>
        <w:jc w:val="right"/>
      </w:pPr>
      <w:r w:rsidRPr="005B0733">
        <w:t xml:space="preserve">Диаграмма </w:t>
      </w:r>
      <w:r w:rsidR="009103CC" w:rsidRPr="005B0733">
        <w:t>1</w:t>
      </w:r>
      <w:r w:rsidR="00007D35">
        <w:t>0</w:t>
      </w:r>
    </w:p>
    <w:p w:rsidR="003C7A33" w:rsidRPr="005B0733" w:rsidRDefault="003C7A33" w:rsidP="003C7A33">
      <w:pPr>
        <w:jc w:val="center"/>
        <w:rPr>
          <w:b/>
          <w:sz w:val="28"/>
          <w:szCs w:val="28"/>
        </w:rPr>
      </w:pPr>
      <w:r w:rsidRPr="005B0733">
        <w:rPr>
          <w:b/>
          <w:sz w:val="28"/>
          <w:szCs w:val="28"/>
          <w:lang w:val="uz-Cyrl-UZ"/>
        </w:rPr>
        <w:t>ТЕК</w:t>
      </w:r>
      <w:r w:rsidRPr="005B0733">
        <w:rPr>
          <w:b/>
          <w:sz w:val="28"/>
          <w:szCs w:val="28"/>
        </w:rPr>
        <w:t>УЩИЕ ТРАНСФЕРТЫ</w:t>
      </w:r>
    </w:p>
    <w:p w:rsidR="003C7A33" w:rsidRPr="005B0733" w:rsidRDefault="003C7A33" w:rsidP="003C7A33">
      <w:pPr>
        <w:jc w:val="right"/>
        <w:rPr>
          <w:i/>
        </w:rPr>
      </w:pPr>
      <w:r w:rsidRPr="005B0733">
        <w:rPr>
          <w:i/>
        </w:rPr>
        <w:t>(млн. долл.)</w:t>
      </w:r>
    </w:p>
    <w:p w:rsidR="003C7A33" w:rsidRPr="009E6965" w:rsidRDefault="00B800C8" w:rsidP="00BF2CD8">
      <w:pPr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299835" cy="3881887"/>
            <wp:effectExtent l="0" t="0" r="5715" b="444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860D7" w:rsidRPr="009E6965" w:rsidRDefault="000860D7" w:rsidP="000860D7">
      <w:pPr>
        <w:tabs>
          <w:tab w:val="left" w:pos="7875"/>
        </w:tabs>
        <w:spacing w:before="120" w:line="288" w:lineRule="auto"/>
        <w:ind w:firstLine="709"/>
        <w:jc w:val="both"/>
        <w:rPr>
          <w:sz w:val="26"/>
          <w:szCs w:val="26"/>
        </w:rPr>
      </w:pPr>
      <w:r w:rsidRPr="009E6965">
        <w:rPr>
          <w:sz w:val="26"/>
          <w:szCs w:val="26"/>
        </w:rPr>
        <w:t xml:space="preserve">Поступления вторичных доходов </w:t>
      </w:r>
      <w:r w:rsidR="00DF235F">
        <w:rPr>
          <w:sz w:val="26"/>
          <w:szCs w:val="26"/>
        </w:rPr>
        <w:t>в течени</w:t>
      </w:r>
      <w:r w:rsidR="0029494C">
        <w:rPr>
          <w:sz w:val="26"/>
          <w:szCs w:val="26"/>
        </w:rPr>
        <w:t>и</w:t>
      </w:r>
      <w:r w:rsidR="00DF235F">
        <w:rPr>
          <w:sz w:val="26"/>
          <w:szCs w:val="26"/>
        </w:rPr>
        <w:t xml:space="preserve"> 2019 </w:t>
      </w:r>
      <w:r w:rsidR="007E7462">
        <w:rPr>
          <w:sz w:val="26"/>
          <w:szCs w:val="26"/>
        </w:rPr>
        <w:t>года,</w:t>
      </w:r>
      <w:r w:rsidR="00DF235F" w:rsidRPr="009E6965">
        <w:rPr>
          <w:sz w:val="26"/>
          <w:szCs w:val="26"/>
        </w:rPr>
        <w:t xml:space="preserve"> </w:t>
      </w:r>
      <w:r w:rsidRPr="009E6965">
        <w:rPr>
          <w:sz w:val="26"/>
          <w:szCs w:val="26"/>
        </w:rPr>
        <w:t xml:space="preserve">как и в </w:t>
      </w:r>
      <w:r w:rsidR="00126CD3">
        <w:rPr>
          <w:sz w:val="26"/>
          <w:szCs w:val="26"/>
        </w:rPr>
        <w:t xml:space="preserve">прошлых </w:t>
      </w:r>
      <w:r w:rsidR="00DF235F">
        <w:rPr>
          <w:sz w:val="26"/>
          <w:szCs w:val="26"/>
        </w:rPr>
        <w:t>периодах</w:t>
      </w:r>
      <w:r w:rsidRPr="009E6965">
        <w:rPr>
          <w:sz w:val="26"/>
          <w:szCs w:val="26"/>
        </w:rPr>
        <w:t xml:space="preserve"> продолжают иметь сезонный характер. Также, часть трансграничных денежных переводов, поступающих гражданам Узбекистана, пересылаются их родственниками, </w:t>
      </w:r>
      <w:r w:rsidRPr="009E6965">
        <w:rPr>
          <w:sz w:val="26"/>
          <w:szCs w:val="26"/>
        </w:rPr>
        <w:lastRenderedPageBreak/>
        <w:t xml:space="preserve">постоянно находящимися, либо проживающими за границей </w:t>
      </w:r>
      <w:r w:rsidRPr="009E6965">
        <w:rPr>
          <w:color w:val="0070C0"/>
          <w:sz w:val="26"/>
          <w:szCs w:val="26"/>
        </w:rPr>
        <w:t>(Диаграмма 1</w:t>
      </w:r>
      <w:r w:rsidR="00007D35">
        <w:rPr>
          <w:color w:val="0070C0"/>
          <w:sz w:val="26"/>
          <w:szCs w:val="26"/>
        </w:rPr>
        <w:t>1</w:t>
      </w:r>
      <w:r w:rsidRPr="009E6965">
        <w:rPr>
          <w:color w:val="0070C0"/>
          <w:sz w:val="26"/>
          <w:szCs w:val="26"/>
        </w:rPr>
        <w:t>)</w:t>
      </w:r>
      <w:r w:rsidRPr="009E6965">
        <w:rPr>
          <w:sz w:val="26"/>
          <w:szCs w:val="26"/>
        </w:rPr>
        <w:t>.</w:t>
      </w:r>
    </w:p>
    <w:p w:rsidR="000860D7" w:rsidRPr="009E6965" w:rsidRDefault="000860D7" w:rsidP="000860D7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9E6965">
        <w:rPr>
          <w:sz w:val="26"/>
          <w:szCs w:val="26"/>
        </w:rPr>
        <w:t xml:space="preserve">Следует отметить, что на практике денежные переводы могут не только использоваться краткосрочными работниками для направления средств своим семьям </w:t>
      </w:r>
      <w:r w:rsidR="00C67EA1">
        <w:rPr>
          <w:sz w:val="26"/>
          <w:szCs w:val="26"/>
        </w:rPr>
        <w:br/>
      </w:r>
      <w:r w:rsidRPr="009E6965">
        <w:rPr>
          <w:sz w:val="26"/>
          <w:szCs w:val="26"/>
        </w:rPr>
        <w:t xml:space="preserve">и нерезидентами </w:t>
      </w:r>
      <w:r w:rsidRPr="00BB3DF7">
        <w:rPr>
          <w:i/>
          <w:sz w:val="26"/>
          <w:szCs w:val="26"/>
        </w:rPr>
        <w:t>(которые включают работников, пребывающих за границей более одного года)</w:t>
      </w:r>
      <w:r w:rsidRPr="009E6965">
        <w:rPr>
          <w:sz w:val="26"/>
          <w:szCs w:val="26"/>
        </w:rPr>
        <w:t>, но и осуществляться в целях совершения расчётов по внешнеторговым операциям. В этой связи, сумма денежных переводов и наличного ввоза иностранной валюты физическими лицами – резидентами продолжает уменьшаться на сумму</w:t>
      </w:r>
      <w:r w:rsidR="0053563D" w:rsidRPr="009E6965">
        <w:rPr>
          <w:sz w:val="26"/>
          <w:szCs w:val="26"/>
        </w:rPr>
        <w:t>, оценённого на основании опроса</w:t>
      </w:r>
      <w:r w:rsidRPr="009E6965">
        <w:rPr>
          <w:sz w:val="26"/>
          <w:szCs w:val="26"/>
        </w:rPr>
        <w:t xml:space="preserve"> челночного экспорта.</w:t>
      </w:r>
    </w:p>
    <w:p w:rsidR="005D6CAC" w:rsidRPr="005B0733" w:rsidRDefault="005D6CAC" w:rsidP="00577F40">
      <w:pPr>
        <w:spacing w:after="80"/>
        <w:jc w:val="right"/>
      </w:pPr>
      <w:r w:rsidRPr="005B0733">
        <w:t>Диаграмма 1</w:t>
      </w:r>
      <w:r w:rsidR="00007D35">
        <w:t>1</w:t>
      </w:r>
    </w:p>
    <w:p w:rsidR="005D6CAC" w:rsidRPr="005B0733" w:rsidRDefault="005D6CAC" w:rsidP="005D6CAC">
      <w:pPr>
        <w:jc w:val="center"/>
        <w:rPr>
          <w:b/>
          <w:sz w:val="28"/>
          <w:szCs w:val="28"/>
          <w:lang w:val="uz-Cyrl-UZ"/>
        </w:rPr>
      </w:pPr>
      <w:r w:rsidRPr="005B0733">
        <w:rPr>
          <w:b/>
          <w:sz w:val="28"/>
          <w:szCs w:val="28"/>
          <w:lang w:val="uz-Cyrl-UZ"/>
        </w:rPr>
        <w:t>ОСНОВНЫЕ ИСТОЧНИКИ ПОСТУПЛЕНИЙ ФИЗИЧЕСКИМ ЛИЦАМ</w:t>
      </w:r>
    </w:p>
    <w:p w:rsidR="005D6CAC" w:rsidRPr="005B0733" w:rsidRDefault="005D6CAC" w:rsidP="005D6CAC">
      <w:pPr>
        <w:jc w:val="center"/>
        <w:rPr>
          <w:b/>
          <w:sz w:val="10"/>
          <w:szCs w:val="10"/>
        </w:rPr>
      </w:pPr>
    </w:p>
    <w:p w:rsidR="005D6CAC" w:rsidRPr="005B0733" w:rsidRDefault="005D6CAC" w:rsidP="005D6CAC">
      <w:pPr>
        <w:jc w:val="right"/>
        <w:rPr>
          <w:i/>
        </w:rPr>
      </w:pPr>
      <w:r w:rsidRPr="005B0733">
        <w:rPr>
          <w:i/>
        </w:rPr>
        <w:t>(млн. долл.)</w:t>
      </w:r>
    </w:p>
    <w:p w:rsidR="005D6CAC" w:rsidRDefault="001554DC" w:rsidP="005D6CAC">
      <w:pPr>
        <w:spacing w:before="120" w:line="288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400800" cy="3998794"/>
            <wp:effectExtent l="0" t="0" r="0" b="190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90F03" w:rsidRPr="009E6965" w:rsidRDefault="00C01587" w:rsidP="00C01587">
      <w:pPr>
        <w:spacing w:before="120"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Наблюдавшиеся в течен</w:t>
      </w:r>
      <w:r w:rsidR="003B5CE9">
        <w:rPr>
          <w:sz w:val="26"/>
          <w:szCs w:val="26"/>
        </w:rPr>
        <w:t>ие</w:t>
      </w:r>
      <w:r>
        <w:rPr>
          <w:sz w:val="26"/>
          <w:szCs w:val="26"/>
        </w:rPr>
        <w:t xml:space="preserve"> 2014-2019 годов изменения в тренде денежных переводов и наличного ввоза иностранных валют показывают влияние изменения данных внешних потоков на сальдо вторичного счёта. Так</w:t>
      </w:r>
      <w:r w:rsidR="003B5CE9">
        <w:rPr>
          <w:sz w:val="26"/>
          <w:szCs w:val="26"/>
        </w:rPr>
        <w:t>,</w:t>
      </w:r>
      <w:r>
        <w:rPr>
          <w:sz w:val="26"/>
          <w:szCs w:val="26"/>
        </w:rPr>
        <w:t xml:space="preserve"> сокращение денежных переводов резидентам в 2015 году послужило основным фактором уменьшения сальдо текущего счёта.</w:t>
      </w:r>
      <w:r w:rsidR="00796D29">
        <w:rPr>
          <w:sz w:val="26"/>
          <w:szCs w:val="26"/>
        </w:rPr>
        <w:t xml:space="preserve"> При этом</w:t>
      </w:r>
      <w:r w:rsidR="00455301">
        <w:rPr>
          <w:sz w:val="26"/>
          <w:szCs w:val="26"/>
        </w:rPr>
        <w:t>,</w:t>
      </w:r>
      <w:r w:rsidR="00796D29">
        <w:rPr>
          <w:sz w:val="26"/>
          <w:szCs w:val="26"/>
        </w:rPr>
        <w:t xml:space="preserve"> в 2018-2019 годах</w:t>
      </w:r>
      <w:r w:rsidR="00BD73C7">
        <w:rPr>
          <w:sz w:val="26"/>
          <w:szCs w:val="26"/>
        </w:rPr>
        <w:t xml:space="preserve"> также наблюдается увеличение денежных переводов нерезидентам.</w:t>
      </w:r>
    </w:p>
    <w:p w:rsidR="000860D7" w:rsidRPr="009E6965" w:rsidRDefault="000860D7" w:rsidP="00DF01F0">
      <w:pPr>
        <w:pStyle w:val="1"/>
        <w:spacing w:after="240"/>
        <w:ind w:left="0" w:firstLine="709"/>
        <w:rPr>
          <w:rFonts w:ascii="Calibri" w:hAnsi="Calibri"/>
          <w:szCs w:val="28"/>
        </w:rPr>
      </w:pPr>
      <w:bookmarkStart w:id="9" w:name="_Toc35458609"/>
      <w:r w:rsidRPr="009E6965">
        <w:rPr>
          <w:rFonts w:ascii="Calibri" w:hAnsi="Calibri"/>
          <w:szCs w:val="28"/>
        </w:rPr>
        <w:t>СЧЁТ ОПЕРАЦИЙ С КАПИТАЛОМ</w:t>
      </w:r>
      <w:bookmarkEnd w:id="9"/>
    </w:p>
    <w:p w:rsidR="005422CE" w:rsidRDefault="00E577C4" w:rsidP="005422CE">
      <w:pPr>
        <w:tabs>
          <w:tab w:val="left" w:pos="1560"/>
        </w:tabs>
        <w:spacing w:before="120" w:line="288" w:lineRule="auto"/>
        <w:ind w:firstLine="709"/>
        <w:jc w:val="both"/>
        <w:rPr>
          <w:noProof/>
          <w:sz w:val="26"/>
          <w:szCs w:val="26"/>
          <w:highlight w:val="yellow"/>
        </w:rPr>
        <w:sectPr w:rsidR="005422CE" w:rsidSect="00F71681">
          <w:pgSz w:w="11906" w:h="16838" w:code="9"/>
          <w:pgMar w:top="1134" w:right="851" w:bottom="851" w:left="1134" w:header="709" w:footer="0" w:gutter="0"/>
          <w:cols w:space="708"/>
          <w:titlePg/>
          <w:docGrid w:linePitch="360"/>
        </w:sectPr>
      </w:pPr>
      <w:r w:rsidRPr="0015749B">
        <w:rPr>
          <w:sz w:val="26"/>
          <w:szCs w:val="26"/>
        </w:rPr>
        <w:t xml:space="preserve">Положительное сальдо счёта операций с капиталом за </w:t>
      </w:r>
      <w:r w:rsidR="0029494C" w:rsidRPr="0015749B">
        <w:rPr>
          <w:sz w:val="26"/>
          <w:szCs w:val="26"/>
        </w:rPr>
        <w:t>2019 год</w:t>
      </w:r>
      <w:r w:rsidRPr="0015749B">
        <w:rPr>
          <w:sz w:val="26"/>
          <w:szCs w:val="26"/>
        </w:rPr>
        <w:t xml:space="preserve"> составило 2</w:t>
      </w:r>
      <w:r w:rsidR="00374598" w:rsidRPr="0015749B">
        <w:rPr>
          <w:sz w:val="26"/>
          <w:szCs w:val="26"/>
        </w:rPr>
        <w:t>54</w:t>
      </w:r>
      <w:r w:rsidRPr="0015749B">
        <w:rPr>
          <w:sz w:val="26"/>
          <w:szCs w:val="26"/>
        </w:rPr>
        <w:t xml:space="preserve"> </w:t>
      </w:r>
      <w:r w:rsidRPr="0015749B">
        <w:rPr>
          <w:sz w:val="26"/>
          <w:szCs w:val="26"/>
        </w:rPr>
        <w:lastRenderedPageBreak/>
        <w:t xml:space="preserve">млн. долл. </w:t>
      </w:r>
      <w:r w:rsidRPr="0015749B">
        <w:rPr>
          <w:i/>
          <w:sz w:val="26"/>
          <w:szCs w:val="26"/>
        </w:rPr>
        <w:t>(1</w:t>
      </w:r>
      <w:r w:rsidR="00374598" w:rsidRPr="0015749B">
        <w:rPr>
          <w:i/>
          <w:sz w:val="26"/>
          <w:szCs w:val="26"/>
        </w:rPr>
        <w:t>43</w:t>
      </w:r>
      <w:r w:rsidRPr="0015749B">
        <w:rPr>
          <w:i/>
          <w:sz w:val="26"/>
          <w:szCs w:val="26"/>
        </w:rPr>
        <w:t xml:space="preserve"> млн. долл. в 2018 году)</w:t>
      </w:r>
      <w:r w:rsidRPr="0015749B">
        <w:rPr>
          <w:sz w:val="26"/>
          <w:szCs w:val="26"/>
        </w:rPr>
        <w:t xml:space="preserve"> в результате поступления крупных трансфер</w:t>
      </w:r>
      <w:r w:rsidRPr="00E577C4">
        <w:rPr>
          <w:sz w:val="26"/>
          <w:szCs w:val="26"/>
        </w:rPr>
        <w:t>тов</w:t>
      </w:r>
      <w:r w:rsidR="005D6CAC" w:rsidRPr="009E6965">
        <w:rPr>
          <w:sz w:val="26"/>
          <w:szCs w:val="26"/>
        </w:rPr>
        <w:t>.</w:t>
      </w:r>
    </w:p>
    <w:p w:rsidR="004973BC" w:rsidRPr="005A4143" w:rsidRDefault="004F340B" w:rsidP="00BD35FE">
      <w:pPr>
        <w:pStyle w:val="1"/>
        <w:spacing w:before="0" w:after="120"/>
        <w:ind w:left="709"/>
        <w:rPr>
          <w:rFonts w:ascii="Calibri" w:hAnsi="Calibri" w:cs="Calibri"/>
        </w:rPr>
      </w:pPr>
      <w:bookmarkStart w:id="10" w:name="_Toc35458610"/>
      <w:r w:rsidRPr="005A4143">
        <w:rPr>
          <w:rFonts w:ascii="Calibri" w:hAnsi="Calibri" w:cs="Calibri"/>
        </w:rPr>
        <w:lastRenderedPageBreak/>
        <w:t>ФИНАНСОВЫЙ СЧЁТ</w:t>
      </w:r>
      <w:bookmarkEnd w:id="10"/>
    </w:p>
    <w:p w:rsidR="00115FED" w:rsidRPr="00115FED" w:rsidRDefault="00115FED" w:rsidP="00454089">
      <w:pPr>
        <w:spacing w:before="120" w:line="288" w:lineRule="auto"/>
        <w:ind w:firstLine="709"/>
        <w:jc w:val="both"/>
        <w:rPr>
          <w:sz w:val="10"/>
          <w:szCs w:val="10"/>
        </w:rPr>
      </w:pPr>
    </w:p>
    <w:p w:rsidR="00567C61" w:rsidRPr="00454089" w:rsidRDefault="0035420D" w:rsidP="005422CE">
      <w:pPr>
        <w:tabs>
          <w:tab w:val="left" w:pos="4820"/>
        </w:tabs>
        <w:spacing w:before="120" w:line="288" w:lineRule="auto"/>
        <w:ind w:firstLine="709"/>
        <w:jc w:val="both"/>
        <w:rPr>
          <w:sz w:val="26"/>
          <w:szCs w:val="26"/>
        </w:rPr>
      </w:pPr>
      <w:r w:rsidRPr="00D82D46">
        <w:rPr>
          <w:sz w:val="26"/>
          <w:szCs w:val="26"/>
        </w:rPr>
        <w:t xml:space="preserve">Сальдо </w:t>
      </w:r>
      <w:r w:rsidR="00567C61" w:rsidRPr="00D82D46">
        <w:rPr>
          <w:sz w:val="26"/>
          <w:szCs w:val="26"/>
        </w:rPr>
        <w:t xml:space="preserve">финансового счёта </w:t>
      </w:r>
      <w:r w:rsidR="002E7DEE" w:rsidRPr="00D82D46">
        <w:rPr>
          <w:sz w:val="26"/>
          <w:szCs w:val="26"/>
        </w:rPr>
        <w:t>по итогам</w:t>
      </w:r>
      <w:r w:rsidR="00567C61" w:rsidRPr="00D82D46">
        <w:rPr>
          <w:sz w:val="26"/>
          <w:szCs w:val="26"/>
        </w:rPr>
        <w:t xml:space="preserve"> 2019 год</w:t>
      </w:r>
      <w:r w:rsidR="00555BE0">
        <w:rPr>
          <w:sz w:val="26"/>
          <w:szCs w:val="26"/>
        </w:rPr>
        <w:t>а</w:t>
      </w:r>
      <w:r w:rsidR="00567C61" w:rsidRPr="00D82D46">
        <w:rPr>
          <w:sz w:val="26"/>
          <w:szCs w:val="26"/>
        </w:rPr>
        <w:t xml:space="preserve"> </w:t>
      </w:r>
      <w:r w:rsidRPr="00D82D46">
        <w:rPr>
          <w:sz w:val="26"/>
          <w:szCs w:val="26"/>
        </w:rPr>
        <w:t>сложилось отрицательным</w:t>
      </w:r>
      <w:r w:rsidR="00975101" w:rsidRPr="00D82D46">
        <w:rPr>
          <w:sz w:val="26"/>
          <w:szCs w:val="26"/>
        </w:rPr>
        <w:t>,</w:t>
      </w:r>
      <w:r w:rsidRPr="00D82D46">
        <w:rPr>
          <w:sz w:val="26"/>
          <w:szCs w:val="26"/>
        </w:rPr>
        <w:t xml:space="preserve"> </w:t>
      </w:r>
      <w:r w:rsidR="003555B7" w:rsidRPr="00D82D46">
        <w:rPr>
          <w:sz w:val="26"/>
          <w:szCs w:val="26"/>
        </w:rPr>
        <w:t>состави</w:t>
      </w:r>
      <w:r w:rsidR="00975101" w:rsidRPr="00D82D46">
        <w:rPr>
          <w:sz w:val="26"/>
          <w:szCs w:val="26"/>
        </w:rPr>
        <w:t>в</w:t>
      </w:r>
      <w:r w:rsidR="00567C61" w:rsidRPr="00D82D46">
        <w:rPr>
          <w:sz w:val="26"/>
          <w:szCs w:val="26"/>
        </w:rPr>
        <w:t xml:space="preserve"> </w:t>
      </w:r>
      <w:r w:rsidR="00396869" w:rsidRPr="00D82D46">
        <w:rPr>
          <w:sz w:val="26"/>
          <w:szCs w:val="26"/>
        </w:rPr>
        <w:t>6</w:t>
      </w:r>
      <w:r w:rsidR="00567C61" w:rsidRPr="00D82D46">
        <w:rPr>
          <w:sz w:val="26"/>
          <w:szCs w:val="26"/>
        </w:rPr>
        <w:t>,</w:t>
      </w:r>
      <w:r w:rsidR="00396869" w:rsidRPr="00D82D46">
        <w:rPr>
          <w:sz w:val="26"/>
          <w:szCs w:val="26"/>
        </w:rPr>
        <w:t>5</w:t>
      </w:r>
      <w:r w:rsidR="00567C61" w:rsidRPr="00D82D46">
        <w:rPr>
          <w:sz w:val="26"/>
          <w:szCs w:val="26"/>
        </w:rPr>
        <w:t xml:space="preserve"> млрд. долл.</w:t>
      </w:r>
      <w:r w:rsidR="000F2371" w:rsidRPr="00D82D46">
        <w:rPr>
          <w:sz w:val="26"/>
          <w:szCs w:val="26"/>
        </w:rPr>
        <w:t xml:space="preserve"> (</w:t>
      </w:r>
      <w:r w:rsidR="002E7DEE" w:rsidRPr="00D82D46">
        <w:rPr>
          <w:sz w:val="26"/>
          <w:szCs w:val="26"/>
        </w:rPr>
        <w:t>3</w:t>
      </w:r>
      <w:r w:rsidR="000F2371" w:rsidRPr="00D82D46">
        <w:rPr>
          <w:sz w:val="26"/>
          <w:szCs w:val="26"/>
        </w:rPr>
        <w:t>,</w:t>
      </w:r>
      <w:r w:rsidR="002E7DEE" w:rsidRPr="00D82D46">
        <w:rPr>
          <w:sz w:val="26"/>
          <w:szCs w:val="26"/>
        </w:rPr>
        <w:t>0</w:t>
      </w:r>
      <w:r w:rsidR="000F2371" w:rsidRPr="00D82D46">
        <w:rPr>
          <w:sz w:val="26"/>
          <w:szCs w:val="26"/>
        </w:rPr>
        <w:t xml:space="preserve"> млрд. долл. </w:t>
      </w:r>
      <w:r w:rsidR="00A94598">
        <w:rPr>
          <w:sz w:val="26"/>
          <w:szCs w:val="26"/>
        </w:rPr>
        <w:br/>
      </w:r>
      <w:r w:rsidR="0029494C" w:rsidRPr="00D82D46">
        <w:rPr>
          <w:sz w:val="26"/>
          <w:szCs w:val="26"/>
        </w:rPr>
        <w:t>в 2018 году</w:t>
      </w:r>
      <w:r w:rsidR="000F2371" w:rsidRPr="00D82D46">
        <w:rPr>
          <w:sz w:val="26"/>
          <w:szCs w:val="26"/>
        </w:rPr>
        <w:t>)</w:t>
      </w:r>
      <w:r w:rsidR="00D151B8" w:rsidRPr="00D82D46">
        <w:rPr>
          <w:sz w:val="26"/>
          <w:szCs w:val="26"/>
        </w:rPr>
        <w:t>.</w:t>
      </w:r>
      <w:r w:rsidR="00567C61" w:rsidRPr="00D82D46">
        <w:rPr>
          <w:sz w:val="26"/>
          <w:szCs w:val="26"/>
        </w:rPr>
        <w:t xml:space="preserve"> При этом</w:t>
      </w:r>
      <w:r w:rsidR="00975101" w:rsidRPr="00D82D46">
        <w:rPr>
          <w:sz w:val="26"/>
          <w:szCs w:val="26"/>
        </w:rPr>
        <w:t>,</w:t>
      </w:r>
      <w:r w:rsidR="00567C61" w:rsidRPr="00D82D46">
        <w:rPr>
          <w:sz w:val="26"/>
          <w:szCs w:val="26"/>
        </w:rPr>
        <w:t xml:space="preserve"> </w:t>
      </w:r>
      <w:r w:rsidR="00A05BA8" w:rsidRPr="00D82D46">
        <w:rPr>
          <w:sz w:val="26"/>
          <w:szCs w:val="26"/>
        </w:rPr>
        <w:t xml:space="preserve">чистое принятие </w:t>
      </w:r>
      <w:r w:rsidR="00555BE0">
        <w:rPr>
          <w:sz w:val="26"/>
          <w:szCs w:val="26"/>
        </w:rPr>
        <w:t>внешних</w:t>
      </w:r>
      <w:r w:rsidR="00567C61" w:rsidRPr="00D82D46">
        <w:rPr>
          <w:sz w:val="26"/>
          <w:szCs w:val="26"/>
        </w:rPr>
        <w:t xml:space="preserve"> обязательств превысил</w:t>
      </w:r>
      <w:r w:rsidRPr="00D82D46">
        <w:rPr>
          <w:sz w:val="26"/>
          <w:szCs w:val="26"/>
        </w:rPr>
        <w:t>о</w:t>
      </w:r>
      <w:r w:rsidR="00567C61" w:rsidRPr="00D82D46">
        <w:rPr>
          <w:sz w:val="26"/>
          <w:szCs w:val="26"/>
        </w:rPr>
        <w:t xml:space="preserve"> рост активов в </w:t>
      </w:r>
      <w:r w:rsidR="002E7DEE" w:rsidRPr="00D82D46">
        <w:rPr>
          <w:sz w:val="26"/>
          <w:szCs w:val="26"/>
        </w:rPr>
        <w:t>3</w:t>
      </w:r>
      <w:r w:rsidR="00567C61" w:rsidRPr="00D82D46">
        <w:rPr>
          <w:sz w:val="26"/>
          <w:szCs w:val="26"/>
        </w:rPr>
        <w:t xml:space="preserve"> раз</w:t>
      </w:r>
      <w:r w:rsidR="002E7DEE" w:rsidRPr="00D82D46">
        <w:rPr>
          <w:sz w:val="26"/>
          <w:szCs w:val="26"/>
        </w:rPr>
        <w:t>а</w:t>
      </w:r>
      <w:r w:rsidR="00567C61" w:rsidRPr="00D82D46">
        <w:rPr>
          <w:sz w:val="26"/>
          <w:szCs w:val="26"/>
        </w:rPr>
        <w:t xml:space="preserve">. </w:t>
      </w:r>
      <w:r w:rsidR="00315F78" w:rsidRPr="00D82D46">
        <w:rPr>
          <w:sz w:val="26"/>
          <w:szCs w:val="26"/>
        </w:rPr>
        <w:t xml:space="preserve">Основной причиной увеличения дефицита по сравнению с </w:t>
      </w:r>
      <w:r w:rsidR="00555BE0">
        <w:rPr>
          <w:sz w:val="26"/>
          <w:szCs w:val="26"/>
        </w:rPr>
        <w:t>2018</w:t>
      </w:r>
      <w:r w:rsidR="00315F78" w:rsidRPr="00D82D46">
        <w:rPr>
          <w:sz w:val="26"/>
          <w:szCs w:val="26"/>
        </w:rPr>
        <w:t xml:space="preserve"> годом </w:t>
      </w:r>
      <w:r w:rsidR="00555BE0">
        <w:rPr>
          <w:sz w:val="26"/>
          <w:szCs w:val="26"/>
        </w:rPr>
        <w:t xml:space="preserve">является </w:t>
      </w:r>
      <w:r w:rsidR="00315F78" w:rsidRPr="00D82D46">
        <w:rPr>
          <w:sz w:val="26"/>
          <w:szCs w:val="26"/>
        </w:rPr>
        <w:t xml:space="preserve">рост </w:t>
      </w:r>
      <w:r w:rsidR="00567C61" w:rsidRPr="00D82D46">
        <w:rPr>
          <w:sz w:val="26"/>
          <w:szCs w:val="26"/>
        </w:rPr>
        <w:t xml:space="preserve">обязательств по </w:t>
      </w:r>
      <w:r w:rsidR="006C040A" w:rsidRPr="006C040A">
        <w:rPr>
          <w:sz w:val="26"/>
          <w:szCs w:val="26"/>
        </w:rPr>
        <w:t>кредит</w:t>
      </w:r>
      <w:r w:rsidR="006C040A">
        <w:rPr>
          <w:sz w:val="26"/>
          <w:szCs w:val="26"/>
        </w:rPr>
        <w:t>ам</w:t>
      </w:r>
      <w:r w:rsidR="006C040A" w:rsidRPr="006C040A">
        <w:rPr>
          <w:sz w:val="26"/>
          <w:szCs w:val="26"/>
        </w:rPr>
        <w:t xml:space="preserve"> и займ</w:t>
      </w:r>
      <w:r w:rsidR="006C040A">
        <w:rPr>
          <w:sz w:val="26"/>
          <w:szCs w:val="26"/>
        </w:rPr>
        <w:t>ам</w:t>
      </w:r>
      <w:r w:rsidR="006C040A" w:rsidRPr="006C040A">
        <w:rPr>
          <w:sz w:val="26"/>
          <w:szCs w:val="26"/>
        </w:rPr>
        <w:t xml:space="preserve"> </w:t>
      </w:r>
      <w:r w:rsidR="00567C61" w:rsidRPr="00D82D46">
        <w:rPr>
          <w:sz w:val="26"/>
          <w:szCs w:val="26"/>
        </w:rPr>
        <w:t xml:space="preserve">на сумму </w:t>
      </w:r>
      <w:r w:rsidR="006C040A" w:rsidRPr="006C040A">
        <w:rPr>
          <w:sz w:val="26"/>
          <w:szCs w:val="26"/>
        </w:rPr>
        <w:t>5</w:t>
      </w:r>
      <w:r w:rsidR="00567C61" w:rsidRPr="006C040A">
        <w:rPr>
          <w:sz w:val="26"/>
          <w:szCs w:val="26"/>
        </w:rPr>
        <w:t>,</w:t>
      </w:r>
      <w:r w:rsidR="006C040A" w:rsidRPr="006C040A">
        <w:rPr>
          <w:sz w:val="26"/>
          <w:szCs w:val="26"/>
        </w:rPr>
        <w:t>6</w:t>
      </w:r>
      <w:r w:rsidR="00567C61" w:rsidRPr="006C040A">
        <w:rPr>
          <w:sz w:val="26"/>
          <w:szCs w:val="26"/>
        </w:rPr>
        <w:t xml:space="preserve"> млрд. долл.,</w:t>
      </w:r>
      <w:r w:rsidR="00567C61" w:rsidRPr="00D82D46">
        <w:rPr>
          <w:sz w:val="26"/>
          <w:szCs w:val="26"/>
        </w:rPr>
        <w:t xml:space="preserve"> </w:t>
      </w:r>
      <w:r w:rsidR="00567C61" w:rsidRPr="009A1380">
        <w:rPr>
          <w:sz w:val="26"/>
          <w:szCs w:val="26"/>
        </w:rPr>
        <w:t xml:space="preserve">из которых </w:t>
      </w:r>
      <w:r w:rsidR="00A94598">
        <w:rPr>
          <w:sz w:val="26"/>
          <w:szCs w:val="26"/>
        </w:rPr>
        <w:br/>
      </w:r>
      <w:r w:rsidR="006C040A" w:rsidRPr="009A1380">
        <w:rPr>
          <w:sz w:val="26"/>
          <w:szCs w:val="26"/>
        </w:rPr>
        <w:t>4</w:t>
      </w:r>
      <w:r w:rsidR="00567C61" w:rsidRPr="009A1380">
        <w:rPr>
          <w:sz w:val="26"/>
          <w:szCs w:val="26"/>
        </w:rPr>
        <w:t>,</w:t>
      </w:r>
      <w:r w:rsidR="00012CCB" w:rsidRPr="009A1380">
        <w:rPr>
          <w:sz w:val="26"/>
          <w:szCs w:val="26"/>
        </w:rPr>
        <w:t>7</w:t>
      </w:r>
      <w:r w:rsidR="00567C61" w:rsidRPr="009A1380">
        <w:rPr>
          <w:sz w:val="26"/>
          <w:szCs w:val="26"/>
        </w:rPr>
        <w:t xml:space="preserve"> млрд. </w:t>
      </w:r>
      <w:r w:rsidR="004B25FB" w:rsidRPr="009A1380">
        <w:rPr>
          <w:sz w:val="26"/>
          <w:szCs w:val="26"/>
        </w:rPr>
        <w:t>долл</w:t>
      </w:r>
      <w:r w:rsidR="004B25FB" w:rsidRPr="009A1380">
        <w:rPr>
          <w:sz w:val="26"/>
          <w:szCs w:val="26"/>
          <w:lang w:val="uz-Cyrl-UZ"/>
        </w:rPr>
        <w:t>.</w:t>
      </w:r>
      <w:r w:rsidR="00567C61" w:rsidRPr="009A1380">
        <w:rPr>
          <w:sz w:val="26"/>
          <w:szCs w:val="26"/>
          <w:lang w:val="uz-Cyrl-UZ"/>
        </w:rPr>
        <w:t xml:space="preserve"> приходится на</w:t>
      </w:r>
      <w:r w:rsidR="00567C61" w:rsidRPr="00D82D46">
        <w:rPr>
          <w:sz w:val="26"/>
          <w:szCs w:val="26"/>
        </w:rPr>
        <w:t xml:space="preserve"> сектор государственного управления</w:t>
      </w:r>
      <w:r w:rsidR="006C040A">
        <w:rPr>
          <w:sz w:val="26"/>
          <w:szCs w:val="26"/>
        </w:rPr>
        <w:t>.</w:t>
      </w:r>
      <w:r w:rsidR="00CC26B6" w:rsidRPr="00D82D46">
        <w:rPr>
          <w:sz w:val="26"/>
          <w:szCs w:val="26"/>
        </w:rPr>
        <w:t xml:space="preserve"> </w:t>
      </w:r>
      <w:r w:rsidR="000E7836" w:rsidRPr="00D82D46">
        <w:rPr>
          <w:sz w:val="26"/>
          <w:szCs w:val="26"/>
        </w:rPr>
        <w:t>Резервные активы</w:t>
      </w:r>
      <w:r w:rsidR="00567C61" w:rsidRPr="00D82D46">
        <w:rPr>
          <w:sz w:val="26"/>
          <w:szCs w:val="26"/>
        </w:rPr>
        <w:t xml:space="preserve"> </w:t>
      </w:r>
      <w:r w:rsidR="00EC3787" w:rsidRPr="00D82D46">
        <w:rPr>
          <w:sz w:val="26"/>
          <w:szCs w:val="26"/>
        </w:rPr>
        <w:t xml:space="preserve">по </w:t>
      </w:r>
      <w:r w:rsidR="00454089" w:rsidRPr="00D82D46">
        <w:rPr>
          <w:sz w:val="26"/>
          <w:szCs w:val="26"/>
        </w:rPr>
        <w:t xml:space="preserve">операциям платёжного баланса в 2019 году </w:t>
      </w:r>
      <w:r w:rsidR="00567C61" w:rsidRPr="00115FED">
        <w:rPr>
          <w:sz w:val="26"/>
          <w:szCs w:val="26"/>
        </w:rPr>
        <w:t>увелич</w:t>
      </w:r>
      <w:r w:rsidR="00EC3787" w:rsidRPr="00115FED">
        <w:rPr>
          <w:sz w:val="26"/>
          <w:szCs w:val="26"/>
        </w:rPr>
        <w:t>ились</w:t>
      </w:r>
      <w:r w:rsidR="00567C61" w:rsidRPr="00115FED">
        <w:rPr>
          <w:sz w:val="26"/>
          <w:szCs w:val="26"/>
        </w:rPr>
        <w:t xml:space="preserve"> на </w:t>
      </w:r>
      <w:r w:rsidR="00454089" w:rsidRPr="00115FED">
        <w:rPr>
          <w:sz w:val="26"/>
          <w:szCs w:val="26"/>
        </w:rPr>
        <w:t>1,4</w:t>
      </w:r>
      <w:r w:rsidR="00567C61" w:rsidRPr="00115FED">
        <w:rPr>
          <w:sz w:val="26"/>
          <w:szCs w:val="26"/>
        </w:rPr>
        <w:t xml:space="preserve"> мл</w:t>
      </w:r>
      <w:r w:rsidR="00454089" w:rsidRPr="00115FED">
        <w:rPr>
          <w:sz w:val="26"/>
          <w:szCs w:val="26"/>
        </w:rPr>
        <w:t>рд</w:t>
      </w:r>
      <w:r w:rsidR="00567C61" w:rsidRPr="00115FED">
        <w:rPr>
          <w:sz w:val="26"/>
          <w:szCs w:val="26"/>
        </w:rPr>
        <w:t>. долл.</w:t>
      </w:r>
      <w:r w:rsidR="00454089" w:rsidRPr="00D82D46">
        <w:rPr>
          <w:sz w:val="26"/>
          <w:szCs w:val="26"/>
        </w:rPr>
        <w:t xml:space="preserve"> </w:t>
      </w:r>
      <w:r w:rsidR="00567C61" w:rsidRPr="00D82D46">
        <w:rPr>
          <w:color w:val="0070C0"/>
          <w:sz w:val="26"/>
          <w:szCs w:val="26"/>
        </w:rPr>
        <w:t xml:space="preserve">(Таблица </w:t>
      </w:r>
      <w:r w:rsidR="00FF00A1">
        <w:rPr>
          <w:color w:val="0070C0"/>
          <w:sz w:val="26"/>
          <w:szCs w:val="26"/>
        </w:rPr>
        <w:t>3</w:t>
      </w:r>
      <w:r w:rsidR="00567C61" w:rsidRPr="00D82D46">
        <w:rPr>
          <w:color w:val="0070C0"/>
          <w:sz w:val="26"/>
          <w:szCs w:val="26"/>
        </w:rPr>
        <w:t>)</w:t>
      </w:r>
      <w:r w:rsidR="00567C61" w:rsidRPr="00D82D46">
        <w:rPr>
          <w:sz w:val="26"/>
          <w:szCs w:val="26"/>
        </w:rPr>
        <w:t>.</w:t>
      </w:r>
    </w:p>
    <w:p w:rsidR="00567C61" w:rsidRPr="00CA1F7F" w:rsidRDefault="00567C61" w:rsidP="00F27BFF">
      <w:pPr>
        <w:spacing w:line="288" w:lineRule="auto"/>
        <w:ind w:firstLine="709"/>
        <w:jc w:val="right"/>
      </w:pPr>
      <w:r w:rsidRPr="00CA1F7F">
        <w:t xml:space="preserve">Таблица </w:t>
      </w:r>
      <w:r w:rsidR="00FF00A1">
        <w:t>3</w:t>
      </w:r>
    </w:p>
    <w:p w:rsidR="00567C61" w:rsidRPr="00CA1F7F" w:rsidRDefault="00567C61" w:rsidP="00567C61">
      <w:pPr>
        <w:jc w:val="center"/>
        <w:rPr>
          <w:b/>
          <w:noProof/>
          <w:sz w:val="28"/>
          <w:szCs w:val="28"/>
        </w:rPr>
      </w:pPr>
      <w:r w:rsidRPr="00CA1F7F">
        <w:rPr>
          <w:b/>
          <w:noProof/>
          <w:sz w:val="28"/>
          <w:szCs w:val="28"/>
        </w:rPr>
        <w:t>СТРУКТУРА ФИНАНСОВЫХ ПОСТУПЛЕНИЙ И РАСХОДОВ</w:t>
      </w:r>
    </w:p>
    <w:p w:rsidR="00E83AD5" w:rsidRDefault="00567C61" w:rsidP="0003054E">
      <w:pPr>
        <w:spacing w:before="60"/>
        <w:jc w:val="right"/>
        <w:rPr>
          <w:i/>
        </w:rPr>
      </w:pPr>
      <w:r w:rsidRPr="00CA1F7F">
        <w:rPr>
          <w:i/>
        </w:rPr>
        <w:t>(млн. долл.)</w:t>
      </w:r>
    </w:p>
    <w:tbl>
      <w:tblPr>
        <w:tblW w:w="14968" w:type="dxa"/>
        <w:tblLook w:val="04A0"/>
      </w:tblPr>
      <w:tblGrid>
        <w:gridCol w:w="4930"/>
        <w:gridCol w:w="1673"/>
        <w:gridCol w:w="1673"/>
        <w:gridCol w:w="1673"/>
        <w:gridCol w:w="1673"/>
        <w:gridCol w:w="1673"/>
        <w:gridCol w:w="1673"/>
      </w:tblGrid>
      <w:tr w:rsidR="00E83AD5" w:rsidRPr="00555BE0" w:rsidTr="0003054E">
        <w:trPr>
          <w:trHeight w:val="151"/>
        </w:trPr>
        <w:tc>
          <w:tcPr>
            <w:tcW w:w="49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E83AD5" w:rsidRPr="00555BE0" w:rsidRDefault="00E83AD5" w:rsidP="00E83AD5">
            <w:pPr>
              <w:rPr>
                <w:rFonts w:cs="Calibri"/>
                <w:b/>
                <w:color w:val="000000"/>
                <w:sz w:val="23"/>
                <w:szCs w:val="23"/>
              </w:rPr>
            </w:pPr>
            <w:r w:rsidRPr="00555BE0">
              <w:rPr>
                <w:rFonts w:cs="Calibri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7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555BE0" w:rsidRDefault="00E83AD5" w:rsidP="00E83AD5">
            <w:pPr>
              <w:jc w:val="center"/>
              <w:rPr>
                <w:rFonts w:cs="Calibri"/>
                <w:b/>
                <w:color w:val="000000"/>
                <w:sz w:val="23"/>
                <w:szCs w:val="23"/>
              </w:rPr>
            </w:pPr>
            <w:r w:rsidRPr="00555BE0">
              <w:rPr>
                <w:rFonts w:cs="Calibri"/>
                <w:b/>
                <w:color w:val="000000"/>
                <w:sz w:val="23"/>
                <w:szCs w:val="23"/>
              </w:rPr>
              <w:t>2014</w:t>
            </w:r>
          </w:p>
        </w:tc>
        <w:tc>
          <w:tcPr>
            <w:tcW w:w="167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555BE0" w:rsidRDefault="00E83AD5" w:rsidP="00E83AD5">
            <w:pPr>
              <w:jc w:val="center"/>
              <w:rPr>
                <w:rFonts w:cs="Calibri"/>
                <w:b/>
                <w:color w:val="000000"/>
                <w:sz w:val="23"/>
                <w:szCs w:val="23"/>
              </w:rPr>
            </w:pPr>
            <w:r w:rsidRPr="00555BE0">
              <w:rPr>
                <w:rFonts w:cs="Calibri"/>
                <w:b/>
                <w:color w:val="000000"/>
                <w:sz w:val="23"/>
                <w:szCs w:val="23"/>
              </w:rPr>
              <w:t>2015</w:t>
            </w:r>
          </w:p>
        </w:tc>
        <w:tc>
          <w:tcPr>
            <w:tcW w:w="167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555BE0" w:rsidRDefault="00E83AD5" w:rsidP="00E83AD5">
            <w:pPr>
              <w:jc w:val="center"/>
              <w:rPr>
                <w:rFonts w:cs="Calibri"/>
                <w:b/>
                <w:color w:val="000000"/>
                <w:sz w:val="23"/>
                <w:szCs w:val="23"/>
              </w:rPr>
            </w:pPr>
            <w:r w:rsidRPr="00555BE0">
              <w:rPr>
                <w:rFonts w:cs="Calibri"/>
                <w:b/>
                <w:color w:val="000000"/>
                <w:sz w:val="23"/>
                <w:szCs w:val="23"/>
              </w:rPr>
              <w:t>2016</w:t>
            </w:r>
          </w:p>
        </w:tc>
        <w:tc>
          <w:tcPr>
            <w:tcW w:w="167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555BE0" w:rsidRDefault="00E83AD5" w:rsidP="00E83AD5">
            <w:pPr>
              <w:jc w:val="center"/>
              <w:rPr>
                <w:rFonts w:cs="Calibri"/>
                <w:b/>
                <w:color w:val="000000"/>
                <w:sz w:val="23"/>
                <w:szCs w:val="23"/>
              </w:rPr>
            </w:pPr>
            <w:r w:rsidRPr="00555BE0">
              <w:rPr>
                <w:rFonts w:cs="Calibri"/>
                <w:b/>
                <w:color w:val="000000"/>
                <w:sz w:val="23"/>
                <w:szCs w:val="23"/>
              </w:rPr>
              <w:t>2017</w:t>
            </w:r>
          </w:p>
        </w:tc>
        <w:tc>
          <w:tcPr>
            <w:tcW w:w="167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555BE0" w:rsidRDefault="00E83AD5" w:rsidP="00E83AD5">
            <w:pPr>
              <w:jc w:val="center"/>
              <w:rPr>
                <w:rFonts w:cs="Calibri"/>
                <w:b/>
                <w:color w:val="000000"/>
                <w:sz w:val="23"/>
                <w:szCs w:val="23"/>
              </w:rPr>
            </w:pPr>
            <w:r w:rsidRPr="00555BE0">
              <w:rPr>
                <w:rFonts w:cs="Calibri"/>
                <w:b/>
                <w:color w:val="000000"/>
                <w:sz w:val="23"/>
                <w:szCs w:val="23"/>
              </w:rPr>
              <w:t>2018</w:t>
            </w:r>
          </w:p>
        </w:tc>
        <w:tc>
          <w:tcPr>
            <w:tcW w:w="167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555BE0" w:rsidRDefault="00E83AD5" w:rsidP="00E83AD5">
            <w:pPr>
              <w:jc w:val="center"/>
              <w:rPr>
                <w:rFonts w:cs="Calibri"/>
                <w:b/>
                <w:color w:val="000000"/>
                <w:sz w:val="23"/>
                <w:szCs w:val="23"/>
              </w:rPr>
            </w:pPr>
            <w:r w:rsidRPr="00555BE0">
              <w:rPr>
                <w:rFonts w:cs="Calibri"/>
                <w:b/>
                <w:color w:val="000000"/>
                <w:sz w:val="23"/>
                <w:szCs w:val="23"/>
              </w:rPr>
              <w:t>2019</w:t>
            </w:r>
          </w:p>
        </w:tc>
      </w:tr>
      <w:tr w:rsidR="00A4678E" w:rsidRPr="0003054E" w:rsidTr="0003054E">
        <w:trPr>
          <w:trHeight w:val="77"/>
        </w:trPr>
        <w:tc>
          <w:tcPr>
            <w:tcW w:w="493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4678E" w:rsidRPr="0003054E" w:rsidRDefault="00A4678E" w:rsidP="00A4678E">
            <w:pPr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b/>
                <w:bCs/>
                <w:color w:val="000000"/>
                <w:sz w:val="23"/>
                <w:szCs w:val="23"/>
              </w:rPr>
              <w:t>Финансовый счёт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A4678E" w:rsidRPr="00A4678E" w:rsidRDefault="00A4678E" w:rsidP="00A4678E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A4678E">
              <w:rPr>
                <w:rFonts w:cs="Calibri"/>
                <w:b/>
                <w:bCs/>
                <w:color w:val="000000"/>
                <w:sz w:val="23"/>
                <w:szCs w:val="23"/>
              </w:rPr>
              <w:t>-1 451,9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A4678E" w:rsidRPr="00A4678E" w:rsidRDefault="00A4678E" w:rsidP="00A4678E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A4678E">
              <w:rPr>
                <w:rFonts w:cs="Calibri"/>
                <w:b/>
                <w:bCs/>
                <w:color w:val="000000"/>
                <w:sz w:val="23"/>
                <w:szCs w:val="23"/>
              </w:rPr>
              <w:t>-919,2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A4678E" w:rsidRPr="0003054E" w:rsidRDefault="00A4678E" w:rsidP="00A4678E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b/>
                <w:bCs/>
                <w:color w:val="000000"/>
                <w:sz w:val="23"/>
                <w:szCs w:val="23"/>
              </w:rPr>
              <w:t>675,8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A4678E" w:rsidRPr="0003054E" w:rsidRDefault="00A4678E" w:rsidP="00A4678E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b/>
                <w:bCs/>
                <w:color w:val="000000"/>
                <w:sz w:val="23"/>
                <w:szCs w:val="23"/>
              </w:rPr>
              <w:t>-827,0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A4678E" w:rsidRPr="0003054E" w:rsidRDefault="00A4678E" w:rsidP="00A4678E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b/>
                <w:bCs/>
                <w:color w:val="000000"/>
                <w:sz w:val="23"/>
                <w:szCs w:val="23"/>
              </w:rPr>
              <w:t>-2 974,9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A4678E" w:rsidRPr="0003054E" w:rsidRDefault="00A4678E" w:rsidP="00A4678E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b/>
                <w:bCs/>
                <w:color w:val="000000"/>
                <w:sz w:val="23"/>
                <w:szCs w:val="23"/>
              </w:rPr>
              <w:t>-6 451,1</w:t>
            </w:r>
          </w:p>
        </w:tc>
      </w:tr>
      <w:tr w:rsidR="00A4678E" w:rsidRPr="0003054E" w:rsidTr="0003054E">
        <w:trPr>
          <w:trHeight w:val="154"/>
        </w:trPr>
        <w:tc>
          <w:tcPr>
            <w:tcW w:w="493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bottom"/>
            <w:hideMark/>
          </w:tcPr>
          <w:p w:rsidR="00A4678E" w:rsidRPr="0003054E" w:rsidRDefault="00A4678E" w:rsidP="00A4678E">
            <w:pPr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b/>
                <w:bCs/>
                <w:color w:val="000000"/>
                <w:sz w:val="23"/>
                <w:szCs w:val="23"/>
              </w:rPr>
              <w:t>Чистое приобретение финансовых активов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A4678E" w:rsidRPr="00A4678E" w:rsidRDefault="00A4678E" w:rsidP="00A4678E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A4678E">
              <w:rPr>
                <w:rFonts w:cs="Calibri"/>
                <w:b/>
                <w:bCs/>
                <w:color w:val="000000"/>
                <w:sz w:val="23"/>
                <w:szCs w:val="23"/>
              </w:rPr>
              <w:t>1 330,0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A4678E" w:rsidRPr="00A4678E" w:rsidRDefault="00A4678E" w:rsidP="00A4678E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A4678E">
              <w:rPr>
                <w:rFonts w:cs="Calibri"/>
                <w:b/>
                <w:bCs/>
                <w:color w:val="000000"/>
                <w:sz w:val="23"/>
                <w:szCs w:val="23"/>
              </w:rPr>
              <w:t>1 701,4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A4678E" w:rsidRPr="0003054E" w:rsidRDefault="00A4678E" w:rsidP="00A4678E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b/>
                <w:bCs/>
                <w:color w:val="000000"/>
                <w:sz w:val="23"/>
                <w:szCs w:val="23"/>
              </w:rPr>
              <w:t>3 573,9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A4678E" w:rsidRPr="0003054E" w:rsidRDefault="00A4678E" w:rsidP="00A4678E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b/>
                <w:bCs/>
                <w:color w:val="000000"/>
                <w:sz w:val="23"/>
                <w:szCs w:val="23"/>
              </w:rPr>
              <w:t>2 575,7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A4678E" w:rsidRPr="0003054E" w:rsidRDefault="00A4678E" w:rsidP="00A4678E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b/>
                <w:bCs/>
                <w:color w:val="000000"/>
                <w:sz w:val="23"/>
                <w:szCs w:val="23"/>
              </w:rPr>
              <w:t>-13,4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A4678E" w:rsidRPr="0003054E" w:rsidRDefault="00A4678E" w:rsidP="00A4678E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b/>
                <w:bCs/>
                <w:color w:val="000000"/>
                <w:sz w:val="23"/>
                <w:szCs w:val="23"/>
              </w:rPr>
              <w:t>3 147,5</w:t>
            </w:r>
          </w:p>
        </w:tc>
      </w:tr>
      <w:tr w:rsidR="00A4678E" w:rsidRPr="0003054E" w:rsidTr="0003054E">
        <w:trPr>
          <w:trHeight w:val="77"/>
        </w:trPr>
        <w:tc>
          <w:tcPr>
            <w:tcW w:w="493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4678E" w:rsidRPr="0003054E" w:rsidRDefault="00A4678E" w:rsidP="00A4678E">
            <w:pPr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Прямые инвестиции за рубеж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A4678E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A4678E">
              <w:rPr>
                <w:rFonts w:cs="Calibri"/>
                <w:color w:val="000000"/>
                <w:sz w:val="23"/>
                <w:szCs w:val="23"/>
              </w:rPr>
              <w:t>4,4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A4678E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A4678E">
              <w:rPr>
                <w:rFonts w:cs="Calibri"/>
                <w:color w:val="000000"/>
                <w:sz w:val="23"/>
                <w:szCs w:val="23"/>
              </w:rPr>
              <w:t>4,6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03054E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5,8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03054E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9,0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03054E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1,9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03054E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2,5</w:t>
            </w:r>
          </w:p>
        </w:tc>
      </w:tr>
      <w:tr w:rsidR="00A4678E" w:rsidRPr="0003054E" w:rsidTr="0003054E">
        <w:trPr>
          <w:trHeight w:val="77"/>
        </w:trPr>
        <w:tc>
          <w:tcPr>
            <w:tcW w:w="493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4678E" w:rsidRPr="0003054E" w:rsidRDefault="00A4678E" w:rsidP="00A4678E">
            <w:pPr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Портфельные инвестиции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A4678E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A4678E">
              <w:rPr>
                <w:rFonts w:cs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A4678E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A4678E">
              <w:rPr>
                <w:rFonts w:cs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03054E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03054E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03054E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03054E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-</w:t>
            </w:r>
          </w:p>
        </w:tc>
      </w:tr>
      <w:tr w:rsidR="00A4678E" w:rsidRPr="0003054E" w:rsidTr="0003054E">
        <w:trPr>
          <w:trHeight w:val="77"/>
        </w:trPr>
        <w:tc>
          <w:tcPr>
            <w:tcW w:w="493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4678E" w:rsidRPr="0003054E" w:rsidRDefault="00A4678E" w:rsidP="00A4678E">
            <w:pPr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Другие инвестиции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A4678E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A4678E">
              <w:rPr>
                <w:rFonts w:cs="Calibri"/>
                <w:color w:val="000000"/>
                <w:sz w:val="23"/>
                <w:szCs w:val="23"/>
              </w:rPr>
              <w:t>1 693,2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A4678E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A4678E">
              <w:rPr>
                <w:rFonts w:cs="Calibri"/>
                <w:color w:val="000000"/>
                <w:sz w:val="23"/>
                <w:szCs w:val="23"/>
              </w:rPr>
              <w:t>1 479,1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03054E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3 015,7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03054E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2 822,7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03054E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1 548,4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03054E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1 738,3</w:t>
            </w:r>
          </w:p>
        </w:tc>
      </w:tr>
      <w:tr w:rsidR="009A3023" w:rsidRPr="0003054E" w:rsidTr="00A03DC7">
        <w:trPr>
          <w:trHeight w:val="77"/>
        </w:trPr>
        <w:tc>
          <w:tcPr>
            <w:tcW w:w="14968" w:type="dxa"/>
            <w:gridSpan w:val="7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9A3023" w:rsidRPr="0003054E" w:rsidRDefault="009A3023" w:rsidP="009A3023">
            <w:pPr>
              <w:ind w:firstLine="306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i/>
                <w:iCs/>
                <w:color w:val="000000"/>
                <w:sz w:val="23"/>
                <w:szCs w:val="23"/>
              </w:rPr>
              <w:t>из них</w:t>
            </w:r>
          </w:p>
        </w:tc>
      </w:tr>
      <w:tr w:rsidR="00A4678E" w:rsidRPr="0003054E" w:rsidTr="0003054E">
        <w:trPr>
          <w:trHeight w:val="77"/>
        </w:trPr>
        <w:tc>
          <w:tcPr>
            <w:tcW w:w="493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4678E" w:rsidRPr="0003054E" w:rsidRDefault="00A4678E" w:rsidP="00A4678E">
            <w:pPr>
              <w:ind w:firstLineChars="200" w:firstLine="460"/>
              <w:rPr>
                <w:rFonts w:cs="Calibri"/>
                <w:i/>
                <w:iCs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i/>
                <w:iCs/>
                <w:color w:val="000000"/>
                <w:sz w:val="23"/>
                <w:szCs w:val="23"/>
              </w:rPr>
              <w:t>валюта и депозиты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1F26D2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1F26D2">
              <w:rPr>
                <w:rFonts w:cs="Calibri"/>
                <w:color w:val="000000"/>
                <w:sz w:val="23"/>
                <w:szCs w:val="23"/>
              </w:rPr>
              <w:t>2 038,4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1F26D2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1F26D2">
              <w:rPr>
                <w:rFonts w:cs="Calibri"/>
                <w:color w:val="000000"/>
                <w:sz w:val="23"/>
                <w:szCs w:val="23"/>
              </w:rPr>
              <w:t>1 422,1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1F26D2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1F26D2">
              <w:rPr>
                <w:rFonts w:cs="Calibri"/>
                <w:color w:val="000000"/>
                <w:sz w:val="23"/>
                <w:szCs w:val="23"/>
              </w:rPr>
              <w:t>3 750,9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03054E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2 480,6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03054E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842,8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03054E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591,0</w:t>
            </w:r>
          </w:p>
        </w:tc>
      </w:tr>
      <w:tr w:rsidR="00A4678E" w:rsidRPr="0003054E" w:rsidTr="0003054E">
        <w:trPr>
          <w:trHeight w:val="77"/>
        </w:trPr>
        <w:tc>
          <w:tcPr>
            <w:tcW w:w="493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4678E" w:rsidRPr="0003054E" w:rsidRDefault="00A4678E" w:rsidP="00A4678E">
            <w:pPr>
              <w:ind w:firstLineChars="200" w:firstLine="460"/>
              <w:rPr>
                <w:rFonts w:cs="Calibri"/>
                <w:i/>
                <w:iCs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i/>
                <w:iCs/>
                <w:color w:val="000000"/>
                <w:sz w:val="23"/>
                <w:szCs w:val="23"/>
              </w:rPr>
              <w:t>торговые кредиты и авансы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1F26D2" w:rsidRDefault="00A4678E" w:rsidP="00225EBB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1F26D2">
              <w:rPr>
                <w:rFonts w:cs="Calibri"/>
                <w:color w:val="000000"/>
                <w:sz w:val="23"/>
                <w:szCs w:val="23"/>
              </w:rPr>
              <w:t>-335,1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1F26D2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1F26D2">
              <w:rPr>
                <w:rFonts w:cs="Calibri"/>
                <w:color w:val="000000"/>
                <w:sz w:val="23"/>
                <w:szCs w:val="23"/>
              </w:rPr>
              <w:t>65,0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1F26D2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1F26D2">
              <w:rPr>
                <w:rFonts w:cs="Calibri"/>
                <w:color w:val="000000"/>
                <w:sz w:val="23"/>
                <w:szCs w:val="23"/>
              </w:rPr>
              <w:t>-735,2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03054E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342,1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03054E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702,7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03054E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1 148,4</w:t>
            </w:r>
          </w:p>
        </w:tc>
      </w:tr>
      <w:tr w:rsidR="00A4678E" w:rsidRPr="0003054E" w:rsidTr="0003054E">
        <w:trPr>
          <w:trHeight w:val="77"/>
        </w:trPr>
        <w:tc>
          <w:tcPr>
            <w:tcW w:w="493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4678E" w:rsidRPr="0003054E" w:rsidRDefault="00A4678E" w:rsidP="00A4678E">
            <w:pPr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b/>
                <w:bCs/>
                <w:color w:val="000000"/>
                <w:sz w:val="23"/>
                <w:szCs w:val="23"/>
              </w:rPr>
              <w:t>Резервные активы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1F26D2" w:rsidRDefault="00A4678E" w:rsidP="00225EBB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1F26D2">
              <w:rPr>
                <w:rFonts w:cs="Calibri"/>
                <w:color w:val="000000"/>
                <w:sz w:val="23"/>
                <w:szCs w:val="23"/>
              </w:rPr>
              <w:t>-367,6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1F26D2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1F26D2">
              <w:rPr>
                <w:rFonts w:cs="Calibri"/>
                <w:color w:val="000000"/>
                <w:sz w:val="23"/>
                <w:szCs w:val="23"/>
              </w:rPr>
              <w:t>217,8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1F26D2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1F26D2">
              <w:rPr>
                <w:rFonts w:cs="Calibri"/>
                <w:color w:val="000000"/>
                <w:sz w:val="23"/>
                <w:szCs w:val="23"/>
              </w:rPr>
              <w:t>552,4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03054E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-256,0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03054E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-1 563,7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4678E" w:rsidRPr="0003054E" w:rsidRDefault="00A4678E" w:rsidP="00A4678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1 406,6</w:t>
            </w:r>
          </w:p>
        </w:tc>
      </w:tr>
      <w:tr w:rsidR="00E83AD5" w:rsidRPr="0003054E" w:rsidTr="0003054E">
        <w:trPr>
          <w:trHeight w:val="77"/>
        </w:trPr>
        <w:tc>
          <w:tcPr>
            <w:tcW w:w="4930" w:type="dxa"/>
            <w:tcBorders>
              <w:top w:val="nil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83AD5" w:rsidRPr="0003054E" w:rsidRDefault="00E83AD5" w:rsidP="00E83AD5">
            <w:pPr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83AD5" w:rsidRPr="0003054E" w:rsidTr="0003054E">
        <w:trPr>
          <w:trHeight w:val="154"/>
        </w:trPr>
        <w:tc>
          <w:tcPr>
            <w:tcW w:w="493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bottom"/>
            <w:hideMark/>
          </w:tcPr>
          <w:p w:rsidR="00E83AD5" w:rsidRPr="0003054E" w:rsidRDefault="00E83AD5" w:rsidP="00E83AD5">
            <w:pPr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b/>
                <w:bCs/>
                <w:color w:val="000000"/>
                <w:sz w:val="23"/>
                <w:szCs w:val="23"/>
              </w:rPr>
              <w:t>Чистое приобретение финансовых обязательств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b/>
                <w:bCs/>
                <w:color w:val="000000"/>
                <w:sz w:val="23"/>
                <w:szCs w:val="23"/>
              </w:rPr>
              <w:t>2 781,9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b/>
                <w:bCs/>
                <w:color w:val="000000"/>
                <w:sz w:val="23"/>
                <w:szCs w:val="23"/>
              </w:rPr>
              <w:t>2 620,6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b/>
                <w:bCs/>
                <w:color w:val="000000"/>
                <w:sz w:val="23"/>
                <w:szCs w:val="23"/>
              </w:rPr>
              <w:t>2 898,1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b/>
                <w:bCs/>
                <w:color w:val="000000"/>
                <w:sz w:val="23"/>
                <w:szCs w:val="23"/>
              </w:rPr>
              <w:t>3 402,7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b/>
                <w:bCs/>
                <w:color w:val="000000"/>
                <w:sz w:val="23"/>
                <w:szCs w:val="23"/>
              </w:rPr>
              <w:t>2 961,6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b/>
                <w:bCs/>
                <w:color w:val="000000"/>
                <w:sz w:val="23"/>
                <w:szCs w:val="23"/>
              </w:rPr>
              <w:t>9 598,5</w:t>
            </w:r>
          </w:p>
        </w:tc>
      </w:tr>
      <w:tr w:rsidR="00E83AD5" w:rsidRPr="0003054E" w:rsidTr="0003054E">
        <w:trPr>
          <w:trHeight w:val="77"/>
        </w:trPr>
        <w:tc>
          <w:tcPr>
            <w:tcW w:w="493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E83AD5" w:rsidRPr="0003054E" w:rsidRDefault="00E83AD5" w:rsidP="00E83AD5">
            <w:pPr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Прямые инвестиции из-за рубежа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808,7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1 041,2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1 662,6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1 797,3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624,7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2 286,3</w:t>
            </w:r>
          </w:p>
        </w:tc>
      </w:tr>
      <w:tr w:rsidR="00E83AD5" w:rsidRPr="0003054E" w:rsidTr="0003054E">
        <w:trPr>
          <w:trHeight w:val="77"/>
        </w:trPr>
        <w:tc>
          <w:tcPr>
            <w:tcW w:w="493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E83AD5" w:rsidRPr="0003054E" w:rsidRDefault="00E83AD5" w:rsidP="00E83AD5">
            <w:pPr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Портфельные инвестиции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1,7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0,6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2,0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3,1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13,0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1 345,7</w:t>
            </w:r>
          </w:p>
        </w:tc>
      </w:tr>
      <w:tr w:rsidR="00E83AD5" w:rsidRPr="0003054E" w:rsidTr="0003054E">
        <w:trPr>
          <w:trHeight w:val="77"/>
        </w:trPr>
        <w:tc>
          <w:tcPr>
            <w:tcW w:w="493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E83AD5" w:rsidRPr="0003054E" w:rsidRDefault="00E83AD5" w:rsidP="00E83AD5">
            <w:pPr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Финансовые деривативы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03054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-1,3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03054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-4,3</w:t>
            </w:r>
          </w:p>
        </w:tc>
      </w:tr>
      <w:tr w:rsidR="00E83AD5" w:rsidRPr="0003054E" w:rsidTr="0003054E">
        <w:trPr>
          <w:trHeight w:val="77"/>
        </w:trPr>
        <w:tc>
          <w:tcPr>
            <w:tcW w:w="493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E83AD5" w:rsidRPr="0003054E" w:rsidRDefault="00E83AD5" w:rsidP="00E83AD5">
            <w:pPr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Другие инвестиции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1 971,5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1 578,8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1 233,5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1 602,2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2 325,1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5 970,7</w:t>
            </w:r>
          </w:p>
        </w:tc>
      </w:tr>
      <w:tr w:rsidR="009A3023" w:rsidRPr="0003054E" w:rsidTr="00A03DC7">
        <w:trPr>
          <w:trHeight w:val="77"/>
        </w:trPr>
        <w:tc>
          <w:tcPr>
            <w:tcW w:w="14968" w:type="dxa"/>
            <w:gridSpan w:val="7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9A3023" w:rsidRPr="0003054E" w:rsidRDefault="009A3023" w:rsidP="009A3023">
            <w:pPr>
              <w:ind w:firstLine="306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i/>
                <w:iCs/>
                <w:color w:val="000000"/>
                <w:sz w:val="23"/>
                <w:szCs w:val="23"/>
              </w:rPr>
              <w:t>из них</w:t>
            </w:r>
          </w:p>
        </w:tc>
      </w:tr>
      <w:tr w:rsidR="00E83AD5" w:rsidRPr="0003054E" w:rsidTr="0003054E">
        <w:trPr>
          <w:trHeight w:val="77"/>
        </w:trPr>
        <w:tc>
          <w:tcPr>
            <w:tcW w:w="493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E83AD5" w:rsidRPr="0003054E" w:rsidRDefault="00E83AD5" w:rsidP="00E83AD5">
            <w:pPr>
              <w:ind w:firstLineChars="200" w:firstLine="460"/>
              <w:rPr>
                <w:rFonts w:cs="Calibri"/>
                <w:i/>
                <w:iCs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i/>
                <w:iCs/>
                <w:color w:val="000000"/>
                <w:sz w:val="23"/>
                <w:szCs w:val="23"/>
              </w:rPr>
              <w:t>кредиты и займы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1 924,9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1 547,1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1 230,9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930,8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2 145,8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5 609,6</w:t>
            </w:r>
          </w:p>
        </w:tc>
      </w:tr>
      <w:tr w:rsidR="00E83AD5" w:rsidRPr="0003054E" w:rsidTr="0003054E">
        <w:trPr>
          <w:trHeight w:val="77"/>
        </w:trPr>
        <w:tc>
          <w:tcPr>
            <w:tcW w:w="493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E83AD5" w:rsidRPr="0003054E" w:rsidRDefault="00E83AD5" w:rsidP="00E83AD5">
            <w:pPr>
              <w:ind w:firstLineChars="200" w:firstLine="460"/>
              <w:rPr>
                <w:rFonts w:cs="Calibri"/>
                <w:i/>
                <w:iCs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i/>
                <w:iCs/>
                <w:color w:val="000000"/>
                <w:sz w:val="23"/>
                <w:szCs w:val="23"/>
              </w:rPr>
              <w:t>торговые кредиты и авансы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56,9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03054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-3,2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121,4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193,3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331,0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215,2</w:t>
            </w:r>
          </w:p>
        </w:tc>
      </w:tr>
      <w:tr w:rsidR="00E83AD5" w:rsidRPr="0003054E" w:rsidTr="0003054E">
        <w:trPr>
          <w:trHeight w:val="154"/>
        </w:trPr>
        <w:tc>
          <w:tcPr>
            <w:tcW w:w="493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E83AD5" w:rsidRPr="0003054E" w:rsidRDefault="00E83AD5" w:rsidP="00E83AD5">
            <w:pPr>
              <w:ind w:firstLineChars="200" w:firstLine="460"/>
              <w:rPr>
                <w:rFonts w:cs="Calibri"/>
                <w:i/>
                <w:iCs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i/>
                <w:iCs/>
                <w:color w:val="000000"/>
                <w:sz w:val="23"/>
                <w:szCs w:val="23"/>
              </w:rPr>
              <w:t>прочая кредиторская задолженность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4,5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45,7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03054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-111,5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374,7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03054E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-148,7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E83AD5" w:rsidRPr="0003054E" w:rsidRDefault="00E83AD5" w:rsidP="00E83AD5">
            <w:pPr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3054E">
              <w:rPr>
                <w:rFonts w:cs="Calibri"/>
                <w:color w:val="000000"/>
                <w:sz w:val="23"/>
                <w:szCs w:val="23"/>
              </w:rPr>
              <w:t>88,2</w:t>
            </w:r>
          </w:p>
        </w:tc>
      </w:tr>
    </w:tbl>
    <w:p w:rsidR="00BD35FE" w:rsidRDefault="00BD35FE" w:rsidP="00BD35FE">
      <w:pPr>
        <w:tabs>
          <w:tab w:val="left" w:pos="1560"/>
        </w:tabs>
        <w:spacing w:before="120" w:line="288" w:lineRule="auto"/>
        <w:ind w:firstLine="709"/>
        <w:jc w:val="both"/>
        <w:rPr>
          <w:noProof/>
          <w:sz w:val="26"/>
          <w:szCs w:val="26"/>
          <w:highlight w:val="yellow"/>
        </w:rPr>
        <w:sectPr w:rsidR="00BD35FE" w:rsidSect="00BD35FE">
          <w:pgSz w:w="16838" w:h="11906" w:orient="landscape" w:code="9"/>
          <w:pgMar w:top="1134" w:right="1134" w:bottom="851" w:left="851" w:header="709" w:footer="0" w:gutter="0"/>
          <w:cols w:space="708"/>
          <w:titlePg/>
          <w:docGrid w:linePitch="360"/>
        </w:sectPr>
      </w:pPr>
    </w:p>
    <w:p w:rsidR="00655C2A" w:rsidRPr="00E7024F" w:rsidRDefault="004F340B" w:rsidP="00BD35FE">
      <w:pPr>
        <w:pStyle w:val="21"/>
        <w:tabs>
          <w:tab w:val="left" w:pos="2552"/>
        </w:tabs>
        <w:spacing w:before="0"/>
        <w:ind w:left="709"/>
        <w:rPr>
          <w:rFonts w:ascii="Calibri" w:hAnsi="Calibri"/>
          <w:noProof/>
        </w:rPr>
      </w:pPr>
      <w:bookmarkStart w:id="11" w:name="_Toc35458611"/>
      <w:r w:rsidRPr="00E7024F">
        <w:rPr>
          <w:rFonts w:ascii="Calibri" w:hAnsi="Calibri"/>
          <w:noProof/>
        </w:rPr>
        <w:lastRenderedPageBreak/>
        <w:t>ПРЯМЫЕ И ПОРТФЕЛЬНЫЕ ИНВЕСТИЦИИ</w:t>
      </w:r>
      <w:bookmarkEnd w:id="11"/>
    </w:p>
    <w:p w:rsidR="00447F46" w:rsidRPr="00447F46" w:rsidRDefault="00447F46" w:rsidP="00567C61">
      <w:pPr>
        <w:spacing w:line="288" w:lineRule="auto"/>
        <w:ind w:firstLine="709"/>
        <w:jc w:val="both"/>
        <w:rPr>
          <w:sz w:val="10"/>
          <w:szCs w:val="10"/>
        </w:rPr>
      </w:pPr>
    </w:p>
    <w:p w:rsidR="003B33BD" w:rsidRDefault="00567C61" w:rsidP="000D6014">
      <w:pPr>
        <w:spacing w:before="120" w:line="288" w:lineRule="auto"/>
        <w:ind w:firstLine="708"/>
        <w:jc w:val="both"/>
        <w:rPr>
          <w:sz w:val="26"/>
          <w:szCs w:val="26"/>
        </w:rPr>
      </w:pPr>
      <w:r w:rsidRPr="00900960">
        <w:rPr>
          <w:sz w:val="26"/>
          <w:szCs w:val="26"/>
        </w:rPr>
        <w:t>Чистый приток прямых иностранных инвестиций</w:t>
      </w:r>
      <w:r w:rsidRPr="00900960">
        <w:rPr>
          <w:rStyle w:val="a9"/>
          <w:sz w:val="26"/>
          <w:szCs w:val="26"/>
        </w:rPr>
        <w:footnoteReference w:id="6"/>
      </w:r>
      <w:r w:rsidRPr="00900960">
        <w:rPr>
          <w:sz w:val="26"/>
          <w:szCs w:val="26"/>
        </w:rPr>
        <w:t xml:space="preserve"> </w:t>
      </w:r>
      <w:r w:rsidR="00E327C8" w:rsidRPr="00900960">
        <w:rPr>
          <w:sz w:val="26"/>
          <w:szCs w:val="26"/>
        </w:rPr>
        <w:t>в течени</w:t>
      </w:r>
      <w:r w:rsidR="009C054E" w:rsidRPr="00900960">
        <w:rPr>
          <w:sz w:val="26"/>
          <w:szCs w:val="26"/>
        </w:rPr>
        <w:t>е</w:t>
      </w:r>
      <w:r w:rsidR="00E327C8" w:rsidRPr="00900960">
        <w:rPr>
          <w:sz w:val="26"/>
          <w:szCs w:val="26"/>
        </w:rPr>
        <w:t xml:space="preserve"> </w:t>
      </w:r>
      <w:r w:rsidRPr="00900960">
        <w:rPr>
          <w:sz w:val="26"/>
          <w:szCs w:val="26"/>
        </w:rPr>
        <w:t xml:space="preserve">2019 года </w:t>
      </w:r>
      <w:r w:rsidR="00E327C8" w:rsidRPr="00900960">
        <w:rPr>
          <w:sz w:val="26"/>
          <w:szCs w:val="26"/>
        </w:rPr>
        <w:t>составил</w:t>
      </w:r>
      <w:r w:rsidRPr="00900960">
        <w:rPr>
          <w:sz w:val="26"/>
          <w:szCs w:val="26"/>
        </w:rPr>
        <w:t xml:space="preserve"> </w:t>
      </w:r>
      <w:r w:rsidR="0029494C" w:rsidRPr="00900960">
        <w:rPr>
          <w:sz w:val="26"/>
          <w:szCs w:val="26"/>
        </w:rPr>
        <w:br/>
      </w:r>
      <w:r w:rsidR="007D337F" w:rsidRPr="00900960">
        <w:rPr>
          <w:sz w:val="26"/>
          <w:szCs w:val="26"/>
        </w:rPr>
        <w:t>2</w:t>
      </w:r>
      <w:r w:rsidR="00D61420" w:rsidRPr="00900960">
        <w:rPr>
          <w:sz w:val="26"/>
          <w:szCs w:val="26"/>
        </w:rPr>
        <w:t>,</w:t>
      </w:r>
      <w:r w:rsidR="007D337F" w:rsidRPr="00900960">
        <w:rPr>
          <w:sz w:val="26"/>
          <w:szCs w:val="26"/>
        </w:rPr>
        <w:t>3</w:t>
      </w:r>
      <w:r w:rsidRPr="00900960">
        <w:rPr>
          <w:sz w:val="26"/>
          <w:szCs w:val="26"/>
        </w:rPr>
        <w:t xml:space="preserve"> </w:t>
      </w:r>
      <w:r w:rsidRPr="00DA10E1">
        <w:rPr>
          <w:sz w:val="26"/>
          <w:szCs w:val="26"/>
        </w:rPr>
        <w:t>мл</w:t>
      </w:r>
      <w:r w:rsidR="00EB2885" w:rsidRPr="00DA10E1">
        <w:rPr>
          <w:sz w:val="26"/>
          <w:szCs w:val="26"/>
        </w:rPr>
        <w:t>рд</w:t>
      </w:r>
      <w:r w:rsidRPr="00DA10E1">
        <w:rPr>
          <w:sz w:val="26"/>
          <w:szCs w:val="26"/>
        </w:rPr>
        <w:t xml:space="preserve">. долл. </w:t>
      </w:r>
      <w:r w:rsidR="0085740C" w:rsidRPr="00DA10E1">
        <w:rPr>
          <w:sz w:val="26"/>
          <w:szCs w:val="26"/>
        </w:rPr>
        <w:t xml:space="preserve">Привлечение </w:t>
      </w:r>
      <w:r w:rsidR="00AA48E5" w:rsidRPr="00DA10E1">
        <w:rPr>
          <w:sz w:val="26"/>
          <w:szCs w:val="26"/>
        </w:rPr>
        <w:t xml:space="preserve">прямых иностранных инвестиций </w:t>
      </w:r>
      <w:r w:rsidR="006673E1" w:rsidRPr="00DA10E1">
        <w:rPr>
          <w:sz w:val="26"/>
          <w:szCs w:val="26"/>
        </w:rPr>
        <w:t xml:space="preserve">в страну </w:t>
      </w:r>
      <w:r w:rsidR="00AA48E5" w:rsidRPr="00DA10E1">
        <w:rPr>
          <w:sz w:val="26"/>
          <w:szCs w:val="26"/>
        </w:rPr>
        <w:t>в значительной степени был</w:t>
      </w:r>
      <w:r w:rsidR="0085740C" w:rsidRPr="00DA10E1">
        <w:rPr>
          <w:sz w:val="26"/>
          <w:szCs w:val="26"/>
        </w:rPr>
        <w:t>о</w:t>
      </w:r>
      <w:r w:rsidR="00AA48E5" w:rsidRPr="00DA10E1">
        <w:rPr>
          <w:sz w:val="26"/>
          <w:szCs w:val="26"/>
        </w:rPr>
        <w:t xml:space="preserve"> нивелирован</w:t>
      </w:r>
      <w:r w:rsidR="0085740C" w:rsidRPr="00DA10E1">
        <w:rPr>
          <w:sz w:val="26"/>
          <w:szCs w:val="26"/>
        </w:rPr>
        <w:t>о</w:t>
      </w:r>
      <w:r w:rsidR="00AA48E5" w:rsidRPr="00DA10E1">
        <w:rPr>
          <w:sz w:val="26"/>
          <w:szCs w:val="26"/>
        </w:rPr>
        <w:t xml:space="preserve"> </w:t>
      </w:r>
      <w:r w:rsidR="00C7484D" w:rsidRPr="00DA10E1">
        <w:rPr>
          <w:sz w:val="26"/>
          <w:szCs w:val="26"/>
        </w:rPr>
        <w:t>увеличение</w:t>
      </w:r>
      <w:r w:rsidR="00AA48E5" w:rsidRPr="00DA10E1">
        <w:rPr>
          <w:sz w:val="26"/>
          <w:szCs w:val="26"/>
        </w:rPr>
        <w:t>м</w:t>
      </w:r>
      <w:r w:rsidR="00C7484D" w:rsidRPr="00DA10E1">
        <w:rPr>
          <w:sz w:val="26"/>
          <w:szCs w:val="26"/>
        </w:rPr>
        <w:t xml:space="preserve"> </w:t>
      </w:r>
      <w:r w:rsidR="007C0266" w:rsidRPr="00DA10E1">
        <w:rPr>
          <w:sz w:val="26"/>
          <w:szCs w:val="26"/>
        </w:rPr>
        <w:t>объём</w:t>
      </w:r>
      <w:r w:rsidR="002A4932" w:rsidRPr="00DA10E1">
        <w:rPr>
          <w:sz w:val="26"/>
          <w:szCs w:val="26"/>
        </w:rPr>
        <w:t>ов</w:t>
      </w:r>
      <w:r w:rsidR="007C0266" w:rsidRPr="00DA10E1">
        <w:rPr>
          <w:sz w:val="26"/>
          <w:szCs w:val="26"/>
        </w:rPr>
        <w:t xml:space="preserve"> репатриации </w:t>
      </w:r>
      <w:r w:rsidR="002A4932" w:rsidRPr="00DA10E1">
        <w:rPr>
          <w:sz w:val="26"/>
          <w:szCs w:val="26"/>
        </w:rPr>
        <w:t>по инвестициям, осуществлённых в рамках соглашений о разделе продукции (СРП).</w:t>
      </w:r>
      <w:r w:rsidR="009B2CFE" w:rsidRPr="00DA10E1">
        <w:rPr>
          <w:sz w:val="26"/>
          <w:szCs w:val="26"/>
        </w:rPr>
        <w:t xml:space="preserve"> </w:t>
      </w:r>
      <w:r w:rsidR="00FE4282" w:rsidRPr="00DA10E1">
        <w:rPr>
          <w:sz w:val="26"/>
          <w:szCs w:val="26"/>
        </w:rPr>
        <w:t>При этом</w:t>
      </w:r>
      <w:r w:rsidR="00D61420" w:rsidRPr="00DA10E1">
        <w:rPr>
          <w:sz w:val="26"/>
          <w:szCs w:val="26"/>
        </w:rPr>
        <w:t>,</w:t>
      </w:r>
      <w:r w:rsidR="00FE4282" w:rsidRPr="00DA10E1">
        <w:rPr>
          <w:sz w:val="26"/>
          <w:szCs w:val="26"/>
        </w:rPr>
        <w:t xml:space="preserve"> </w:t>
      </w:r>
      <w:r w:rsidR="007A57E1">
        <w:rPr>
          <w:sz w:val="26"/>
          <w:szCs w:val="26"/>
        </w:rPr>
        <w:t xml:space="preserve">в отчётном году </w:t>
      </w:r>
      <w:r w:rsidR="00FE4282" w:rsidRPr="00DA10E1">
        <w:rPr>
          <w:sz w:val="26"/>
          <w:szCs w:val="26"/>
        </w:rPr>
        <w:t>чисты</w:t>
      </w:r>
      <w:r w:rsidR="000D6014">
        <w:rPr>
          <w:sz w:val="26"/>
          <w:szCs w:val="26"/>
        </w:rPr>
        <w:t>е</w:t>
      </w:r>
      <w:r w:rsidR="00FE4282" w:rsidRPr="00DA10E1">
        <w:rPr>
          <w:sz w:val="26"/>
          <w:szCs w:val="26"/>
        </w:rPr>
        <w:t xml:space="preserve"> </w:t>
      </w:r>
      <w:r w:rsidR="00D61420" w:rsidRPr="00DA10E1">
        <w:rPr>
          <w:sz w:val="26"/>
          <w:szCs w:val="26"/>
        </w:rPr>
        <w:t>иностранны</w:t>
      </w:r>
      <w:r w:rsidR="000D6014">
        <w:rPr>
          <w:sz w:val="26"/>
          <w:szCs w:val="26"/>
        </w:rPr>
        <w:t>е</w:t>
      </w:r>
      <w:r w:rsidR="00D61420" w:rsidRPr="00DA10E1">
        <w:rPr>
          <w:sz w:val="26"/>
          <w:szCs w:val="26"/>
        </w:rPr>
        <w:t xml:space="preserve"> </w:t>
      </w:r>
      <w:r w:rsidR="000D6014">
        <w:rPr>
          <w:sz w:val="26"/>
          <w:szCs w:val="26"/>
        </w:rPr>
        <w:t>инвестиции</w:t>
      </w:r>
      <w:r w:rsidR="00FE4282" w:rsidRPr="00DA10E1">
        <w:rPr>
          <w:sz w:val="26"/>
          <w:szCs w:val="26"/>
        </w:rPr>
        <w:t xml:space="preserve"> в капитал, за исключением предприятий, работающих на основании СРП, </w:t>
      </w:r>
      <w:r w:rsidR="000D6014">
        <w:rPr>
          <w:sz w:val="26"/>
          <w:szCs w:val="26"/>
        </w:rPr>
        <w:t xml:space="preserve">выросли </w:t>
      </w:r>
      <w:r w:rsidR="003B33BD">
        <w:rPr>
          <w:sz w:val="26"/>
          <w:szCs w:val="26"/>
        </w:rPr>
        <w:t>более чем в 3 раза</w:t>
      </w:r>
      <w:r w:rsidR="000D6014">
        <w:rPr>
          <w:sz w:val="26"/>
          <w:szCs w:val="26"/>
        </w:rPr>
        <w:t xml:space="preserve"> </w:t>
      </w:r>
      <w:r w:rsidR="003B33BD" w:rsidRPr="003B33BD">
        <w:rPr>
          <w:sz w:val="26"/>
          <w:szCs w:val="26"/>
        </w:rPr>
        <w:t>по сравнению с</w:t>
      </w:r>
      <w:r w:rsidR="000D6014" w:rsidRPr="003B33BD">
        <w:rPr>
          <w:sz w:val="26"/>
          <w:szCs w:val="26"/>
        </w:rPr>
        <w:t xml:space="preserve"> 2018 год</w:t>
      </w:r>
      <w:r w:rsidR="003B33BD">
        <w:rPr>
          <w:sz w:val="26"/>
          <w:szCs w:val="26"/>
        </w:rPr>
        <w:t>ом</w:t>
      </w:r>
      <w:r w:rsidR="000D6014">
        <w:rPr>
          <w:sz w:val="26"/>
          <w:szCs w:val="26"/>
        </w:rPr>
        <w:t xml:space="preserve">, </w:t>
      </w:r>
      <w:r w:rsidR="0009175A" w:rsidRPr="00DA10E1">
        <w:rPr>
          <w:sz w:val="26"/>
          <w:szCs w:val="26"/>
        </w:rPr>
        <w:t xml:space="preserve">тогда как </w:t>
      </w:r>
      <w:r w:rsidR="00555BE0">
        <w:rPr>
          <w:sz w:val="26"/>
          <w:szCs w:val="26"/>
        </w:rPr>
        <w:t xml:space="preserve">объёмы </w:t>
      </w:r>
      <w:r w:rsidR="000D6014">
        <w:rPr>
          <w:sz w:val="26"/>
          <w:szCs w:val="26"/>
        </w:rPr>
        <w:t>реинвестирован</w:t>
      </w:r>
      <w:r w:rsidR="003B33BD">
        <w:rPr>
          <w:sz w:val="26"/>
          <w:szCs w:val="26"/>
        </w:rPr>
        <w:t>и</w:t>
      </w:r>
      <w:r w:rsidR="00555BE0">
        <w:rPr>
          <w:sz w:val="26"/>
          <w:szCs w:val="26"/>
        </w:rPr>
        <w:t>я</w:t>
      </w:r>
      <w:r w:rsidR="0009175A" w:rsidRPr="00DA10E1">
        <w:rPr>
          <w:sz w:val="26"/>
          <w:szCs w:val="26"/>
        </w:rPr>
        <w:t xml:space="preserve"> доходов </w:t>
      </w:r>
      <w:r w:rsidR="000D6014" w:rsidRPr="00DA10E1">
        <w:rPr>
          <w:sz w:val="26"/>
          <w:szCs w:val="26"/>
        </w:rPr>
        <w:t xml:space="preserve">иностранными инвесторами </w:t>
      </w:r>
      <w:r w:rsidR="00555BE0">
        <w:rPr>
          <w:sz w:val="26"/>
          <w:szCs w:val="26"/>
        </w:rPr>
        <w:t xml:space="preserve">существенно </w:t>
      </w:r>
      <w:r w:rsidR="003B33BD">
        <w:rPr>
          <w:sz w:val="26"/>
          <w:szCs w:val="26"/>
        </w:rPr>
        <w:t xml:space="preserve">не изменилось относительного </w:t>
      </w:r>
      <w:r w:rsidR="00555BE0">
        <w:rPr>
          <w:sz w:val="26"/>
          <w:szCs w:val="26"/>
        </w:rPr>
        <w:t>2018</w:t>
      </w:r>
      <w:r w:rsidR="003B33BD">
        <w:rPr>
          <w:sz w:val="26"/>
          <w:szCs w:val="26"/>
        </w:rPr>
        <w:t xml:space="preserve"> года.</w:t>
      </w:r>
    </w:p>
    <w:p w:rsidR="000D6014" w:rsidRPr="00BD4046" w:rsidRDefault="000D6014" w:rsidP="000D6014">
      <w:pPr>
        <w:spacing w:before="120" w:line="288" w:lineRule="auto"/>
        <w:ind w:firstLine="708"/>
        <w:jc w:val="both"/>
        <w:rPr>
          <w:sz w:val="26"/>
          <w:szCs w:val="26"/>
        </w:rPr>
      </w:pPr>
      <w:r w:rsidRPr="003C6225">
        <w:rPr>
          <w:sz w:val="26"/>
          <w:szCs w:val="26"/>
        </w:rPr>
        <w:t>Чистый рост обязательств по займам от материнских компаний за 2019 год составил 16</w:t>
      </w:r>
      <w:r w:rsidR="0040260A">
        <w:rPr>
          <w:sz w:val="26"/>
          <w:szCs w:val="26"/>
          <w:lang w:val="uz-Cyrl-UZ"/>
        </w:rPr>
        <w:t>9</w:t>
      </w:r>
      <w:r w:rsidRPr="003C6225">
        <w:rPr>
          <w:sz w:val="26"/>
          <w:szCs w:val="26"/>
        </w:rPr>
        <w:t xml:space="preserve"> млн. долл.</w:t>
      </w:r>
      <w:r w:rsidR="003B33BD">
        <w:rPr>
          <w:sz w:val="26"/>
          <w:szCs w:val="26"/>
        </w:rPr>
        <w:t xml:space="preserve"> Вместе с тем, чистые выплаты в рамках СРП составили 672 млн. долл. </w:t>
      </w:r>
      <w:r w:rsidR="003B33BD" w:rsidRPr="00BD4046">
        <w:rPr>
          <w:color w:val="0070C0"/>
          <w:sz w:val="26"/>
          <w:szCs w:val="26"/>
        </w:rPr>
        <w:t>(Диаграмма 1</w:t>
      </w:r>
      <w:r w:rsidR="00007D35">
        <w:rPr>
          <w:color w:val="0070C0"/>
          <w:sz w:val="26"/>
          <w:szCs w:val="26"/>
        </w:rPr>
        <w:t>2</w:t>
      </w:r>
      <w:r w:rsidR="003B33BD" w:rsidRPr="00BD4046">
        <w:rPr>
          <w:color w:val="0070C0"/>
          <w:sz w:val="26"/>
          <w:szCs w:val="26"/>
        </w:rPr>
        <w:t>)</w:t>
      </w:r>
    </w:p>
    <w:p w:rsidR="00567C61" w:rsidRPr="00033F8D" w:rsidRDefault="003228B4" w:rsidP="00567C61">
      <w:pPr>
        <w:jc w:val="right"/>
      </w:pPr>
      <w:r>
        <w:t>Диаграмма 1</w:t>
      </w:r>
      <w:r w:rsidR="00007D35">
        <w:t>2</w:t>
      </w:r>
    </w:p>
    <w:p w:rsidR="00567C61" w:rsidRPr="00033F8D" w:rsidRDefault="00567C61" w:rsidP="00567C61">
      <w:pPr>
        <w:jc w:val="center"/>
        <w:rPr>
          <w:b/>
          <w:sz w:val="28"/>
          <w:szCs w:val="28"/>
        </w:rPr>
      </w:pPr>
      <w:r w:rsidRPr="00033F8D">
        <w:rPr>
          <w:b/>
          <w:sz w:val="28"/>
          <w:szCs w:val="28"/>
        </w:rPr>
        <w:t>ИЗМЕНЕНИЕ КОМПОНЕНТОВ ПРЯМЫХ ИНВЕСТИЦИЙ</w:t>
      </w:r>
      <w:r w:rsidR="003B33BD" w:rsidRPr="00FC1FAF">
        <w:rPr>
          <w:rStyle w:val="a9"/>
          <w:sz w:val="28"/>
          <w:szCs w:val="28"/>
        </w:rPr>
        <w:footnoteReference w:id="7"/>
      </w:r>
    </w:p>
    <w:p w:rsidR="00567C61" w:rsidRPr="001E0A02" w:rsidRDefault="00567C61" w:rsidP="00567C61">
      <w:pPr>
        <w:jc w:val="right"/>
        <w:rPr>
          <w:i/>
        </w:rPr>
      </w:pPr>
      <w:r w:rsidRPr="00033F8D">
        <w:rPr>
          <w:i/>
        </w:rPr>
        <w:t>(млн. долл.)</w:t>
      </w:r>
    </w:p>
    <w:p w:rsidR="005C7DA2" w:rsidRDefault="00F52687" w:rsidP="005C7DA2">
      <w:pPr>
        <w:spacing w:before="120" w:line="288" w:lineRule="auto"/>
        <w:jc w:val="both"/>
        <w:rPr>
          <w:spacing w:val="-4"/>
          <w:sz w:val="26"/>
          <w:szCs w:val="26"/>
        </w:rPr>
      </w:pPr>
      <w:r>
        <w:rPr>
          <w:noProof/>
        </w:rPr>
        <w:drawing>
          <wp:inline distT="0" distB="0" distL="0" distR="0">
            <wp:extent cx="6299835" cy="4375150"/>
            <wp:effectExtent l="0" t="0" r="5715" b="63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1F613B" w:rsidRPr="001D5EF1" w:rsidRDefault="003D328C" w:rsidP="00DD6980">
      <w:pPr>
        <w:spacing w:before="120" w:line="288" w:lineRule="auto"/>
        <w:ind w:firstLine="709"/>
        <w:jc w:val="both"/>
        <w:rPr>
          <w:spacing w:val="-4"/>
          <w:sz w:val="26"/>
          <w:szCs w:val="26"/>
        </w:rPr>
      </w:pPr>
      <w:r w:rsidRPr="001D5EF1">
        <w:rPr>
          <w:spacing w:val="-4"/>
          <w:sz w:val="26"/>
          <w:szCs w:val="26"/>
        </w:rPr>
        <w:t xml:space="preserve">В 2019 году </w:t>
      </w:r>
      <w:r w:rsidR="00555B63">
        <w:rPr>
          <w:spacing w:val="-4"/>
          <w:sz w:val="26"/>
          <w:szCs w:val="26"/>
        </w:rPr>
        <w:t>зафиксировано</w:t>
      </w:r>
      <w:r w:rsidRPr="001D5EF1">
        <w:rPr>
          <w:spacing w:val="-4"/>
          <w:sz w:val="26"/>
          <w:szCs w:val="26"/>
        </w:rPr>
        <w:t xml:space="preserve"> </w:t>
      </w:r>
      <w:r w:rsidR="006B6663" w:rsidRPr="001D5EF1">
        <w:rPr>
          <w:spacing w:val="-4"/>
          <w:sz w:val="26"/>
          <w:szCs w:val="26"/>
        </w:rPr>
        <w:t>значительное</w:t>
      </w:r>
      <w:r w:rsidRPr="001D5EF1">
        <w:rPr>
          <w:spacing w:val="-4"/>
          <w:sz w:val="26"/>
          <w:szCs w:val="26"/>
        </w:rPr>
        <w:t xml:space="preserve"> увеличение в структуре обязательств </w:t>
      </w:r>
      <w:r w:rsidR="00555B63">
        <w:rPr>
          <w:spacing w:val="-4"/>
          <w:sz w:val="26"/>
          <w:szCs w:val="26"/>
        </w:rPr>
        <w:br/>
      </w:r>
      <w:r w:rsidRPr="001D5EF1">
        <w:rPr>
          <w:spacing w:val="-4"/>
          <w:sz w:val="26"/>
          <w:szCs w:val="26"/>
        </w:rPr>
        <w:t xml:space="preserve">по портфельным инвестициям. </w:t>
      </w:r>
      <w:r w:rsidR="007137AA" w:rsidRPr="001D5EF1">
        <w:rPr>
          <w:spacing w:val="-4"/>
          <w:sz w:val="26"/>
          <w:szCs w:val="26"/>
        </w:rPr>
        <w:t xml:space="preserve">В частности, в начале года был осуществлён выпуск </w:t>
      </w:r>
      <w:r w:rsidR="00B86C9A" w:rsidRPr="00441F33">
        <w:rPr>
          <w:spacing w:val="-4"/>
          <w:sz w:val="26"/>
          <w:szCs w:val="26"/>
        </w:rPr>
        <w:t xml:space="preserve">двух </w:t>
      </w:r>
      <w:r w:rsidR="00B86C9A" w:rsidRPr="00441F33">
        <w:rPr>
          <w:spacing w:val="-4"/>
          <w:sz w:val="26"/>
          <w:szCs w:val="26"/>
        </w:rPr>
        <w:lastRenderedPageBreak/>
        <w:t xml:space="preserve">траншев </w:t>
      </w:r>
      <w:r w:rsidR="007137AA" w:rsidRPr="00441F33">
        <w:rPr>
          <w:spacing w:val="-4"/>
          <w:sz w:val="26"/>
          <w:szCs w:val="26"/>
        </w:rPr>
        <w:t>м</w:t>
      </w:r>
      <w:r w:rsidR="007137AA" w:rsidRPr="001D5EF1">
        <w:rPr>
          <w:spacing w:val="-4"/>
          <w:sz w:val="26"/>
          <w:szCs w:val="26"/>
        </w:rPr>
        <w:t xml:space="preserve">еждународных облигаций Республики Узбекистан на </w:t>
      </w:r>
      <w:r w:rsidR="00B86C9A" w:rsidRPr="001D5EF1">
        <w:rPr>
          <w:spacing w:val="-4"/>
          <w:sz w:val="26"/>
          <w:szCs w:val="26"/>
        </w:rPr>
        <w:t xml:space="preserve">общую </w:t>
      </w:r>
      <w:r w:rsidR="007137AA" w:rsidRPr="001D5EF1">
        <w:rPr>
          <w:spacing w:val="-4"/>
          <w:sz w:val="26"/>
          <w:szCs w:val="26"/>
        </w:rPr>
        <w:t>сумму 1 млрд. долл.</w:t>
      </w:r>
      <w:r w:rsidR="005C4886" w:rsidRPr="001D5EF1">
        <w:rPr>
          <w:spacing w:val="-4"/>
          <w:sz w:val="26"/>
          <w:szCs w:val="26"/>
        </w:rPr>
        <w:t xml:space="preserve"> Успешн</w:t>
      </w:r>
      <w:r w:rsidR="00FD5E7C" w:rsidRPr="001D5EF1">
        <w:rPr>
          <w:spacing w:val="-4"/>
          <w:sz w:val="26"/>
          <w:szCs w:val="26"/>
        </w:rPr>
        <w:t>ая</w:t>
      </w:r>
      <w:r w:rsidR="00B86C9A" w:rsidRPr="001D5EF1">
        <w:rPr>
          <w:spacing w:val="-4"/>
          <w:sz w:val="26"/>
          <w:szCs w:val="26"/>
        </w:rPr>
        <w:t xml:space="preserve"> </w:t>
      </w:r>
      <w:r w:rsidR="00FD5E7C" w:rsidRPr="001D5EF1">
        <w:rPr>
          <w:spacing w:val="-4"/>
          <w:sz w:val="26"/>
          <w:szCs w:val="26"/>
        </w:rPr>
        <w:t>эмиссия</w:t>
      </w:r>
      <w:r w:rsidR="005C4886" w:rsidRPr="001D5EF1">
        <w:rPr>
          <w:spacing w:val="-4"/>
          <w:sz w:val="26"/>
          <w:szCs w:val="26"/>
        </w:rPr>
        <w:t xml:space="preserve"> суверенных еврооблигаций </w:t>
      </w:r>
      <w:r w:rsidR="005C4886" w:rsidRPr="00441F33">
        <w:rPr>
          <w:spacing w:val="-4"/>
          <w:sz w:val="26"/>
          <w:szCs w:val="26"/>
        </w:rPr>
        <w:t>страны позволил</w:t>
      </w:r>
      <w:r w:rsidR="00FD5E7C" w:rsidRPr="00441F33">
        <w:rPr>
          <w:spacing w:val="-4"/>
          <w:sz w:val="26"/>
          <w:szCs w:val="26"/>
        </w:rPr>
        <w:t>а</w:t>
      </w:r>
      <w:r w:rsidR="005C4886" w:rsidRPr="00441F33">
        <w:rPr>
          <w:spacing w:val="-4"/>
          <w:sz w:val="26"/>
          <w:szCs w:val="26"/>
        </w:rPr>
        <w:t xml:space="preserve"> создать </w:t>
      </w:r>
      <w:r w:rsidR="00B86C9A" w:rsidRPr="00441F33">
        <w:rPr>
          <w:spacing w:val="-4"/>
          <w:sz w:val="26"/>
          <w:szCs w:val="26"/>
        </w:rPr>
        <w:t xml:space="preserve">ориентир </w:t>
      </w:r>
      <w:r w:rsidR="00B86C9A" w:rsidRPr="00717354">
        <w:rPr>
          <w:spacing w:val="-4"/>
          <w:sz w:val="26"/>
          <w:szCs w:val="26"/>
        </w:rPr>
        <w:t>(</w:t>
      </w:r>
      <w:r w:rsidR="00D83200" w:rsidRPr="00717354">
        <w:rPr>
          <w:spacing w:val="-4"/>
          <w:sz w:val="26"/>
          <w:szCs w:val="26"/>
          <w:lang w:val="en-US"/>
        </w:rPr>
        <w:t>benchmark</w:t>
      </w:r>
      <w:r w:rsidR="00B86C9A" w:rsidRPr="00717354">
        <w:rPr>
          <w:spacing w:val="-4"/>
          <w:sz w:val="26"/>
          <w:szCs w:val="26"/>
        </w:rPr>
        <w:t>)</w:t>
      </w:r>
      <w:r w:rsidR="005C4886" w:rsidRPr="00441F33">
        <w:rPr>
          <w:spacing w:val="-4"/>
          <w:sz w:val="26"/>
          <w:szCs w:val="26"/>
        </w:rPr>
        <w:t xml:space="preserve"> </w:t>
      </w:r>
      <w:r w:rsidR="00B86C9A" w:rsidRPr="00441F33">
        <w:rPr>
          <w:spacing w:val="-4"/>
          <w:sz w:val="26"/>
          <w:szCs w:val="26"/>
        </w:rPr>
        <w:t xml:space="preserve">базовой кривой доходности </w:t>
      </w:r>
      <w:r w:rsidR="005C4886" w:rsidRPr="00441F33">
        <w:rPr>
          <w:spacing w:val="-4"/>
          <w:sz w:val="26"/>
          <w:szCs w:val="26"/>
        </w:rPr>
        <w:t>и</w:t>
      </w:r>
      <w:r w:rsidR="007137AA" w:rsidRPr="00441F33">
        <w:rPr>
          <w:spacing w:val="-4"/>
          <w:sz w:val="26"/>
          <w:szCs w:val="26"/>
        </w:rPr>
        <w:t xml:space="preserve"> в конце 2019 года </w:t>
      </w:r>
      <w:r w:rsidR="00DD6980" w:rsidRPr="00441F33">
        <w:rPr>
          <w:spacing w:val="-4"/>
          <w:sz w:val="26"/>
          <w:szCs w:val="26"/>
        </w:rPr>
        <w:t>на м</w:t>
      </w:r>
      <w:r w:rsidR="00FD5E7C" w:rsidRPr="00441F33">
        <w:rPr>
          <w:spacing w:val="-4"/>
          <w:sz w:val="26"/>
          <w:szCs w:val="26"/>
        </w:rPr>
        <w:t>ировы</w:t>
      </w:r>
      <w:r w:rsidR="00DD6980" w:rsidRPr="00441F33">
        <w:rPr>
          <w:spacing w:val="-4"/>
          <w:sz w:val="26"/>
          <w:szCs w:val="26"/>
        </w:rPr>
        <w:t>х рынках капитала были размещены евробонды Узпромстройбанка в размере 300 млн. долл.</w:t>
      </w:r>
    </w:p>
    <w:p w:rsidR="00F23FE2" w:rsidRDefault="007137AA" w:rsidP="00DD6980">
      <w:pPr>
        <w:spacing w:before="120"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</w:t>
      </w:r>
      <w:r w:rsidR="001F613B">
        <w:rPr>
          <w:sz w:val="26"/>
          <w:szCs w:val="26"/>
        </w:rPr>
        <w:t xml:space="preserve">, сальдо </w:t>
      </w:r>
      <w:r w:rsidR="00F23FE2">
        <w:rPr>
          <w:sz w:val="26"/>
          <w:szCs w:val="26"/>
        </w:rPr>
        <w:t>операций по</w:t>
      </w:r>
      <w:r w:rsidR="00F23FE2" w:rsidRPr="00BD4046">
        <w:rPr>
          <w:sz w:val="26"/>
          <w:szCs w:val="26"/>
        </w:rPr>
        <w:t xml:space="preserve"> портфельны</w:t>
      </w:r>
      <w:r w:rsidR="00F23FE2">
        <w:rPr>
          <w:sz w:val="26"/>
          <w:szCs w:val="26"/>
        </w:rPr>
        <w:t>м</w:t>
      </w:r>
      <w:r w:rsidR="00F23FE2" w:rsidRPr="00BD4046">
        <w:rPr>
          <w:sz w:val="26"/>
          <w:szCs w:val="26"/>
        </w:rPr>
        <w:t xml:space="preserve"> инвестици</w:t>
      </w:r>
      <w:r w:rsidR="00F23FE2">
        <w:rPr>
          <w:sz w:val="26"/>
          <w:szCs w:val="26"/>
        </w:rPr>
        <w:t>ям</w:t>
      </w:r>
      <w:r>
        <w:rPr>
          <w:sz w:val="26"/>
          <w:szCs w:val="26"/>
        </w:rPr>
        <w:t xml:space="preserve"> </w:t>
      </w:r>
      <w:r w:rsidR="00F23FE2" w:rsidRPr="00BD4046">
        <w:rPr>
          <w:sz w:val="26"/>
          <w:szCs w:val="26"/>
        </w:rPr>
        <w:t>скорректированн</w:t>
      </w:r>
      <w:r w:rsidR="00F23FE2">
        <w:rPr>
          <w:sz w:val="26"/>
          <w:szCs w:val="26"/>
        </w:rPr>
        <w:t>ое</w:t>
      </w:r>
      <w:r w:rsidR="00F23FE2" w:rsidRPr="00BD4046">
        <w:rPr>
          <w:sz w:val="26"/>
          <w:szCs w:val="26"/>
        </w:rPr>
        <w:t xml:space="preserve"> на сумму купонных выплат</w:t>
      </w:r>
      <w:r w:rsidR="00162A4C">
        <w:rPr>
          <w:sz w:val="26"/>
          <w:szCs w:val="26"/>
        </w:rPr>
        <w:t>,</w:t>
      </w:r>
      <w:r w:rsidR="00F23FE2" w:rsidRPr="00BD4046">
        <w:rPr>
          <w:sz w:val="26"/>
          <w:szCs w:val="26"/>
        </w:rPr>
        <w:t xml:space="preserve"> по итогам </w:t>
      </w:r>
      <w:r w:rsidR="0029494C">
        <w:rPr>
          <w:sz w:val="26"/>
          <w:szCs w:val="26"/>
        </w:rPr>
        <w:t>2019</w:t>
      </w:r>
      <w:r w:rsidR="00F23FE2" w:rsidRPr="00BD4046">
        <w:rPr>
          <w:sz w:val="26"/>
          <w:szCs w:val="26"/>
        </w:rPr>
        <w:t xml:space="preserve"> года составил</w:t>
      </w:r>
      <w:r w:rsidR="00F23FE2">
        <w:rPr>
          <w:sz w:val="26"/>
          <w:szCs w:val="26"/>
        </w:rPr>
        <w:t>о</w:t>
      </w:r>
      <w:r w:rsidR="0029494C">
        <w:rPr>
          <w:sz w:val="26"/>
          <w:szCs w:val="26"/>
        </w:rPr>
        <w:t xml:space="preserve"> 1</w:t>
      </w:r>
      <w:r w:rsidR="00162A4C">
        <w:rPr>
          <w:sz w:val="26"/>
          <w:szCs w:val="26"/>
        </w:rPr>
        <w:t>,3</w:t>
      </w:r>
      <w:r w:rsidR="0029494C">
        <w:rPr>
          <w:sz w:val="26"/>
          <w:szCs w:val="26"/>
        </w:rPr>
        <w:t xml:space="preserve"> млрд. долл.</w:t>
      </w:r>
    </w:p>
    <w:p w:rsidR="003D328C" w:rsidRDefault="003D328C" w:rsidP="00231CC3">
      <w:pPr>
        <w:spacing w:line="288" w:lineRule="auto"/>
        <w:ind w:firstLine="709"/>
        <w:jc w:val="both"/>
        <w:rPr>
          <w:sz w:val="26"/>
          <w:szCs w:val="26"/>
        </w:rPr>
      </w:pPr>
    </w:p>
    <w:p w:rsidR="00655C2A" w:rsidRPr="00FB238B" w:rsidRDefault="004F340B" w:rsidP="00102545">
      <w:pPr>
        <w:pStyle w:val="21"/>
        <w:spacing w:before="120"/>
        <w:ind w:left="709"/>
        <w:rPr>
          <w:rFonts w:ascii="Calibri" w:hAnsi="Calibri"/>
          <w:szCs w:val="24"/>
          <w:lang w:val="ru-RU"/>
        </w:rPr>
      </w:pPr>
      <w:bookmarkStart w:id="12" w:name="_Toc35458612"/>
      <w:r w:rsidRPr="00FB238B">
        <w:rPr>
          <w:rFonts w:ascii="Calibri" w:hAnsi="Calibri"/>
          <w:szCs w:val="24"/>
        </w:rPr>
        <w:t>ДРУГИЕ ИНВЕСТИЦИИ</w:t>
      </w:r>
      <w:bookmarkEnd w:id="12"/>
    </w:p>
    <w:p w:rsidR="00E318E5" w:rsidRPr="00E318E5" w:rsidRDefault="00E318E5" w:rsidP="00567C61">
      <w:pPr>
        <w:spacing w:line="288" w:lineRule="auto"/>
        <w:ind w:firstLine="709"/>
        <w:jc w:val="both"/>
        <w:rPr>
          <w:sz w:val="10"/>
          <w:szCs w:val="10"/>
        </w:rPr>
      </w:pPr>
    </w:p>
    <w:p w:rsidR="00442D1D" w:rsidRPr="00442D1D" w:rsidRDefault="00442D1D" w:rsidP="00150D25">
      <w:pPr>
        <w:spacing w:line="288" w:lineRule="auto"/>
        <w:ind w:firstLine="709"/>
        <w:jc w:val="both"/>
        <w:rPr>
          <w:sz w:val="26"/>
          <w:szCs w:val="26"/>
          <w:u w:val="single"/>
        </w:rPr>
      </w:pPr>
      <w:r w:rsidRPr="00442D1D">
        <w:rPr>
          <w:sz w:val="26"/>
          <w:szCs w:val="26"/>
          <w:u w:val="single"/>
        </w:rPr>
        <w:t>Активы</w:t>
      </w:r>
    </w:p>
    <w:p w:rsidR="00150D25" w:rsidRDefault="00567C61" w:rsidP="00150D25">
      <w:pPr>
        <w:spacing w:line="288" w:lineRule="auto"/>
        <w:ind w:firstLine="709"/>
        <w:jc w:val="both"/>
        <w:rPr>
          <w:sz w:val="26"/>
          <w:szCs w:val="26"/>
        </w:rPr>
      </w:pPr>
      <w:r w:rsidRPr="00555B63">
        <w:rPr>
          <w:sz w:val="26"/>
          <w:szCs w:val="26"/>
        </w:rPr>
        <w:t xml:space="preserve">Чистое увеличение активов по статье «Другие инвестиции» </w:t>
      </w:r>
      <w:r w:rsidR="00231CC3" w:rsidRPr="00555B63">
        <w:rPr>
          <w:sz w:val="26"/>
          <w:szCs w:val="26"/>
        </w:rPr>
        <w:t xml:space="preserve">в течение 2019 года </w:t>
      </w:r>
      <w:r w:rsidR="00115044" w:rsidRPr="00555B63">
        <w:rPr>
          <w:sz w:val="26"/>
          <w:szCs w:val="26"/>
        </w:rPr>
        <w:t>составило</w:t>
      </w:r>
      <w:r w:rsidRPr="00555B63">
        <w:rPr>
          <w:sz w:val="26"/>
          <w:szCs w:val="26"/>
        </w:rPr>
        <w:t xml:space="preserve"> </w:t>
      </w:r>
      <w:r w:rsidR="00012B28" w:rsidRPr="00555B63">
        <w:rPr>
          <w:sz w:val="26"/>
          <w:szCs w:val="26"/>
        </w:rPr>
        <w:t>1,7</w:t>
      </w:r>
      <w:r w:rsidRPr="00555B63">
        <w:rPr>
          <w:sz w:val="26"/>
          <w:szCs w:val="26"/>
        </w:rPr>
        <w:t xml:space="preserve"> мл</w:t>
      </w:r>
      <w:r w:rsidR="00012B28" w:rsidRPr="00555B63">
        <w:rPr>
          <w:sz w:val="26"/>
          <w:szCs w:val="26"/>
        </w:rPr>
        <w:t>рд</w:t>
      </w:r>
      <w:r w:rsidRPr="00555B63">
        <w:rPr>
          <w:sz w:val="26"/>
          <w:szCs w:val="26"/>
        </w:rPr>
        <w:t xml:space="preserve">. долл. </w:t>
      </w:r>
      <w:r w:rsidR="00150D25" w:rsidRPr="00555B63">
        <w:rPr>
          <w:sz w:val="26"/>
          <w:szCs w:val="26"/>
        </w:rPr>
        <w:t xml:space="preserve">Основными компонентами статьи «Другие инвестиции» являются валюта и депозиты резидентов, а также торговые кредиты </w:t>
      </w:r>
      <w:r w:rsidR="003C3667" w:rsidRPr="00555B63">
        <w:rPr>
          <w:sz w:val="26"/>
          <w:szCs w:val="26"/>
        </w:rPr>
        <w:t xml:space="preserve">и авансы </w:t>
      </w:r>
      <w:r w:rsidR="00150D25" w:rsidRPr="00555B63">
        <w:rPr>
          <w:sz w:val="26"/>
          <w:szCs w:val="26"/>
        </w:rPr>
        <w:t>(</w:t>
      </w:r>
      <w:r w:rsidR="00150D25" w:rsidRPr="00555B63">
        <w:rPr>
          <w:i/>
          <w:sz w:val="26"/>
          <w:szCs w:val="26"/>
        </w:rPr>
        <w:t>дебиторская задолженность</w:t>
      </w:r>
      <w:r w:rsidR="00150D25" w:rsidRPr="00555B63">
        <w:rPr>
          <w:sz w:val="26"/>
          <w:szCs w:val="26"/>
        </w:rPr>
        <w:t xml:space="preserve">), которые выросли </w:t>
      </w:r>
      <w:r w:rsidR="00686A82" w:rsidRPr="00555B63">
        <w:rPr>
          <w:sz w:val="26"/>
          <w:szCs w:val="26"/>
        </w:rPr>
        <w:t xml:space="preserve">на </w:t>
      </w:r>
      <w:r w:rsidR="00150D25" w:rsidRPr="00555B63">
        <w:rPr>
          <w:sz w:val="26"/>
          <w:szCs w:val="26"/>
        </w:rPr>
        <w:t>591 млн. долл. и 1,1 млрд. долл. соответственно.</w:t>
      </w:r>
    </w:p>
    <w:p w:rsidR="001E21D7" w:rsidRDefault="001E21D7" w:rsidP="0048554B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8C48A7">
        <w:rPr>
          <w:sz w:val="26"/>
          <w:szCs w:val="26"/>
        </w:rPr>
        <w:t xml:space="preserve">Анализ компонента «Валюта и депозиты» по секторам экономики показал, </w:t>
      </w:r>
      <w:r w:rsidR="00555BE0">
        <w:rPr>
          <w:sz w:val="26"/>
          <w:szCs w:val="26"/>
        </w:rPr>
        <w:br/>
      </w:r>
      <w:r w:rsidRPr="008C48A7">
        <w:rPr>
          <w:sz w:val="26"/>
          <w:szCs w:val="26"/>
        </w:rPr>
        <w:t>что основной объём операций приходится на другие сектора экономики, так как рост сбережений населения в иностранной валюте учитывается в данном секторе</w:t>
      </w:r>
      <w:r w:rsidR="0048554B">
        <w:rPr>
          <w:sz w:val="26"/>
          <w:szCs w:val="26"/>
        </w:rPr>
        <w:t xml:space="preserve"> </w:t>
      </w:r>
      <w:r w:rsidR="00555BE0">
        <w:rPr>
          <w:sz w:val="26"/>
          <w:szCs w:val="26"/>
        </w:rPr>
        <w:br/>
      </w:r>
      <w:r w:rsidR="0048554B" w:rsidRPr="008C48A7">
        <w:rPr>
          <w:color w:val="0070C0"/>
          <w:sz w:val="26"/>
          <w:szCs w:val="26"/>
        </w:rPr>
        <w:t>(Диаграмма 1</w:t>
      </w:r>
      <w:r w:rsidR="00007D35">
        <w:rPr>
          <w:color w:val="0070C0"/>
          <w:sz w:val="26"/>
          <w:szCs w:val="26"/>
        </w:rPr>
        <w:t>3</w:t>
      </w:r>
      <w:r w:rsidR="0048554B" w:rsidRPr="008C48A7">
        <w:rPr>
          <w:color w:val="0070C0"/>
          <w:sz w:val="26"/>
          <w:szCs w:val="26"/>
        </w:rPr>
        <w:t>)</w:t>
      </w:r>
      <w:r w:rsidR="0048554B" w:rsidRPr="008C48A7">
        <w:rPr>
          <w:sz w:val="26"/>
          <w:szCs w:val="26"/>
        </w:rPr>
        <w:t>.</w:t>
      </w:r>
    </w:p>
    <w:p w:rsidR="00567C61" w:rsidRPr="00BC2A37" w:rsidRDefault="003228B4" w:rsidP="00E318E5">
      <w:pPr>
        <w:ind w:firstLine="709"/>
        <w:jc w:val="right"/>
      </w:pPr>
      <w:r>
        <w:t>Диаграмма 1</w:t>
      </w:r>
      <w:r w:rsidR="00007D35">
        <w:t>3</w:t>
      </w:r>
    </w:p>
    <w:p w:rsidR="0048554B" w:rsidRPr="00BC2A37" w:rsidRDefault="0048554B" w:rsidP="00E318E5">
      <w:pPr>
        <w:ind w:firstLine="709"/>
        <w:jc w:val="right"/>
        <w:rPr>
          <w:sz w:val="12"/>
          <w:szCs w:val="12"/>
        </w:rPr>
      </w:pPr>
    </w:p>
    <w:p w:rsidR="00567C61" w:rsidRPr="00BC2A37" w:rsidRDefault="00567C61" w:rsidP="00567C61">
      <w:pPr>
        <w:ind w:firstLine="708"/>
        <w:jc w:val="center"/>
        <w:rPr>
          <w:b/>
          <w:sz w:val="26"/>
          <w:szCs w:val="26"/>
        </w:rPr>
      </w:pPr>
      <w:r w:rsidRPr="00BC2A37">
        <w:rPr>
          <w:b/>
          <w:sz w:val="26"/>
          <w:szCs w:val="26"/>
        </w:rPr>
        <w:t>ЧИСТЫЕ ИЗМЕНЕНИЯ ПО КОМПОНЕНТУ «ВАЛЮТА И ДЕПОЗИТЫ»</w:t>
      </w:r>
    </w:p>
    <w:p w:rsidR="00567C61" w:rsidRPr="00BC2A37" w:rsidRDefault="00567C61" w:rsidP="00567C61">
      <w:pPr>
        <w:ind w:firstLine="708"/>
        <w:jc w:val="center"/>
        <w:rPr>
          <w:b/>
          <w:sz w:val="10"/>
          <w:szCs w:val="10"/>
        </w:rPr>
      </w:pPr>
    </w:p>
    <w:p w:rsidR="00567C61" w:rsidRPr="00277B9A" w:rsidRDefault="00567C61" w:rsidP="00567C61">
      <w:pPr>
        <w:ind w:firstLine="708"/>
        <w:jc w:val="right"/>
        <w:rPr>
          <w:i/>
        </w:rPr>
      </w:pPr>
      <w:r w:rsidRPr="00BC2A37">
        <w:rPr>
          <w:i/>
        </w:rPr>
        <w:t>(млн. долл.)</w:t>
      </w:r>
    </w:p>
    <w:p w:rsidR="00567C61" w:rsidRDefault="00CA7D15" w:rsidP="00567C61">
      <w:pPr>
        <w:rPr>
          <w:rFonts w:cs="Arial"/>
          <w:noProof/>
        </w:rPr>
      </w:pPr>
      <w:r>
        <w:rPr>
          <w:noProof/>
        </w:rPr>
        <w:drawing>
          <wp:inline distT="0" distB="0" distL="0" distR="0">
            <wp:extent cx="6299835" cy="3181350"/>
            <wp:effectExtent l="0" t="0" r="571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8554B" w:rsidRPr="00555BE0" w:rsidRDefault="0048554B" w:rsidP="0048554B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8C48A7">
        <w:rPr>
          <w:sz w:val="26"/>
          <w:szCs w:val="26"/>
        </w:rPr>
        <w:t xml:space="preserve">Постоянный рост активов </w:t>
      </w:r>
      <w:r w:rsidR="00A55CDC">
        <w:rPr>
          <w:sz w:val="26"/>
          <w:szCs w:val="26"/>
        </w:rPr>
        <w:t xml:space="preserve">других секторов </w:t>
      </w:r>
      <w:r w:rsidRPr="008C48A7">
        <w:rPr>
          <w:sz w:val="26"/>
          <w:szCs w:val="26"/>
        </w:rPr>
        <w:t>обеспечивается за счёт репатриации (возврата) доходов граждан Республики Узбекистан, работающих за рубежом,</w:t>
      </w:r>
      <w:r w:rsidR="00A55CDC">
        <w:rPr>
          <w:sz w:val="26"/>
          <w:szCs w:val="26"/>
        </w:rPr>
        <w:t xml:space="preserve"> а также </w:t>
      </w:r>
      <w:r w:rsidR="00A55CDC">
        <w:rPr>
          <w:sz w:val="26"/>
          <w:szCs w:val="26"/>
        </w:rPr>
        <w:lastRenderedPageBreak/>
        <w:t xml:space="preserve">поступлений средств на </w:t>
      </w:r>
      <w:r w:rsidRPr="008C48A7">
        <w:rPr>
          <w:sz w:val="26"/>
          <w:szCs w:val="26"/>
        </w:rPr>
        <w:t>заграничные сче</w:t>
      </w:r>
      <w:r w:rsidR="00A55CDC">
        <w:rPr>
          <w:sz w:val="26"/>
          <w:szCs w:val="26"/>
        </w:rPr>
        <w:t>та резидентов - юридических лиц.</w:t>
      </w:r>
    </w:p>
    <w:p w:rsidR="0048554B" w:rsidRDefault="0048554B" w:rsidP="0048554B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AE05E1">
        <w:rPr>
          <w:sz w:val="26"/>
          <w:szCs w:val="26"/>
        </w:rPr>
        <w:t xml:space="preserve">Чистые изменения валюты и депозитов банковского сектора (остатков </w:t>
      </w:r>
      <w:r w:rsidR="00A55CDC">
        <w:rPr>
          <w:sz w:val="26"/>
          <w:szCs w:val="26"/>
        </w:rPr>
        <w:br/>
      </w:r>
      <w:r w:rsidRPr="00AE05E1">
        <w:rPr>
          <w:sz w:val="26"/>
          <w:szCs w:val="26"/>
        </w:rPr>
        <w:t xml:space="preserve">на корреспондентских счетах и в кассах банков) </w:t>
      </w:r>
      <w:r w:rsidR="002E3BEE">
        <w:rPr>
          <w:sz w:val="26"/>
          <w:szCs w:val="26"/>
        </w:rPr>
        <w:t xml:space="preserve">в течение длительного времени </w:t>
      </w:r>
      <w:r w:rsidR="002E3BEE">
        <w:rPr>
          <w:sz w:val="26"/>
          <w:szCs w:val="26"/>
        </w:rPr>
        <w:br/>
        <w:t xml:space="preserve">(с </w:t>
      </w:r>
      <w:r w:rsidR="002E3BEE">
        <w:rPr>
          <w:sz w:val="26"/>
          <w:szCs w:val="26"/>
          <w:lang w:val="en-US"/>
        </w:rPr>
        <w:t>IV</w:t>
      </w:r>
      <w:r w:rsidR="002E3BEE" w:rsidRPr="00464D36">
        <w:rPr>
          <w:sz w:val="26"/>
          <w:szCs w:val="26"/>
        </w:rPr>
        <w:t xml:space="preserve"> </w:t>
      </w:r>
      <w:r w:rsidR="002E3BEE">
        <w:rPr>
          <w:sz w:val="26"/>
          <w:szCs w:val="26"/>
          <w:lang w:val="uz-Cyrl-UZ"/>
        </w:rPr>
        <w:t xml:space="preserve">квартала 2017 года по </w:t>
      </w:r>
      <w:r w:rsidR="002E3BEE">
        <w:rPr>
          <w:sz w:val="26"/>
          <w:szCs w:val="26"/>
          <w:lang w:val="en-US"/>
        </w:rPr>
        <w:t>III</w:t>
      </w:r>
      <w:r w:rsidR="002E3BEE" w:rsidRPr="00A55CDC">
        <w:rPr>
          <w:sz w:val="26"/>
          <w:szCs w:val="26"/>
        </w:rPr>
        <w:t xml:space="preserve"> </w:t>
      </w:r>
      <w:r w:rsidR="002E3BEE">
        <w:rPr>
          <w:sz w:val="26"/>
          <w:szCs w:val="26"/>
        </w:rPr>
        <w:t xml:space="preserve">квартал 2019 года) </w:t>
      </w:r>
      <w:r w:rsidRPr="00AE05E1">
        <w:rPr>
          <w:sz w:val="26"/>
          <w:szCs w:val="26"/>
        </w:rPr>
        <w:t>сохраня</w:t>
      </w:r>
      <w:r w:rsidR="00A55CDC">
        <w:rPr>
          <w:sz w:val="26"/>
          <w:szCs w:val="26"/>
        </w:rPr>
        <w:t>ли</w:t>
      </w:r>
      <w:r w:rsidRPr="00AE05E1">
        <w:rPr>
          <w:sz w:val="26"/>
          <w:szCs w:val="26"/>
        </w:rPr>
        <w:t xml:space="preserve"> отрицательный тренд за счёт платежей по импортным операциям резидентов. </w:t>
      </w:r>
      <w:r w:rsidR="002E3BEE">
        <w:rPr>
          <w:sz w:val="26"/>
          <w:szCs w:val="26"/>
        </w:rPr>
        <w:t>При этом, по итогам</w:t>
      </w:r>
      <w:r w:rsidR="002E3BEE" w:rsidRPr="00AE05E1">
        <w:rPr>
          <w:sz w:val="26"/>
          <w:szCs w:val="26"/>
        </w:rPr>
        <w:t xml:space="preserve"> </w:t>
      </w:r>
      <w:r w:rsidR="002E3BEE" w:rsidRPr="007F41CE">
        <w:rPr>
          <w:sz w:val="26"/>
          <w:szCs w:val="26"/>
        </w:rPr>
        <w:t>2019</w:t>
      </w:r>
      <w:r w:rsidR="002E3BEE" w:rsidRPr="00AE05E1">
        <w:rPr>
          <w:sz w:val="26"/>
          <w:szCs w:val="26"/>
        </w:rPr>
        <w:t xml:space="preserve"> год</w:t>
      </w:r>
      <w:r w:rsidR="002E3BEE">
        <w:rPr>
          <w:sz w:val="26"/>
          <w:szCs w:val="26"/>
        </w:rPr>
        <w:t>а</w:t>
      </w:r>
      <w:r w:rsidR="002E3BEE">
        <w:rPr>
          <w:sz w:val="26"/>
          <w:szCs w:val="26"/>
          <w:lang w:val="uz-Cyrl-UZ"/>
        </w:rPr>
        <w:t xml:space="preserve"> </w:t>
      </w:r>
      <w:r w:rsidR="002E3BEE" w:rsidRPr="00AE05E1">
        <w:rPr>
          <w:sz w:val="26"/>
          <w:szCs w:val="26"/>
        </w:rPr>
        <w:t xml:space="preserve">активы </w:t>
      </w:r>
      <w:r w:rsidR="002E3BEE">
        <w:rPr>
          <w:sz w:val="26"/>
          <w:szCs w:val="26"/>
          <w:lang w:val="uz-Cyrl-UZ"/>
        </w:rPr>
        <w:t>коммерческих банков</w:t>
      </w:r>
      <w:r w:rsidR="002E3BEE" w:rsidRPr="00AE05E1">
        <w:rPr>
          <w:sz w:val="26"/>
          <w:szCs w:val="26"/>
        </w:rPr>
        <w:t xml:space="preserve"> уменьшились </w:t>
      </w:r>
      <w:r w:rsidR="00555B63">
        <w:rPr>
          <w:sz w:val="26"/>
          <w:szCs w:val="26"/>
          <w:lang w:val="uz-Cyrl-UZ"/>
        </w:rPr>
        <w:t>несмотря на положительную динамику, наблюдавшуюся</w:t>
      </w:r>
      <w:r w:rsidR="00555B63">
        <w:rPr>
          <w:sz w:val="26"/>
          <w:szCs w:val="26"/>
        </w:rPr>
        <w:t xml:space="preserve"> </w:t>
      </w:r>
      <w:r w:rsidR="007E1EFB">
        <w:rPr>
          <w:sz w:val="26"/>
          <w:szCs w:val="26"/>
        </w:rPr>
        <w:t>в течение</w:t>
      </w:r>
      <w:r w:rsidR="006332B5">
        <w:rPr>
          <w:sz w:val="26"/>
          <w:szCs w:val="26"/>
        </w:rPr>
        <w:t xml:space="preserve"> </w:t>
      </w:r>
      <w:r w:rsidR="00464D36">
        <w:rPr>
          <w:sz w:val="26"/>
          <w:szCs w:val="26"/>
          <w:lang w:val="en-US"/>
        </w:rPr>
        <w:t>IV</w:t>
      </w:r>
      <w:r w:rsidR="00464D36" w:rsidRPr="00464D36">
        <w:rPr>
          <w:sz w:val="26"/>
          <w:szCs w:val="26"/>
        </w:rPr>
        <w:t xml:space="preserve"> </w:t>
      </w:r>
      <w:r w:rsidR="00464D36">
        <w:rPr>
          <w:sz w:val="26"/>
          <w:szCs w:val="26"/>
          <w:lang w:val="uz-Cyrl-UZ"/>
        </w:rPr>
        <w:t>ква</w:t>
      </w:r>
      <w:r w:rsidR="001A53F6">
        <w:rPr>
          <w:sz w:val="26"/>
          <w:szCs w:val="26"/>
          <w:lang w:val="uz-Cyrl-UZ"/>
        </w:rPr>
        <w:t>ртала</w:t>
      </w:r>
      <w:r w:rsidR="002E3BEE">
        <w:rPr>
          <w:sz w:val="26"/>
          <w:szCs w:val="26"/>
          <w:lang w:val="uz-Cyrl-UZ"/>
        </w:rPr>
        <w:t>.</w:t>
      </w:r>
    </w:p>
    <w:p w:rsidR="00A26F1A" w:rsidRDefault="00A26F1A" w:rsidP="00A26F1A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6C4C40">
        <w:rPr>
          <w:sz w:val="26"/>
          <w:szCs w:val="26"/>
        </w:rPr>
        <w:t xml:space="preserve">Сальдо операций по торговым кредитам и авансам, представленным нерезидентам по внешнеторговым контрактам, остаётся положительным в </w:t>
      </w:r>
      <w:r w:rsidR="006621F4" w:rsidRPr="006C4C40">
        <w:rPr>
          <w:sz w:val="26"/>
          <w:szCs w:val="26"/>
        </w:rPr>
        <w:t xml:space="preserve">период </w:t>
      </w:r>
      <w:r w:rsidR="006621F4" w:rsidRPr="006C4C40">
        <w:rPr>
          <w:sz w:val="26"/>
          <w:szCs w:val="26"/>
        </w:rPr>
        <w:br/>
      </w:r>
      <w:r w:rsidRPr="006C4C40">
        <w:rPr>
          <w:sz w:val="26"/>
          <w:szCs w:val="26"/>
        </w:rPr>
        <w:t>2017-2019 год</w:t>
      </w:r>
      <w:r w:rsidR="006621F4" w:rsidRPr="006C4C40">
        <w:rPr>
          <w:sz w:val="26"/>
          <w:szCs w:val="26"/>
        </w:rPr>
        <w:t>ов</w:t>
      </w:r>
      <w:r w:rsidRPr="006C4C40">
        <w:rPr>
          <w:sz w:val="26"/>
          <w:szCs w:val="26"/>
        </w:rPr>
        <w:t xml:space="preserve">. </w:t>
      </w:r>
      <w:r w:rsidR="006621F4" w:rsidRPr="006C4C40">
        <w:rPr>
          <w:sz w:val="26"/>
          <w:szCs w:val="26"/>
        </w:rPr>
        <w:t>В</w:t>
      </w:r>
      <w:r w:rsidRPr="006C4C40">
        <w:rPr>
          <w:sz w:val="26"/>
          <w:szCs w:val="26"/>
        </w:rPr>
        <w:t xml:space="preserve"> </w:t>
      </w:r>
      <w:r w:rsidR="006621F4" w:rsidRPr="006C4C40">
        <w:rPr>
          <w:sz w:val="26"/>
          <w:szCs w:val="26"/>
        </w:rPr>
        <w:t>отчётном</w:t>
      </w:r>
      <w:r w:rsidRPr="006C4C40">
        <w:rPr>
          <w:sz w:val="26"/>
          <w:szCs w:val="26"/>
        </w:rPr>
        <w:t xml:space="preserve"> году сальдо увеличилось в 1,6 раза по сравнению </w:t>
      </w:r>
      <w:r w:rsidR="00411402">
        <w:rPr>
          <w:sz w:val="26"/>
          <w:szCs w:val="26"/>
        </w:rPr>
        <w:br/>
      </w:r>
      <w:r w:rsidRPr="006C4C40">
        <w:rPr>
          <w:sz w:val="26"/>
          <w:szCs w:val="26"/>
        </w:rPr>
        <w:t>с 2018 годом, что может быть связано с увеличением внешнеторгового оборота республики в 2019 году.</w:t>
      </w:r>
    </w:p>
    <w:p w:rsidR="00442D1D" w:rsidRPr="00442D1D" w:rsidRDefault="00442D1D" w:rsidP="00567C61">
      <w:pPr>
        <w:spacing w:before="120" w:line="288" w:lineRule="auto"/>
        <w:ind w:firstLine="709"/>
        <w:jc w:val="both"/>
        <w:rPr>
          <w:sz w:val="26"/>
          <w:szCs w:val="26"/>
          <w:u w:val="single"/>
        </w:rPr>
      </w:pPr>
      <w:r w:rsidRPr="00442D1D">
        <w:rPr>
          <w:sz w:val="26"/>
          <w:szCs w:val="26"/>
          <w:u w:val="single"/>
        </w:rPr>
        <w:t>Обязательства</w:t>
      </w:r>
    </w:p>
    <w:p w:rsidR="00567C61" w:rsidRPr="00277B9A" w:rsidRDefault="00567C61" w:rsidP="00567C61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4644C2">
        <w:rPr>
          <w:sz w:val="26"/>
          <w:szCs w:val="26"/>
        </w:rPr>
        <w:t xml:space="preserve">Чистый рост обязательств по статье «Другие инвестиции» в </w:t>
      </w:r>
      <w:r w:rsidR="00121146" w:rsidRPr="004644C2">
        <w:rPr>
          <w:sz w:val="26"/>
          <w:szCs w:val="26"/>
        </w:rPr>
        <w:t>течени</w:t>
      </w:r>
      <w:r w:rsidR="00914DE0" w:rsidRPr="004644C2">
        <w:rPr>
          <w:sz w:val="26"/>
          <w:szCs w:val="26"/>
        </w:rPr>
        <w:t>е</w:t>
      </w:r>
      <w:r w:rsidR="00121146" w:rsidRPr="004644C2">
        <w:rPr>
          <w:sz w:val="26"/>
          <w:szCs w:val="26"/>
        </w:rPr>
        <w:t xml:space="preserve"> </w:t>
      </w:r>
      <w:r w:rsidR="00DC70AA" w:rsidRPr="004644C2">
        <w:rPr>
          <w:sz w:val="26"/>
          <w:szCs w:val="26"/>
        </w:rPr>
        <w:t>2019 года</w:t>
      </w:r>
      <w:r w:rsidRPr="004644C2">
        <w:rPr>
          <w:sz w:val="26"/>
          <w:szCs w:val="26"/>
        </w:rPr>
        <w:t xml:space="preserve"> </w:t>
      </w:r>
      <w:r w:rsidR="00044E1F" w:rsidRPr="004644C2">
        <w:rPr>
          <w:sz w:val="26"/>
          <w:szCs w:val="26"/>
        </w:rPr>
        <w:t>составил</w:t>
      </w:r>
      <w:r w:rsidRPr="004644C2">
        <w:rPr>
          <w:sz w:val="26"/>
          <w:szCs w:val="26"/>
        </w:rPr>
        <w:t xml:space="preserve"> </w:t>
      </w:r>
      <w:r w:rsidR="004644C2" w:rsidRPr="004644C2">
        <w:rPr>
          <w:sz w:val="26"/>
          <w:szCs w:val="26"/>
        </w:rPr>
        <w:t>6</w:t>
      </w:r>
      <w:r w:rsidR="00121146" w:rsidRPr="004644C2">
        <w:rPr>
          <w:sz w:val="26"/>
          <w:szCs w:val="26"/>
        </w:rPr>
        <w:t>,</w:t>
      </w:r>
      <w:r w:rsidR="004644C2" w:rsidRPr="004644C2">
        <w:rPr>
          <w:sz w:val="26"/>
          <w:szCs w:val="26"/>
        </w:rPr>
        <w:t>0</w:t>
      </w:r>
      <w:r w:rsidRPr="004644C2">
        <w:rPr>
          <w:sz w:val="26"/>
          <w:szCs w:val="26"/>
        </w:rPr>
        <w:t xml:space="preserve"> млрд. долл.</w:t>
      </w:r>
      <w:r w:rsidR="00CC3DDF" w:rsidRPr="004644C2">
        <w:rPr>
          <w:sz w:val="26"/>
          <w:szCs w:val="26"/>
        </w:rPr>
        <w:t xml:space="preserve"> (</w:t>
      </w:r>
      <w:r w:rsidR="00ED3E30" w:rsidRPr="004644C2">
        <w:rPr>
          <w:sz w:val="26"/>
          <w:szCs w:val="26"/>
        </w:rPr>
        <w:t>2,3</w:t>
      </w:r>
      <w:r w:rsidR="00CC3DDF" w:rsidRPr="004644C2">
        <w:rPr>
          <w:sz w:val="26"/>
          <w:szCs w:val="26"/>
        </w:rPr>
        <w:t xml:space="preserve"> млрд. долл.</w:t>
      </w:r>
      <w:r w:rsidR="002A6DF9" w:rsidRPr="004644C2">
        <w:rPr>
          <w:sz w:val="26"/>
          <w:szCs w:val="26"/>
        </w:rPr>
        <w:t xml:space="preserve"> </w:t>
      </w:r>
      <w:r w:rsidR="00ED3E30" w:rsidRPr="004644C2">
        <w:rPr>
          <w:sz w:val="26"/>
          <w:szCs w:val="26"/>
        </w:rPr>
        <w:t>годом ранее</w:t>
      </w:r>
      <w:r w:rsidR="00CC3DDF" w:rsidRPr="004644C2">
        <w:rPr>
          <w:sz w:val="26"/>
          <w:szCs w:val="26"/>
        </w:rPr>
        <w:t xml:space="preserve">). </w:t>
      </w:r>
      <w:r w:rsidR="002A6DF9" w:rsidRPr="004644C2">
        <w:rPr>
          <w:sz w:val="26"/>
          <w:szCs w:val="26"/>
        </w:rPr>
        <w:t xml:space="preserve">Основная доля роста </w:t>
      </w:r>
      <w:r w:rsidR="00DC70AA" w:rsidRPr="004644C2">
        <w:rPr>
          <w:sz w:val="26"/>
          <w:szCs w:val="26"/>
        </w:rPr>
        <w:br/>
      </w:r>
      <w:r w:rsidR="002A6DF9" w:rsidRPr="004644C2">
        <w:rPr>
          <w:sz w:val="26"/>
          <w:szCs w:val="26"/>
        </w:rPr>
        <w:t>(</w:t>
      </w:r>
      <w:r w:rsidR="004644C2" w:rsidRPr="004644C2">
        <w:rPr>
          <w:sz w:val="26"/>
          <w:szCs w:val="26"/>
        </w:rPr>
        <w:t>94</w:t>
      </w:r>
      <w:r w:rsidRPr="004644C2">
        <w:rPr>
          <w:sz w:val="26"/>
          <w:szCs w:val="26"/>
        </w:rPr>
        <w:t>% совокупного увеличения</w:t>
      </w:r>
      <w:r w:rsidR="00B33079" w:rsidRPr="004644C2">
        <w:rPr>
          <w:sz w:val="26"/>
          <w:szCs w:val="26"/>
        </w:rPr>
        <w:t xml:space="preserve"> или </w:t>
      </w:r>
      <w:r w:rsidR="00ED3E30" w:rsidRPr="004644C2">
        <w:rPr>
          <w:sz w:val="26"/>
          <w:szCs w:val="26"/>
        </w:rPr>
        <w:t>5,6</w:t>
      </w:r>
      <w:r w:rsidR="00B33079" w:rsidRPr="004644C2">
        <w:rPr>
          <w:sz w:val="26"/>
          <w:szCs w:val="26"/>
        </w:rPr>
        <w:t xml:space="preserve"> млрд. долл.</w:t>
      </w:r>
      <w:r w:rsidRPr="004644C2">
        <w:rPr>
          <w:sz w:val="26"/>
          <w:szCs w:val="26"/>
        </w:rPr>
        <w:t xml:space="preserve">) приходится </w:t>
      </w:r>
      <w:r w:rsidR="00B33079" w:rsidRPr="004644C2">
        <w:rPr>
          <w:sz w:val="26"/>
          <w:szCs w:val="26"/>
        </w:rPr>
        <w:t xml:space="preserve">на компонент «Кредиты </w:t>
      </w:r>
      <w:r w:rsidR="00DC70AA" w:rsidRPr="004644C2">
        <w:rPr>
          <w:sz w:val="26"/>
          <w:szCs w:val="26"/>
        </w:rPr>
        <w:br/>
      </w:r>
      <w:r w:rsidR="00B33079" w:rsidRPr="004644C2">
        <w:rPr>
          <w:sz w:val="26"/>
          <w:szCs w:val="26"/>
        </w:rPr>
        <w:t>и займы»</w:t>
      </w:r>
      <w:r w:rsidR="00821582" w:rsidRPr="004644C2">
        <w:rPr>
          <w:sz w:val="26"/>
          <w:szCs w:val="26"/>
        </w:rPr>
        <w:t>.</w:t>
      </w:r>
    </w:p>
    <w:p w:rsidR="00567C61" w:rsidRPr="00277B9A" w:rsidRDefault="00567C61" w:rsidP="003E70DE">
      <w:pPr>
        <w:spacing w:before="120" w:line="288" w:lineRule="auto"/>
        <w:ind w:firstLine="709"/>
        <w:jc w:val="both"/>
        <w:rPr>
          <w:spacing w:val="-2"/>
          <w:sz w:val="26"/>
          <w:szCs w:val="26"/>
        </w:rPr>
      </w:pPr>
      <w:r w:rsidRPr="00590D64">
        <w:rPr>
          <w:spacing w:val="-2"/>
          <w:sz w:val="26"/>
          <w:szCs w:val="26"/>
        </w:rPr>
        <w:t xml:space="preserve">Анализ компонента «Кредиты и займы» по секторам экономики показал, </w:t>
      </w:r>
      <w:r w:rsidRPr="00590D64">
        <w:rPr>
          <w:spacing w:val="-2"/>
          <w:sz w:val="26"/>
          <w:szCs w:val="26"/>
        </w:rPr>
        <w:br/>
        <w:t xml:space="preserve">что </w:t>
      </w:r>
      <w:r w:rsidR="008D3FCF" w:rsidRPr="00590D64">
        <w:rPr>
          <w:spacing w:val="-2"/>
          <w:sz w:val="26"/>
          <w:szCs w:val="26"/>
        </w:rPr>
        <w:t>начиная с 201</w:t>
      </w:r>
      <w:r w:rsidR="008D3FCF">
        <w:rPr>
          <w:spacing w:val="-2"/>
          <w:sz w:val="26"/>
          <w:szCs w:val="26"/>
        </w:rPr>
        <w:t>8</w:t>
      </w:r>
      <w:r w:rsidR="008D3FCF" w:rsidRPr="00590D64">
        <w:rPr>
          <w:spacing w:val="-2"/>
          <w:sz w:val="26"/>
          <w:szCs w:val="26"/>
        </w:rPr>
        <w:t xml:space="preserve"> года </w:t>
      </w:r>
      <w:r w:rsidR="003E70DE" w:rsidRPr="00590D64">
        <w:rPr>
          <w:spacing w:val="-2"/>
          <w:sz w:val="26"/>
          <w:szCs w:val="26"/>
        </w:rPr>
        <w:t>сектор</w:t>
      </w:r>
      <w:r w:rsidRPr="00590D64">
        <w:rPr>
          <w:spacing w:val="-2"/>
          <w:sz w:val="26"/>
          <w:szCs w:val="26"/>
        </w:rPr>
        <w:t xml:space="preserve"> государственного управления </w:t>
      </w:r>
      <w:r w:rsidR="003E70DE" w:rsidRPr="00590D64">
        <w:rPr>
          <w:spacing w:val="-2"/>
          <w:sz w:val="26"/>
          <w:szCs w:val="26"/>
        </w:rPr>
        <w:t xml:space="preserve">сохраняет тенденцию </w:t>
      </w:r>
      <w:r w:rsidR="000D620A">
        <w:rPr>
          <w:spacing w:val="-2"/>
          <w:sz w:val="26"/>
          <w:szCs w:val="26"/>
        </w:rPr>
        <w:t>наращивания обязательств</w:t>
      </w:r>
      <w:r w:rsidR="003E70DE" w:rsidRPr="00590D64">
        <w:rPr>
          <w:spacing w:val="-2"/>
          <w:sz w:val="26"/>
          <w:szCs w:val="26"/>
        </w:rPr>
        <w:t xml:space="preserve">. При этом следует отметить, что в 2019 году накопление государственных заимствований </w:t>
      </w:r>
      <w:r w:rsidR="009932A2">
        <w:rPr>
          <w:spacing w:val="-2"/>
          <w:sz w:val="26"/>
          <w:szCs w:val="26"/>
        </w:rPr>
        <w:t>продолжилось</w:t>
      </w:r>
      <w:r w:rsidR="003E70DE" w:rsidRPr="00590D64">
        <w:rPr>
          <w:spacing w:val="-2"/>
          <w:sz w:val="26"/>
          <w:szCs w:val="26"/>
        </w:rPr>
        <w:t xml:space="preserve"> в ускоренных темпах </w:t>
      </w:r>
      <w:r w:rsidR="00457B80">
        <w:rPr>
          <w:spacing w:val="-2"/>
          <w:sz w:val="26"/>
          <w:szCs w:val="26"/>
        </w:rPr>
        <w:t xml:space="preserve">(рост в 2 раза) </w:t>
      </w:r>
      <w:r w:rsidR="003E70DE" w:rsidRPr="00590D64">
        <w:rPr>
          <w:spacing w:val="-2"/>
          <w:sz w:val="26"/>
          <w:szCs w:val="26"/>
        </w:rPr>
        <w:t xml:space="preserve">по сравнению с </w:t>
      </w:r>
      <w:r w:rsidR="007C7014">
        <w:rPr>
          <w:spacing w:val="-2"/>
          <w:sz w:val="26"/>
          <w:szCs w:val="26"/>
        </w:rPr>
        <w:t>2018</w:t>
      </w:r>
      <w:r w:rsidR="003E70DE" w:rsidRPr="00590D64">
        <w:rPr>
          <w:spacing w:val="-2"/>
          <w:sz w:val="26"/>
          <w:szCs w:val="26"/>
        </w:rPr>
        <w:t xml:space="preserve"> </w:t>
      </w:r>
      <w:r w:rsidR="00881F85">
        <w:rPr>
          <w:spacing w:val="-2"/>
          <w:sz w:val="26"/>
          <w:szCs w:val="26"/>
        </w:rPr>
        <w:t>годом</w:t>
      </w:r>
      <w:r w:rsidR="003E70DE" w:rsidRPr="00590D64">
        <w:rPr>
          <w:spacing w:val="-2"/>
          <w:sz w:val="26"/>
          <w:szCs w:val="26"/>
        </w:rPr>
        <w:t>.</w:t>
      </w:r>
      <w:r w:rsidR="00822D28" w:rsidRPr="00590D64">
        <w:rPr>
          <w:spacing w:val="-2"/>
          <w:sz w:val="26"/>
          <w:szCs w:val="26"/>
        </w:rPr>
        <w:t xml:space="preserve"> </w:t>
      </w:r>
      <w:r w:rsidRPr="00590D64">
        <w:rPr>
          <w:spacing w:val="-2"/>
          <w:sz w:val="26"/>
          <w:szCs w:val="26"/>
        </w:rPr>
        <w:t xml:space="preserve">Данный процесс обусловлен необходимостью финансирования государственных целевых программ по развитию отраслей и регионов </w:t>
      </w:r>
      <w:r w:rsidRPr="00590D64">
        <w:rPr>
          <w:color w:val="0070C0"/>
          <w:spacing w:val="-2"/>
          <w:sz w:val="26"/>
          <w:szCs w:val="26"/>
        </w:rPr>
        <w:t>(Диаграмма 1</w:t>
      </w:r>
      <w:r w:rsidR="00007D35">
        <w:rPr>
          <w:color w:val="0070C0"/>
          <w:spacing w:val="-2"/>
          <w:sz w:val="26"/>
          <w:szCs w:val="26"/>
        </w:rPr>
        <w:t>4</w:t>
      </w:r>
      <w:r w:rsidRPr="00590D64">
        <w:rPr>
          <w:color w:val="0070C0"/>
          <w:spacing w:val="-2"/>
          <w:sz w:val="26"/>
          <w:szCs w:val="26"/>
        </w:rPr>
        <w:t>)</w:t>
      </w:r>
      <w:r w:rsidRPr="00590D64">
        <w:rPr>
          <w:spacing w:val="-2"/>
          <w:sz w:val="26"/>
          <w:szCs w:val="26"/>
        </w:rPr>
        <w:t>.</w:t>
      </w:r>
    </w:p>
    <w:p w:rsidR="00567C61" w:rsidRPr="00311885" w:rsidRDefault="007233B1" w:rsidP="00567C61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3A129B">
        <w:rPr>
          <w:sz w:val="26"/>
          <w:szCs w:val="26"/>
        </w:rPr>
        <w:t xml:space="preserve">Чистый рост обязательств </w:t>
      </w:r>
      <w:r w:rsidR="00567C61" w:rsidRPr="003A129B">
        <w:rPr>
          <w:sz w:val="26"/>
          <w:szCs w:val="26"/>
        </w:rPr>
        <w:t>по кредитам и займам банков</w:t>
      </w:r>
      <w:r w:rsidRPr="003A129B">
        <w:rPr>
          <w:sz w:val="26"/>
          <w:szCs w:val="26"/>
        </w:rPr>
        <w:t>ского сектора</w:t>
      </w:r>
      <w:r w:rsidR="00567C61" w:rsidRPr="003A129B">
        <w:rPr>
          <w:sz w:val="26"/>
          <w:szCs w:val="26"/>
        </w:rPr>
        <w:t xml:space="preserve"> </w:t>
      </w:r>
      <w:r w:rsidRPr="003A129B">
        <w:rPr>
          <w:sz w:val="26"/>
          <w:szCs w:val="26"/>
        </w:rPr>
        <w:br/>
      </w:r>
      <w:r w:rsidR="00092584">
        <w:rPr>
          <w:sz w:val="26"/>
          <w:szCs w:val="26"/>
        </w:rPr>
        <w:t>за 2019 год</w:t>
      </w:r>
      <w:r w:rsidR="00567C61" w:rsidRPr="003A129B">
        <w:rPr>
          <w:sz w:val="26"/>
          <w:szCs w:val="26"/>
        </w:rPr>
        <w:t xml:space="preserve"> </w:t>
      </w:r>
      <w:r w:rsidR="007C7014">
        <w:rPr>
          <w:sz w:val="26"/>
          <w:szCs w:val="26"/>
          <w:lang w:val="uz-Cyrl-UZ"/>
        </w:rPr>
        <w:t>–</w:t>
      </w:r>
      <w:r w:rsidR="00567C61" w:rsidRPr="003A129B">
        <w:rPr>
          <w:sz w:val="26"/>
          <w:szCs w:val="26"/>
        </w:rPr>
        <w:t xml:space="preserve"> </w:t>
      </w:r>
      <w:r w:rsidR="004324BA" w:rsidRPr="003A129B">
        <w:rPr>
          <w:sz w:val="26"/>
          <w:szCs w:val="26"/>
        </w:rPr>
        <w:t>1,6</w:t>
      </w:r>
      <w:r w:rsidR="00C016CB" w:rsidRPr="003A129B">
        <w:rPr>
          <w:sz w:val="26"/>
          <w:szCs w:val="26"/>
        </w:rPr>
        <w:t xml:space="preserve"> мл</w:t>
      </w:r>
      <w:r w:rsidR="004324BA" w:rsidRPr="003A129B">
        <w:rPr>
          <w:sz w:val="26"/>
          <w:szCs w:val="26"/>
        </w:rPr>
        <w:t>рд</w:t>
      </w:r>
      <w:r w:rsidR="00C016CB" w:rsidRPr="003A129B">
        <w:rPr>
          <w:sz w:val="26"/>
          <w:szCs w:val="26"/>
        </w:rPr>
        <w:t>. долл.</w:t>
      </w:r>
      <w:r w:rsidR="004324BA" w:rsidRPr="003A129B">
        <w:rPr>
          <w:sz w:val="26"/>
          <w:szCs w:val="26"/>
        </w:rPr>
        <w:t>, что</w:t>
      </w:r>
      <w:r w:rsidR="00C016CB" w:rsidRPr="003A129B">
        <w:rPr>
          <w:sz w:val="26"/>
          <w:szCs w:val="26"/>
        </w:rPr>
        <w:t xml:space="preserve"> </w:t>
      </w:r>
      <w:r w:rsidR="00567C61" w:rsidRPr="003A129B">
        <w:rPr>
          <w:sz w:val="26"/>
          <w:szCs w:val="26"/>
        </w:rPr>
        <w:t xml:space="preserve">в </w:t>
      </w:r>
      <w:r w:rsidR="00D5156D" w:rsidRPr="003A129B">
        <w:rPr>
          <w:sz w:val="26"/>
          <w:szCs w:val="26"/>
        </w:rPr>
        <w:t>4</w:t>
      </w:r>
      <w:r w:rsidR="00567C61" w:rsidRPr="003A129B">
        <w:rPr>
          <w:sz w:val="26"/>
          <w:szCs w:val="26"/>
        </w:rPr>
        <w:t xml:space="preserve"> раз</w:t>
      </w:r>
      <w:r w:rsidR="00D5156D" w:rsidRPr="003A129B">
        <w:rPr>
          <w:sz w:val="26"/>
          <w:szCs w:val="26"/>
        </w:rPr>
        <w:t>а</w:t>
      </w:r>
      <w:r w:rsidR="00567C61" w:rsidRPr="003A129B">
        <w:rPr>
          <w:sz w:val="26"/>
          <w:szCs w:val="26"/>
        </w:rPr>
        <w:t xml:space="preserve"> больше </w:t>
      </w:r>
      <w:r w:rsidR="007D7CA4" w:rsidRPr="003A129B">
        <w:rPr>
          <w:sz w:val="26"/>
          <w:szCs w:val="26"/>
        </w:rPr>
        <w:t xml:space="preserve">по сравнению с </w:t>
      </w:r>
      <w:r w:rsidR="00C016CB" w:rsidRPr="003A129B">
        <w:rPr>
          <w:sz w:val="26"/>
          <w:szCs w:val="26"/>
        </w:rPr>
        <w:t>показател</w:t>
      </w:r>
      <w:r w:rsidR="007D7CA4" w:rsidRPr="003A129B">
        <w:rPr>
          <w:sz w:val="26"/>
          <w:szCs w:val="26"/>
        </w:rPr>
        <w:t>ем</w:t>
      </w:r>
      <w:r w:rsidR="00C016CB" w:rsidRPr="003A129B">
        <w:rPr>
          <w:sz w:val="26"/>
          <w:szCs w:val="26"/>
        </w:rPr>
        <w:t xml:space="preserve"> </w:t>
      </w:r>
      <w:r w:rsidR="007C7014">
        <w:rPr>
          <w:sz w:val="26"/>
          <w:szCs w:val="26"/>
        </w:rPr>
        <w:t>2018</w:t>
      </w:r>
      <w:r w:rsidR="00567C61" w:rsidRPr="003A129B">
        <w:rPr>
          <w:sz w:val="26"/>
          <w:szCs w:val="26"/>
        </w:rPr>
        <w:t xml:space="preserve"> года. Данный рост связан с </w:t>
      </w:r>
      <w:r w:rsidR="00D80C1F" w:rsidRPr="003A129B">
        <w:rPr>
          <w:sz w:val="26"/>
          <w:szCs w:val="26"/>
        </w:rPr>
        <w:t>активизацией</w:t>
      </w:r>
      <w:r w:rsidR="00EA4835" w:rsidRPr="003A129B">
        <w:rPr>
          <w:sz w:val="26"/>
          <w:szCs w:val="26"/>
        </w:rPr>
        <w:t xml:space="preserve"> деятельности </w:t>
      </w:r>
      <w:r w:rsidR="00311885" w:rsidRPr="003A129B">
        <w:rPr>
          <w:sz w:val="26"/>
          <w:szCs w:val="26"/>
        </w:rPr>
        <w:t xml:space="preserve">крупных отечественных </w:t>
      </w:r>
      <w:r w:rsidR="00567C61" w:rsidRPr="003A129B">
        <w:rPr>
          <w:sz w:val="26"/>
          <w:szCs w:val="26"/>
        </w:rPr>
        <w:t xml:space="preserve">банков </w:t>
      </w:r>
      <w:r w:rsidR="007C7014">
        <w:rPr>
          <w:sz w:val="26"/>
          <w:szCs w:val="26"/>
        </w:rPr>
        <w:br/>
      </w:r>
      <w:r w:rsidR="00567C61" w:rsidRPr="003A129B">
        <w:rPr>
          <w:sz w:val="26"/>
          <w:szCs w:val="26"/>
        </w:rPr>
        <w:t>по привлечению средств зарубежных банков и международных финансовых институтов.</w:t>
      </w:r>
    </w:p>
    <w:p w:rsidR="008656EF" w:rsidRDefault="008656EF" w:rsidP="008656EF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D77042">
        <w:rPr>
          <w:sz w:val="26"/>
          <w:szCs w:val="26"/>
        </w:rPr>
        <w:t xml:space="preserve">Сальдо операций по внешним заимствованиям других секторов </w:t>
      </w:r>
      <w:r w:rsidR="00BC5969" w:rsidRPr="00D77042">
        <w:rPr>
          <w:sz w:val="26"/>
          <w:szCs w:val="26"/>
        </w:rPr>
        <w:t>оставалось</w:t>
      </w:r>
      <w:r w:rsidRPr="00D77042">
        <w:rPr>
          <w:sz w:val="26"/>
          <w:szCs w:val="26"/>
        </w:rPr>
        <w:t xml:space="preserve"> отрицательным </w:t>
      </w:r>
      <w:r w:rsidR="00BC5969" w:rsidRPr="00D77042">
        <w:rPr>
          <w:sz w:val="26"/>
          <w:szCs w:val="26"/>
        </w:rPr>
        <w:t xml:space="preserve">в течение </w:t>
      </w:r>
      <w:r w:rsidR="007C7014">
        <w:rPr>
          <w:sz w:val="26"/>
          <w:szCs w:val="26"/>
        </w:rPr>
        <w:t>2017-2019</w:t>
      </w:r>
      <w:r w:rsidR="00510131">
        <w:rPr>
          <w:sz w:val="26"/>
          <w:szCs w:val="26"/>
        </w:rPr>
        <w:t xml:space="preserve"> </w:t>
      </w:r>
      <w:r w:rsidR="007C7014">
        <w:rPr>
          <w:sz w:val="26"/>
          <w:szCs w:val="26"/>
        </w:rPr>
        <w:t>гг.</w:t>
      </w:r>
      <w:r w:rsidR="00BC5969" w:rsidRPr="00D77042">
        <w:rPr>
          <w:sz w:val="26"/>
          <w:szCs w:val="26"/>
        </w:rPr>
        <w:t xml:space="preserve"> </w:t>
      </w:r>
      <w:r w:rsidR="00161443" w:rsidRPr="00D77042">
        <w:rPr>
          <w:sz w:val="26"/>
          <w:szCs w:val="26"/>
        </w:rPr>
        <w:t>При этом</w:t>
      </w:r>
      <w:r w:rsidR="009E1115" w:rsidRPr="00D77042">
        <w:rPr>
          <w:sz w:val="26"/>
          <w:szCs w:val="26"/>
        </w:rPr>
        <w:t>,</w:t>
      </w:r>
      <w:r w:rsidR="00161443" w:rsidRPr="00D77042">
        <w:rPr>
          <w:sz w:val="26"/>
          <w:szCs w:val="26"/>
        </w:rPr>
        <w:t xml:space="preserve"> </w:t>
      </w:r>
      <w:r w:rsidR="00092584">
        <w:rPr>
          <w:sz w:val="26"/>
          <w:szCs w:val="26"/>
        </w:rPr>
        <w:t>отрицательное</w:t>
      </w:r>
      <w:r w:rsidR="00161443" w:rsidRPr="00D77042">
        <w:rPr>
          <w:sz w:val="26"/>
          <w:szCs w:val="26"/>
        </w:rPr>
        <w:t xml:space="preserve"> </w:t>
      </w:r>
      <w:r w:rsidRPr="00D77042">
        <w:rPr>
          <w:sz w:val="26"/>
          <w:szCs w:val="26"/>
        </w:rPr>
        <w:t xml:space="preserve">сальдо в </w:t>
      </w:r>
      <w:r w:rsidR="00D77042" w:rsidRPr="00D77042">
        <w:rPr>
          <w:sz w:val="26"/>
          <w:szCs w:val="26"/>
        </w:rPr>
        <w:t>2018-</w:t>
      </w:r>
      <w:r w:rsidR="009E1115" w:rsidRPr="00D77042">
        <w:rPr>
          <w:sz w:val="26"/>
          <w:szCs w:val="26"/>
        </w:rPr>
        <w:t xml:space="preserve">2019 </w:t>
      </w:r>
      <w:r w:rsidR="009E1115" w:rsidRPr="00026795">
        <w:rPr>
          <w:sz w:val="26"/>
          <w:szCs w:val="26"/>
        </w:rPr>
        <w:t>г</w:t>
      </w:r>
      <w:r w:rsidR="00510131">
        <w:rPr>
          <w:sz w:val="26"/>
          <w:szCs w:val="26"/>
        </w:rPr>
        <w:t>г.</w:t>
      </w:r>
      <w:r w:rsidR="00710622" w:rsidRPr="00026795">
        <w:rPr>
          <w:sz w:val="26"/>
          <w:szCs w:val="26"/>
        </w:rPr>
        <w:t>, сложивш</w:t>
      </w:r>
      <w:r w:rsidR="00510131">
        <w:rPr>
          <w:sz w:val="26"/>
          <w:szCs w:val="26"/>
        </w:rPr>
        <w:t>ее</w:t>
      </w:r>
      <w:r w:rsidR="00710622" w:rsidRPr="00026795">
        <w:rPr>
          <w:sz w:val="26"/>
          <w:szCs w:val="26"/>
        </w:rPr>
        <w:t>ся</w:t>
      </w:r>
      <w:r w:rsidRPr="00026795">
        <w:rPr>
          <w:sz w:val="26"/>
          <w:szCs w:val="26"/>
        </w:rPr>
        <w:t xml:space="preserve"> </w:t>
      </w:r>
      <w:r w:rsidR="00710622" w:rsidRPr="00026795">
        <w:rPr>
          <w:sz w:val="26"/>
          <w:szCs w:val="26"/>
        </w:rPr>
        <w:t xml:space="preserve">на уровне </w:t>
      </w:r>
      <w:r w:rsidR="00D77042" w:rsidRPr="00026795">
        <w:rPr>
          <w:sz w:val="26"/>
          <w:szCs w:val="26"/>
        </w:rPr>
        <w:t xml:space="preserve">744 млн. долл. и </w:t>
      </w:r>
      <w:r w:rsidR="00710622" w:rsidRPr="00026795">
        <w:rPr>
          <w:sz w:val="26"/>
          <w:szCs w:val="26"/>
        </w:rPr>
        <w:t>660 млн. долл.</w:t>
      </w:r>
      <w:r w:rsidR="00510131">
        <w:rPr>
          <w:sz w:val="26"/>
          <w:szCs w:val="26"/>
        </w:rPr>
        <w:t xml:space="preserve"> соответственно</w:t>
      </w:r>
      <w:r w:rsidR="00710622" w:rsidRPr="00026795">
        <w:rPr>
          <w:sz w:val="26"/>
          <w:szCs w:val="26"/>
        </w:rPr>
        <w:t xml:space="preserve">, </w:t>
      </w:r>
      <w:r w:rsidRPr="00026795">
        <w:rPr>
          <w:sz w:val="26"/>
          <w:szCs w:val="26"/>
        </w:rPr>
        <w:t>объясняется наступлением сроков погашения по крупным кредитам, полученным предприятиями нефтегазовой отрасли.</w:t>
      </w:r>
    </w:p>
    <w:p w:rsidR="00026795" w:rsidRPr="00BF53B6" w:rsidRDefault="00026795" w:rsidP="008656EF">
      <w:pPr>
        <w:spacing w:before="120" w:line="288" w:lineRule="auto"/>
        <w:ind w:firstLine="709"/>
        <w:jc w:val="both"/>
        <w:rPr>
          <w:sz w:val="26"/>
          <w:szCs w:val="26"/>
        </w:rPr>
      </w:pPr>
    </w:p>
    <w:p w:rsidR="00932FF9" w:rsidRPr="00156444" w:rsidRDefault="00712D5D" w:rsidP="00567C61">
      <w:pPr>
        <w:spacing w:before="120" w:line="288" w:lineRule="auto"/>
        <w:ind w:firstLine="709"/>
        <w:jc w:val="both"/>
        <w:rPr>
          <w:sz w:val="26"/>
          <w:szCs w:val="26"/>
          <w:lang w:val="uz-Cyrl-UZ"/>
        </w:rPr>
      </w:pPr>
      <w:r w:rsidRPr="0012671F">
        <w:rPr>
          <w:sz w:val="26"/>
          <w:szCs w:val="26"/>
          <w:lang w:val="uz-Cyrl-UZ"/>
        </w:rPr>
        <w:t xml:space="preserve">Чистый рост обязательств по </w:t>
      </w:r>
      <w:r w:rsidR="00567C61" w:rsidRPr="0012671F">
        <w:rPr>
          <w:sz w:val="26"/>
          <w:szCs w:val="26"/>
          <w:lang w:val="uz-Cyrl-UZ"/>
        </w:rPr>
        <w:t xml:space="preserve">статье «Торговые кредиты и авансы» </w:t>
      </w:r>
      <w:r w:rsidR="00567C61" w:rsidRPr="0012671F">
        <w:rPr>
          <w:i/>
          <w:sz w:val="26"/>
          <w:szCs w:val="26"/>
        </w:rPr>
        <w:t xml:space="preserve">(кредиторская задолженность) </w:t>
      </w:r>
      <w:r w:rsidR="003253DB" w:rsidRPr="0012671F">
        <w:rPr>
          <w:sz w:val="26"/>
          <w:szCs w:val="26"/>
          <w:lang w:val="uz-Cyrl-UZ"/>
        </w:rPr>
        <w:t xml:space="preserve">за </w:t>
      </w:r>
      <w:r w:rsidR="00C841C2" w:rsidRPr="0012671F">
        <w:rPr>
          <w:sz w:val="26"/>
          <w:szCs w:val="26"/>
          <w:lang w:val="uz-Cyrl-UZ"/>
        </w:rPr>
        <w:t>2019 год</w:t>
      </w:r>
      <w:r w:rsidR="00567C61" w:rsidRPr="0012671F">
        <w:rPr>
          <w:sz w:val="26"/>
          <w:szCs w:val="26"/>
          <w:lang w:val="uz-Cyrl-UZ"/>
        </w:rPr>
        <w:t xml:space="preserve"> составил </w:t>
      </w:r>
      <w:r w:rsidR="0012671F" w:rsidRPr="0012671F">
        <w:rPr>
          <w:sz w:val="26"/>
          <w:szCs w:val="26"/>
          <w:lang w:val="uz-Cyrl-UZ"/>
        </w:rPr>
        <w:t>215</w:t>
      </w:r>
      <w:r w:rsidR="00567C61" w:rsidRPr="0012671F">
        <w:rPr>
          <w:sz w:val="26"/>
          <w:szCs w:val="26"/>
          <w:lang w:val="uz-Cyrl-UZ"/>
        </w:rPr>
        <w:t xml:space="preserve"> млн. долл. </w:t>
      </w:r>
      <w:r w:rsidR="007C7014">
        <w:rPr>
          <w:sz w:val="26"/>
          <w:szCs w:val="26"/>
          <w:lang w:val="uz-Cyrl-UZ"/>
        </w:rPr>
        <w:t>Р</w:t>
      </w:r>
      <w:r w:rsidR="00567C61" w:rsidRPr="0012671F">
        <w:rPr>
          <w:sz w:val="26"/>
          <w:szCs w:val="26"/>
          <w:lang w:val="uz-Cyrl-UZ"/>
        </w:rPr>
        <w:t xml:space="preserve">ост обязательств </w:t>
      </w:r>
      <w:r w:rsidR="007C7014">
        <w:rPr>
          <w:sz w:val="26"/>
          <w:szCs w:val="26"/>
          <w:lang w:val="uz-Cyrl-UZ"/>
        </w:rPr>
        <w:t xml:space="preserve">может </w:t>
      </w:r>
      <w:r w:rsidR="007C7014">
        <w:rPr>
          <w:sz w:val="26"/>
          <w:szCs w:val="26"/>
          <w:lang w:val="uz-Cyrl-UZ"/>
        </w:rPr>
        <w:lastRenderedPageBreak/>
        <w:t>объя</w:t>
      </w:r>
      <w:r w:rsidR="00295F91">
        <w:rPr>
          <w:sz w:val="26"/>
          <w:szCs w:val="26"/>
          <w:lang w:val="uz-Cyrl-UZ"/>
        </w:rPr>
        <w:t>с</w:t>
      </w:r>
      <w:r w:rsidR="007C7014">
        <w:rPr>
          <w:sz w:val="26"/>
          <w:szCs w:val="26"/>
          <w:lang w:val="uz-Cyrl-UZ"/>
        </w:rPr>
        <w:t>нят</w:t>
      </w:r>
      <w:r w:rsidR="00295F91">
        <w:rPr>
          <w:sz w:val="26"/>
          <w:szCs w:val="26"/>
          <w:lang w:val="uz-Cyrl-UZ"/>
        </w:rPr>
        <w:t>ь</w:t>
      </w:r>
      <w:r w:rsidR="007C7014">
        <w:rPr>
          <w:sz w:val="26"/>
          <w:szCs w:val="26"/>
          <w:lang w:val="uz-Cyrl-UZ"/>
        </w:rPr>
        <w:t xml:space="preserve">ся </w:t>
      </w:r>
      <w:r w:rsidR="00567C61" w:rsidRPr="0012671F">
        <w:rPr>
          <w:sz w:val="26"/>
          <w:szCs w:val="26"/>
          <w:lang w:val="uz-Cyrl-UZ"/>
        </w:rPr>
        <w:t>увеличени</w:t>
      </w:r>
      <w:r w:rsidR="001A16F6">
        <w:rPr>
          <w:sz w:val="26"/>
          <w:szCs w:val="26"/>
          <w:lang w:val="uz-Cyrl-UZ"/>
        </w:rPr>
        <w:t>ем</w:t>
      </w:r>
      <w:r w:rsidR="00567C61" w:rsidRPr="0012671F">
        <w:rPr>
          <w:sz w:val="26"/>
          <w:szCs w:val="26"/>
          <w:lang w:val="uz-Cyrl-UZ"/>
        </w:rPr>
        <w:t xml:space="preserve"> оборота</w:t>
      </w:r>
      <w:r w:rsidR="007516E0" w:rsidRPr="0012671F">
        <w:rPr>
          <w:sz w:val="26"/>
          <w:szCs w:val="26"/>
          <w:lang w:val="uz-Cyrl-UZ"/>
        </w:rPr>
        <w:t xml:space="preserve"> по импортным операциям</w:t>
      </w:r>
      <w:r w:rsidR="00567C61" w:rsidRPr="0012671F">
        <w:rPr>
          <w:sz w:val="26"/>
          <w:szCs w:val="26"/>
          <w:lang w:val="uz-Cyrl-UZ"/>
        </w:rPr>
        <w:t xml:space="preserve">. </w:t>
      </w:r>
      <w:r w:rsidR="001E2AE9" w:rsidRPr="0012671F">
        <w:rPr>
          <w:sz w:val="26"/>
          <w:szCs w:val="26"/>
          <w:lang w:val="uz-Cyrl-UZ"/>
        </w:rPr>
        <w:t xml:space="preserve">Необходимо </w:t>
      </w:r>
      <w:r w:rsidR="00567C61" w:rsidRPr="0012671F">
        <w:rPr>
          <w:sz w:val="26"/>
          <w:szCs w:val="26"/>
          <w:lang w:val="uz-Cyrl-UZ"/>
        </w:rPr>
        <w:t xml:space="preserve">отметить, что рост торговых кредитов и рост остатков иностранной валюты </w:t>
      </w:r>
      <w:r w:rsidR="007C7014">
        <w:rPr>
          <w:sz w:val="26"/>
          <w:szCs w:val="26"/>
          <w:lang w:val="uz-Cyrl-UZ"/>
        </w:rPr>
        <w:t xml:space="preserve">у </w:t>
      </w:r>
      <w:r w:rsidR="00567C61" w:rsidRPr="0012671F">
        <w:rPr>
          <w:sz w:val="26"/>
          <w:szCs w:val="26"/>
          <w:lang w:val="uz-Cyrl-UZ"/>
        </w:rPr>
        <w:t xml:space="preserve">населения частично компенсируются. В этой связи, потоки по торговым кредитам и авансам, а также </w:t>
      </w:r>
      <w:r w:rsidR="007C7014">
        <w:rPr>
          <w:sz w:val="26"/>
          <w:szCs w:val="26"/>
          <w:lang w:val="uz-Cyrl-UZ"/>
        </w:rPr>
        <w:br/>
      </w:r>
      <w:r w:rsidR="00567C61" w:rsidRPr="0012671F">
        <w:rPr>
          <w:sz w:val="26"/>
          <w:szCs w:val="26"/>
          <w:lang w:val="uz-Cyrl-UZ"/>
        </w:rPr>
        <w:t xml:space="preserve">по сбережениям населения в иностранной валюте отражены </w:t>
      </w:r>
      <w:r w:rsidR="007516E0" w:rsidRPr="0012671F">
        <w:rPr>
          <w:sz w:val="26"/>
          <w:szCs w:val="26"/>
          <w:lang w:val="uz-Cyrl-UZ"/>
        </w:rPr>
        <w:t>с учё</w:t>
      </w:r>
      <w:r w:rsidR="00567C61" w:rsidRPr="0012671F">
        <w:rPr>
          <w:sz w:val="26"/>
          <w:szCs w:val="26"/>
          <w:lang w:val="uz-Cyrl-UZ"/>
        </w:rPr>
        <w:t>том вышеупомянутых факторов.</w:t>
      </w:r>
    </w:p>
    <w:p w:rsidR="00686034" w:rsidRPr="00AD0615" w:rsidRDefault="00686034" w:rsidP="00567C61">
      <w:pPr>
        <w:spacing w:line="288" w:lineRule="auto"/>
        <w:ind w:firstLine="709"/>
        <w:jc w:val="right"/>
        <w:rPr>
          <w:sz w:val="26"/>
          <w:szCs w:val="26"/>
        </w:rPr>
      </w:pPr>
    </w:p>
    <w:p w:rsidR="00567C61" w:rsidRPr="00990C61" w:rsidRDefault="003228B4" w:rsidP="0017115E">
      <w:pPr>
        <w:spacing w:after="80" w:line="288" w:lineRule="auto"/>
        <w:ind w:firstLine="709"/>
        <w:jc w:val="right"/>
      </w:pPr>
      <w:r>
        <w:t>Диаграмма 1</w:t>
      </w:r>
      <w:r w:rsidR="00007D35">
        <w:t>4</w:t>
      </w:r>
    </w:p>
    <w:p w:rsidR="00567C61" w:rsidRPr="00990C61" w:rsidRDefault="00567C61" w:rsidP="00567C61">
      <w:pPr>
        <w:jc w:val="center"/>
        <w:rPr>
          <w:b/>
          <w:sz w:val="26"/>
          <w:szCs w:val="26"/>
        </w:rPr>
      </w:pPr>
      <w:r w:rsidRPr="00990C61">
        <w:rPr>
          <w:b/>
          <w:sz w:val="26"/>
          <w:szCs w:val="26"/>
        </w:rPr>
        <w:t>ЧИСТЫЕ ИЗМЕНЕНИЯ СОСТАВНЫХ КОМПОНЕНТА «КРЕДИТЫ И ЗАЙМЫ»</w:t>
      </w:r>
    </w:p>
    <w:p w:rsidR="00567C61" w:rsidRPr="00990C61" w:rsidRDefault="00567C61" w:rsidP="00567C61">
      <w:pPr>
        <w:ind w:firstLine="708"/>
        <w:jc w:val="right"/>
        <w:rPr>
          <w:i/>
          <w:sz w:val="10"/>
          <w:szCs w:val="10"/>
        </w:rPr>
      </w:pPr>
    </w:p>
    <w:p w:rsidR="00567C61" w:rsidRPr="001E0A02" w:rsidRDefault="00567C61" w:rsidP="00970D88">
      <w:pPr>
        <w:spacing w:after="120"/>
        <w:ind w:firstLine="709"/>
        <w:jc w:val="right"/>
        <w:rPr>
          <w:i/>
        </w:rPr>
      </w:pPr>
      <w:r w:rsidRPr="00990C61">
        <w:rPr>
          <w:i/>
        </w:rPr>
        <w:t>(млн. долл.)</w:t>
      </w:r>
    </w:p>
    <w:p w:rsidR="00A741F6" w:rsidRDefault="00CE6ED4" w:rsidP="00567C61">
      <w:pPr>
        <w:rPr>
          <w:noProof/>
        </w:rPr>
      </w:pPr>
      <w:r>
        <w:rPr>
          <w:noProof/>
        </w:rPr>
        <w:drawing>
          <wp:inline distT="0" distB="0" distL="0" distR="0">
            <wp:extent cx="6299835" cy="3593805"/>
            <wp:effectExtent l="0" t="0" r="5715" b="698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63"/>
      </w:tblGrid>
      <w:tr w:rsidR="00567C61" w:rsidTr="00504C65">
        <w:trPr>
          <w:trHeight w:val="13649"/>
        </w:trPr>
        <w:tc>
          <w:tcPr>
            <w:tcW w:w="9863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  <w:shd w:val="clear" w:color="auto" w:fill="auto"/>
          </w:tcPr>
          <w:p w:rsidR="00567C61" w:rsidRPr="0093458A" w:rsidRDefault="0051438B" w:rsidP="003023F3">
            <w:pPr>
              <w:spacing w:before="120" w:after="120" w:line="288" w:lineRule="auto"/>
              <w:ind w:left="284" w:right="274"/>
              <w:rPr>
                <w:b/>
              </w:rPr>
            </w:pPr>
            <w:r>
              <w:rPr>
                <w:noProof/>
              </w:rPr>
              <w:lastRenderedPageBreak/>
              <w:br w:type="page"/>
            </w:r>
            <w:r>
              <w:rPr>
                <w:noProof/>
              </w:rPr>
              <w:br w:type="page"/>
            </w:r>
            <w:r w:rsidR="00567C61" w:rsidRPr="0093458A">
              <w:rPr>
                <w:b/>
              </w:rPr>
              <w:t>Вставка 1. Структура операций по обязательствам в финансовом счёте</w:t>
            </w:r>
          </w:p>
          <w:p w:rsidR="00317774" w:rsidRDefault="00567C61" w:rsidP="003023F3">
            <w:pPr>
              <w:spacing w:before="120" w:after="120" w:line="288" w:lineRule="auto"/>
              <w:ind w:left="284" w:right="274" w:firstLine="709"/>
              <w:jc w:val="both"/>
            </w:pPr>
            <w:r w:rsidRPr="009E0D23">
              <w:t xml:space="preserve">Анализ операций по обязательствам в финансовом счёте показал, </w:t>
            </w:r>
            <w:r w:rsidR="00825FEA">
              <w:br/>
            </w:r>
            <w:r w:rsidRPr="009E0D23">
              <w:t xml:space="preserve">что в основном потоки по обязательствам перед внешним миром приходятся </w:t>
            </w:r>
            <w:r w:rsidR="00825FEA">
              <w:br/>
            </w:r>
            <w:r w:rsidRPr="009E0D23">
              <w:t>на компоненты «Ссуды и займы»</w:t>
            </w:r>
            <w:r w:rsidR="00ED494E" w:rsidRPr="009E0D23">
              <w:t xml:space="preserve"> и «Прямые инвестиции»</w:t>
            </w:r>
            <w:r w:rsidRPr="009E0D23">
              <w:t>.</w:t>
            </w:r>
          </w:p>
          <w:p w:rsidR="00567C61" w:rsidRPr="00317774" w:rsidRDefault="00567C61" w:rsidP="003023F3">
            <w:pPr>
              <w:spacing w:before="120" w:after="120" w:line="288" w:lineRule="auto"/>
              <w:ind w:left="284" w:right="274" w:firstLine="709"/>
              <w:jc w:val="both"/>
              <w:rPr>
                <w:spacing w:val="-3"/>
              </w:rPr>
            </w:pPr>
            <w:r w:rsidRPr="00317774">
              <w:rPr>
                <w:spacing w:val="-3"/>
              </w:rPr>
              <w:t xml:space="preserve">В 2018 году удельный вес ссуд и займов преобладал над прямыми иностранными инвестициями. Данное явление объясняется увеличением объёмов заимствования сектором государственного управления в целях финансирования государственных целевых программ по развитию отраслей и регионов. Также, объёмы </w:t>
            </w:r>
            <w:r w:rsidR="00F03521" w:rsidRPr="00317774">
              <w:rPr>
                <w:spacing w:val="-3"/>
              </w:rPr>
              <w:t xml:space="preserve">чистых </w:t>
            </w:r>
            <w:r w:rsidRPr="00317774">
              <w:rPr>
                <w:spacing w:val="-3"/>
              </w:rPr>
              <w:t xml:space="preserve">прямых иностранных инвестиций сократились в 2018 году в связи с </w:t>
            </w:r>
            <w:r w:rsidR="00543C33" w:rsidRPr="00317774">
              <w:rPr>
                <w:spacing w:val="-3"/>
              </w:rPr>
              <w:t xml:space="preserve">увеличением выплат </w:t>
            </w:r>
            <w:r w:rsidR="001E3E85" w:rsidRPr="00317774">
              <w:rPr>
                <w:spacing w:val="-3"/>
              </w:rPr>
              <w:t>в рамках СРП.</w:t>
            </w:r>
          </w:p>
          <w:p w:rsidR="00567C61" w:rsidRPr="009E0D23" w:rsidRDefault="00567C61" w:rsidP="003023F3">
            <w:pPr>
              <w:spacing w:before="120" w:after="120" w:line="288" w:lineRule="auto"/>
              <w:ind w:left="284" w:right="274" w:firstLine="709"/>
              <w:jc w:val="both"/>
            </w:pPr>
            <w:r w:rsidRPr="009E0D23">
              <w:t xml:space="preserve">По итогам </w:t>
            </w:r>
            <w:r w:rsidR="00A713E5">
              <w:t>2019 года</w:t>
            </w:r>
            <w:r w:rsidRPr="009E0D23">
              <w:t>, несмотря на чистый рост прямых</w:t>
            </w:r>
            <w:r>
              <w:t xml:space="preserve"> иностранных</w:t>
            </w:r>
            <w:r w:rsidRPr="009E0D23">
              <w:t xml:space="preserve"> инвестиций, ссуды</w:t>
            </w:r>
            <w:r w:rsidRPr="0093458A">
              <w:rPr>
                <w:lang w:val="uz-Cyrl-UZ"/>
              </w:rPr>
              <w:t xml:space="preserve"> </w:t>
            </w:r>
            <w:r>
              <w:t>и</w:t>
            </w:r>
            <w:r w:rsidRPr="009E0D23">
              <w:t xml:space="preserve"> займы сохраняют наибольшую </w:t>
            </w:r>
            <w:r w:rsidRPr="00587590">
              <w:t xml:space="preserve">долю </w:t>
            </w:r>
            <w:r w:rsidR="006B7009" w:rsidRPr="002F1D90">
              <w:rPr>
                <w:i/>
              </w:rPr>
              <w:t>(</w:t>
            </w:r>
            <w:r w:rsidR="003F33EC" w:rsidRPr="002F1D90">
              <w:rPr>
                <w:i/>
              </w:rPr>
              <w:t>5</w:t>
            </w:r>
            <w:r w:rsidR="00587590" w:rsidRPr="002F1D90">
              <w:rPr>
                <w:i/>
              </w:rPr>
              <w:t>8</w:t>
            </w:r>
            <w:r w:rsidR="006B7009" w:rsidRPr="002F1D90">
              <w:rPr>
                <w:i/>
              </w:rPr>
              <w:t>%)</w:t>
            </w:r>
            <w:r w:rsidR="006B7009" w:rsidRPr="002F1D90">
              <w:t xml:space="preserve"> </w:t>
            </w:r>
            <w:r w:rsidRPr="002F1D90">
              <w:t>в чистом</w:t>
            </w:r>
            <w:r w:rsidRPr="00587590">
              <w:t xml:space="preserve"> росте</w:t>
            </w:r>
            <w:r w:rsidRPr="009E0D23">
              <w:t xml:space="preserve"> обязательств перед остальным миром, так как сектор государственного управления продолжает активное привлечение внешних заимствований.</w:t>
            </w:r>
          </w:p>
          <w:p w:rsidR="00567C61" w:rsidRPr="001E0A02" w:rsidRDefault="00567C61" w:rsidP="0093458A">
            <w:pPr>
              <w:spacing w:line="288" w:lineRule="auto"/>
              <w:ind w:firstLine="709"/>
              <w:jc w:val="right"/>
            </w:pPr>
          </w:p>
          <w:p w:rsidR="00567C61" w:rsidRPr="0093458A" w:rsidRDefault="00567C61" w:rsidP="0093458A">
            <w:pPr>
              <w:jc w:val="center"/>
              <w:rPr>
                <w:b/>
              </w:rPr>
            </w:pPr>
            <w:r w:rsidRPr="0059113D">
              <w:rPr>
                <w:b/>
              </w:rPr>
              <w:t xml:space="preserve">Удельный вес прямых иностранных инвестиций и ссуд и займов </w:t>
            </w:r>
            <w:r w:rsidRPr="0059113D">
              <w:rPr>
                <w:b/>
              </w:rPr>
              <w:br/>
              <w:t>в чистом росте обязательств в финансовом счёте*</w:t>
            </w:r>
          </w:p>
          <w:p w:rsidR="00567C61" w:rsidRPr="0093458A" w:rsidRDefault="00567C61" w:rsidP="00705841">
            <w:pPr>
              <w:ind w:right="417" w:firstLine="708"/>
              <w:jc w:val="right"/>
              <w:rPr>
                <w:i/>
                <w:sz w:val="22"/>
              </w:rPr>
            </w:pPr>
          </w:p>
          <w:p w:rsidR="00567C61" w:rsidRPr="0093458A" w:rsidRDefault="00504C65" w:rsidP="00705841">
            <w:pPr>
              <w:spacing w:line="288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5496560" cy="3136605"/>
                  <wp:effectExtent l="0" t="0" r="8890" b="6985"/>
                  <wp:docPr id="33" name="Диаграмма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  <w:p w:rsidR="00567C61" w:rsidRPr="0093458A" w:rsidRDefault="00567C61" w:rsidP="0093458A">
            <w:pPr>
              <w:spacing w:line="288" w:lineRule="auto"/>
              <w:ind w:left="567"/>
              <w:rPr>
                <w:i/>
                <w:sz w:val="20"/>
                <w:szCs w:val="20"/>
              </w:rPr>
            </w:pPr>
            <w:r w:rsidRPr="0093458A">
              <w:rPr>
                <w:i/>
                <w:sz w:val="20"/>
                <w:szCs w:val="20"/>
              </w:rPr>
              <w:t>*Диаграмма отражает компоненты с наибольшим удельным весом.</w:t>
            </w:r>
          </w:p>
          <w:p w:rsidR="00567C61" w:rsidRPr="0093458A" w:rsidRDefault="00567C61" w:rsidP="0093458A">
            <w:pPr>
              <w:spacing w:line="288" w:lineRule="auto"/>
              <w:ind w:left="567"/>
              <w:rPr>
                <w:i/>
                <w:sz w:val="20"/>
                <w:szCs w:val="20"/>
              </w:rPr>
            </w:pPr>
            <w:r w:rsidRPr="0093458A">
              <w:rPr>
                <w:i/>
                <w:sz w:val="20"/>
                <w:szCs w:val="20"/>
              </w:rPr>
              <w:t>Прямые инвестиции включают займы от материнских компаний.</w:t>
            </w:r>
          </w:p>
          <w:p w:rsidR="003023F3" w:rsidRPr="0093458A" w:rsidRDefault="00567C61" w:rsidP="00F20D95">
            <w:pPr>
              <w:spacing w:line="288" w:lineRule="auto"/>
              <w:ind w:left="567"/>
              <w:rPr>
                <w:sz w:val="20"/>
                <w:szCs w:val="20"/>
                <w:highlight w:val="yellow"/>
              </w:rPr>
            </w:pPr>
            <w:r w:rsidRPr="0093458A">
              <w:rPr>
                <w:i/>
                <w:sz w:val="20"/>
                <w:szCs w:val="20"/>
              </w:rPr>
              <w:t>Приток ссудного капитала исключает займы от материнских компаний.</w:t>
            </w:r>
          </w:p>
        </w:tc>
      </w:tr>
    </w:tbl>
    <w:p w:rsidR="00567C61" w:rsidRDefault="00567C61" w:rsidP="00567C61">
      <w:pPr>
        <w:rPr>
          <w:noProof/>
        </w:rPr>
      </w:pPr>
    </w:p>
    <w:p w:rsidR="00567C61" w:rsidRDefault="00567C61" w:rsidP="00567C61">
      <w:pPr>
        <w:rPr>
          <w:noProof/>
        </w:rPr>
      </w:pPr>
    </w:p>
    <w:p w:rsidR="00407669" w:rsidRPr="009F6119" w:rsidRDefault="00AC0959" w:rsidP="00716829">
      <w:pPr>
        <w:pStyle w:val="1"/>
        <w:spacing w:after="0"/>
        <w:ind w:left="709"/>
      </w:pPr>
      <w:bookmarkStart w:id="13" w:name="_Toc35458613"/>
      <w:r w:rsidRPr="009F6119">
        <w:rPr>
          <w:lang w:val="en-US"/>
        </w:rPr>
        <w:lastRenderedPageBreak/>
        <w:t>II</w:t>
      </w:r>
      <w:r w:rsidRPr="009F6119">
        <w:t>.</w:t>
      </w:r>
      <w:r w:rsidRPr="009F6119">
        <w:rPr>
          <w:lang w:val="en-US"/>
        </w:rPr>
        <w:t> </w:t>
      </w:r>
      <w:r w:rsidR="00407669" w:rsidRPr="009F6119">
        <w:t>МЕЖДУНАРОДНАЯ ИНВЕСТИЦИОННАЯ ПОЗИЦИЯ</w:t>
      </w:r>
      <w:r w:rsidR="008E1DBA" w:rsidRPr="009F6119">
        <w:t xml:space="preserve"> </w:t>
      </w:r>
      <w:r w:rsidR="009F6119">
        <w:br/>
      </w:r>
      <w:r w:rsidR="008E1DBA" w:rsidRPr="009F6119">
        <w:t>РЕСПУБЛИКИ УЗБЕКИСТАН</w:t>
      </w:r>
      <w:bookmarkEnd w:id="13"/>
    </w:p>
    <w:p w:rsidR="008C48A7" w:rsidRPr="007603A6" w:rsidRDefault="008C48A7" w:rsidP="00716829">
      <w:pPr>
        <w:spacing w:line="288" w:lineRule="auto"/>
        <w:ind w:firstLine="709"/>
        <w:jc w:val="both"/>
        <w:rPr>
          <w:sz w:val="16"/>
          <w:szCs w:val="16"/>
        </w:rPr>
      </w:pPr>
    </w:p>
    <w:p w:rsidR="00392FB8" w:rsidRPr="008C48A7" w:rsidRDefault="00153E7A" w:rsidP="00392FB8">
      <w:pPr>
        <w:spacing w:line="288" w:lineRule="auto"/>
        <w:ind w:firstLine="709"/>
        <w:jc w:val="both"/>
        <w:rPr>
          <w:sz w:val="26"/>
          <w:szCs w:val="26"/>
        </w:rPr>
      </w:pPr>
      <w:r w:rsidRPr="00D9028B">
        <w:rPr>
          <w:sz w:val="26"/>
          <w:szCs w:val="26"/>
        </w:rPr>
        <w:t xml:space="preserve">Чистая международная инвестиционная позиция Республики Узбекистан </w:t>
      </w:r>
      <w:r w:rsidR="00F03521" w:rsidRPr="00D9028B">
        <w:rPr>
          <w:sz w:val="26"/>
          <w:szCs w:val="26"/>
        </w:rPr>
        <w:br/>
      </w:r>
      <w:r w:rsidRPr="00D9028B">
        <w:rPr>
          <w:sz w:val="26"/>
          <w:szCs w:val="26"/>
        </w:rPr>
        <w:t xml:space="preserve">за 2019 год сократилась на </w:t>
      </w:r>
      <w:r w:rsidR="00E007A3" w:rsidRPr="00D9028B">
        <w:rPr>
          <w:sz w:val="26"/>
          <w:szCs w:val="26"/>
        </w:rPr>
        <w:t>3</w:t>
      </w:r>
      <w:r w:rsidR="00FB5DCB" w:rsidRPr="00D9028B">
        <w:rPr>
          <w:sz w:val="26"/>
          <w:szCs w:val="26"/>
        </w:rPr>
        <w:t>,</w:t>
      </w:r>
      <w:r w:rsidR="00E007A3" w:rsidRPr="00D9028B">
        <w:rPr>
          <w:sz w:val="26"/>
          <w:szCs w:val="26"/>
        </w:rPr>
        <w:t>5</w:t>
      </w:r>
      <w:r w:rsidRPr="00D9028B">
        <w:rPr>
          <w:sz w:val="26"/>
          <w:szCs w:val="26"/>
        </w:rPr>
        <w:t xml:space="preserve"> млрд. долл. и на 1 </w:t>
      </w:r>
      <w:r w:rsidR="00FB5DCB" w:rsidRPr="00D9028B">
        <w:rPr>
          <w:sz w:val="26"/>
          <w:szCs w:val="26"/>
        </w:rPr>
        <w:t>января 2020 года</w:t>
      </w:r>
      <w:r w:rsidR="00F03521" w:rsidRPr="00D9028B">
        <w:rPr>
          <w:sz w:val="26"/>
          <w:szCs w:val="26"/>
        </w:rPr>
        <w:t xml:space="preserve"> </w:t>
      </w:r>
      <w:r w:rsidRPr="00D9028B">
        <w:rPr>
          <w:sz w:val="26"/>
          <w:szCs w:val="26"/>
        </w:rPr>
        <w:t xml:space="preserve">составила </w:t>
      </w:r>
      <w:r w:rsidRPr="00D9028B">
        <w:rPr>
          <w:sz w:val="26"/>
          <w:szCs w:val="26"/>
        </w:rPr>
        <w:br/>
        <w:t>1</w:t>
      </w:r>
      <w:r w:rsidR="00E007A3" w:rsidRPr="00D9028B">
        <w:rPr>
          <w:sz w:val="26"/>
          <w:szCs w:val="26"/>
        </w:rPr>
        <w:t>2</w:t>
      </w:r>
      <w:r w:rsidRPr="00D9028B">
        <w:rPr>
          <w:sz w:val="26"/>
          <w:szCs w:val="26"/>
        </w:rPr>
        <w:t>,</w:t>
      </w:r>
      <w:r w:rsidR="00E007A3" w:rsidRPr="00D9028B">
        <w:rPr>
          <w:sz w:val="26"/>
          <w:szCs w:val="26"/>
        </w:rPr>
        <w:t>3</w:t>
      </w:r>
      <w:r w:rsidRPr="00D9028B">
        <w:rPr>
          <w:sz w:val="26"/>
          <w:szCs w:val="26"/>
        </w:rPr>
        <w:t xml:space="preserve"> млрд.</w:t>
      </w:r>
      <w:r w:rsidR="00794CB6" w:rsidRPr="00D9028B">
        <w:rPr>
          <w:sz w:val="26"/>
          <w:szCs w:val="26"/>
        </w:rPr>
        <w:t xml:space="preserve"> </w:t>
      </w:r>
      <w:r w:rsidRPr="00D9028B">
        <w:rPr>
          <w:sz w:val="26"/>
          <w:szCs w:val="26"/>
        </w:rPr>
        <w:t>долл. При этом</w:t>
      </w:r>
      <w:r w:rsidR="001D0D7B" w:rsidRPr="00D9028B">
        <w:rPr>
          <w:sz w:val="26"/>
          <w:szCs w:val="26"/>
        </w:rPr>
        <w:t>,</w:t>
      </w:r>
      <w:r w:rsidRPr="00D9028B">
        <w:rPr>
          <w:sz w:val="26"/>
          <w:szCs w:val="26"/>
        </w:rPr>
        <w:t xml:space="preserve"> совокупный </w:t>
      </w:r>
      <w:r w:rsidR="00C65CE9" w:rsidRPr="00D9028B">
        <w:rPr>
          <w:sz w:val="26"/>
          <w:szCs w:val="26"/>
        </w:rPr>
        <w:t xml:space="preserve">объём иностранных активов </w:t>
      </w:r>
      <w:r w:rsidRPr="00D9028B">
        <w:rPr>
          <w:sz w:val="26"/>
          <w:szCs w:val="26"/>
        </w:rPr>
        <w:t xml:space="preserve">страны </w:t>
      </w:r>
      <w:r w:rsidR="00C65CE9" w:rsidRPr="00D9028B">
        <w:rPr>
          <w:sz w:val="26"/>
          <w:szCs w:val="26"/>
        </w:rPr>
        <w:t xml:space="preserve">составил </w:t>
      </w:r>
      <w:r w:rsidR="00442B64" w:rsidRPr="00D9028B">
        <w:rPr>
          <w:sz w:val="26"/>
          <w:szCs w:val="26"/>
        </w:rPr>
        <w:br/>
      </w:r>
      <w:r w:rsidR="00C65CE9" w:rsidRPr="00D9028B">
        <w:rPr>
          <w:sz w:val="26"/>
          <w:szCs w:val="26"/>
        </w:rPr>
        <w:t>4</w:t>
      </w:r>
      <w:r w:rsidR="001D0D7B" w:rsidRPr="00D9028B">
        <w:rPr>
          <w:sz w:val="26"/>
          <w:szCs w:val="26"/>
        </w:rPr>
        <w:t>7</w:t>
      </w:r>
      <w:r w:rsidR="00C65CE9" w:rsidRPr="00D9028B">
        <w:rPr>
          <w:sz w:val="26"/>
          <w:szCs w:val="26"/>
        </w:rPr>
        <w:t>,</w:t>
      </w:r>
      <w:r w:rsidR="001D0D7B" w:rsidRPr="00D9028B">
        <w:rPr>
          <w:sz w:val="26"/>
          <w:szCs w:val="26"/>
        </w:rPr>
        <w:t>8</w:t>
      </w:r>
      <w:r w:rsidR="00C65CE9" w:rsidRPr="00D9028B">
        <w:rPr>
          <w:sz w:val="26"/>
          <w:szCs w:val="26"/>
        </w:rPr>
        <w:t xml:space="preserve"> млрд. долл., тогда как внешние обязательства равнялись 3</w:t>
      </w:r>
      <w:r w:rsidR="00E007A3" w:rsidRPr="00D9028B">
        <w:rPr>
          <w:sz w:val="26"/>
          <w:szCs w:val="26"/>
        </w:rPr>
        <w:t>5</w:t>
      </w:r>
      <w:r w:rsidR="00C65CE9" w:rsidRPr="00D9028B">
        <w:rPr>
          <w:sz w:val="26"/>
          <w:szCs w:val="26"/>
        </w:rPr>
        <w:t>,</w:t>
      </w:r>
      <w:r w:rsidR="00E007A3" w:rsidRPr="00D9028B">
        <w:rPr>
          <w:sz w:val="26"/>
          <w:szCs w:val="26"/>
        </w:rPr>
        <w:t>5</w:t>
      </w:r>
      <w:r w:rsidR="00C65CE9" w:rsidRPr="00D9028B">
        <w:rPr>
          <w:sz w:val="26"/>
          <w:szCs w:val="26"/>
        </w:rPr>
        <w:t xml:space="preserve"> млрд. долл. </w:t>
      </w:r>
      <w:r w:rsidR="00392FB8" w:rsidRPr="00D9028B">
        <w:rPr>
          <w:sz w:val="26"/>
          <w:szCs w:val="26"/>
        </w:rPr>
        <w:t xml:space="preserve">Анализ изменения чистой инвестиционной позиции </w:t>
      </w:r>
      <w:r w:rsidR="00791B4B" w:rsidRPr="00D9028B">
        <w:rPr>
          <w:sz w:val="26"/>
          <w:szCs w:val="26"/>
        </w:rPr>
        <w:t>за</w:t>
      </w:r>
      <w:r w:rsidR="00392FB8" w:rsidRPr="00D9028B">
        <w:rPr>
          <w:sz w:val="26"/>
          <w:szCs w:val="26"/>
        </w:rPr>
        <w:t xml:space="preserve"> рассматриваем</w:t>
      </w:r>
      <w:r w:rsidR="00791B4B" w:rsidRPr="00D9028B">
        <w:rPr>
          <w:sz w:val="26"/>
          <w:szCs w:val="26"/>
        </w:rPr>
        <w:t>ый</w:t>
      </w:r>
      <w:r w:rsidR="00392FB8" w:rsidRPr="00D9028B">
        <w:rPr>
          <w:sz w:val="26"/>
          <w:szCs w:val="26"/>
        </w:rPr>
        <w:t xml:space="preserve"> период показал, </w:t>
      </w:r>
      <w:r w:rsidR="001D0D7B" w:rsidRPr="00D9028B">
        <w:rPr>
          <w:sz w:val="26"/>
          <w:szCs w:val="26"/>
        </w:rPr>
        <w:br/>
      </w:r>
      <w:r w:rsidR="00392FB8" w:rsidRPr="00D9028B">
        <w:rPr>
          <w:sz w:val="26"/>
          <w:szCs w:val="26"/>
        </w:rPr>
        <w:t xml:space="preserve">что как и </w:t>
      </w:r>
      <w:r w:rsidR="003226B4" w:rsidRPr="00D9028B">
        <w:rPr>
          <w:sz w:val="26"/>
          <w:szCs w:val="26"/>
        </w:rPr>
        <w:t xml:space="preserve">в </w:t>
      </w:r>
      <w:r w:rsidR="001D0D7B" w:rsidRPr="00D9028B">
        <w:rPr>
          <w:sz w:val="26"/>
          <w:szCs w:val="26"/>
        </w:rPr>
        <w:t>предыдущем</w:t>
      </w:r>
      <w:r w:rsidR="00392FB8" w:rsidRPr="00D9028B">
        <w:rPr>
          <w:sz w:val="26"/>
          <w:szCs w:val="26"/>
        </w:rPr>
        <w:t xml:space="preserve"> году </w:t>
      </w:r>
      <w:r w:rsidR="00BE21C7" w:rsidRPr="00D9028B">
        <w:rPr>
          <w:sz w:val="26"/>
          <w:szCs w:val="26"/>
        </w:rPr>
        <w:t xml:space="preserve">ухудшение </w:t>
      </w:r>
      <w:r w:rsidR="00E56EAE" w:rsidRPr="00D9028B">
        <w:rPr>
          <w:sz w:val="26"/>
          <w:szCs w:val="26"/>
        </w:rPr>
        <w:t xml:space="preserve">международной </w:t>
      </w:r>
      <w:r w:rsidR="00BE21C7" w:rsidRPr="00D9028B">
        <w:rPr>
          <w:sz w:val="26"/>
          <w:szCs w:val="26"/>
        </w:rPr>
        <w:t xml:space="preserve">инвестиционной позиции главным образом обусловлено </w:t>
      </w:r>
      <w:r w:rsidR="00392FB8" w:rsidRPr="00D9028B">
        <w:rPr>
          <w:sz w:val="26"/>
          <w:szCs w:val="26"/>
        </w:rPr>
        <w:t>отрицательн</w:t>
      </w:r>
      <w:r w:rsidR="00BE21C7" w:rsidRPr="00D9028B">
        <w:rPr>
          <w:sz w:val="26"/>
          <w:szCs w:val="26"/>
        </w:rPr>
        <w:t>ым</w:t>
      </w:r>
      <w:r w:rsidR="00392FB8" w:rsidRPr="00D9028B">
        <w:rPr>
          <w:sz w:val="26"/>
          <w:szCs w:val="26"/>
        </w:rPr>
        <w:t xml:space="preserve"> сальдо финансового счёта, в то время </w:t>
      </w:r>
      <w:r w:rsidR="001D0D7B" w:rsidRPr="00D9028B">
        <w:rPr>
          <w:sz w:val="26"/>
          <w:szCs w:val="26"/>
        </w:rPr>
        <w:br/>
      </w:r>
      <w:r w:rsidR="00392FB8" w:rsidRPr="00D9028B">
        <w:rPr>
          <w:sz w:val="26"/>
          <w:szCs w:val="26"/>
        </w:rPr>
        <w:t xml:space="preserve">как </w:t>
      </w:r>
      <w:r w:rsidR="00FC4DCC" w:rsidRPr="00D9028B">
        <w:rPr>
          <w:sz w:val="26"/>
          <w:szCs w:val="26"/>
        </w:rPr>
        <w:t>неоперационные</w:t>
      </w:r>
      <w:r w:rsidR="00392FB8" w:rsidRPr="00D9028B">
        <w:rPr>
          <w:sz w:val="26"/>
          <w:szCs w:val="26"/>
        </w:rPr>
        <w:t xml:space="preserve"> изменения</w:t>
      </w:r>
      <w:r w:rsidR="00392FB8" w:rsidRPr="00D9028B">
        <w:rPr>
          <w:sz w:val="26"/>
          <w:szCs w:val="26"/>
          <w:vertAlign w:val="superscript"/>
        </w:rPr>
        <w:footnoteReference w:id="8"/>
      </w:r>
      <w:r w:rsidR="00392FB8" w:rsidRPr="00D9028B">
        <w:rPr>
          <w:sz w:val="26"/>
          <w:szCs w:val="26"/>
        </w:rPr>
        <w:t xml:space="preserve"> </w:t>
      </w:r>
      <w:r w:rsidR="00BA3480" w:rsidRPr="00D9028B">
        <w:rPr>
          <w:sz w:val="26"/>
          <w:szCs w:val="26"/>
        </w:rPr>
        <w:t>имели</w:t>
      </w:r>
      <w:r w:rsidR="00392FB8" w:rsidRPr="00D9028B">
        <w:rPr>
          <w:sz w:val="26"/>
          <w:szCs w:val="26"/>
        </w:rPr>
        <w:t xml:space="preserve"> положительное влияние.</w:t>
      </w:r>
    </w:p>
    <w:p w:rsidR="00392FB8" w:rsidRPr="008C48A7" w:rsidRDefault="00392FB8" w:rsidP="00392FB8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8C48A7">
        <w:rPr>
          <w:sz w:val="26"/>
          <w:szCs w:val="26"/>
        </w:rPr>
        <w:t xml:space="preserve">Анализ международной инвестиционной позиции по секторам экономики </w:t>
      </w:r>
      <w:r w:rsidR="00BA3480">
        <w:rPr>
          <w:sz w:val="26"/>
          <w:szCs w:val="26"/>
        </w:rPr>
        <w:t>показал</w:t>
      </w:r>
      <w:r w:rsidRPr="008C48A7">
        <w:rPr>
          <w:sz w:val="26"/>
          <w:szCs w:val="26"/>
        </w:rPr>
        <w:t xml:space="preserve">, что </w:t>
      </w:r>
      <w:r w:rsidR="00D66C83">
        <w:rPr>
          <w:sz w:val="26"/>
          <w:szCs w:val="26"/>
        </w:rPr>
        <w:t>в течение</w:t>
      </w:r>
      <w:r w:rsidR="001D0D7B">
        <w:rPr>
          <w:sz w:val="26"/>
          <w:szCs w:val="26"/>
        </w:rPr>
        <w:t xml:space="preserve"> 2017-2019 годов</w:t>
      </w:r>
      <w:r w:rsidRPr="008C48A7">
        <w:rPr>
          <w:sz w:val="26"/>
          <w:szCs w:val="26"/>
        </w:rPr>
        <w:t xml:space="preserve"> сектор государственного </w:t>
      </w:r>
      <w:r w:rsidR="0094264E" w:rsidRPr="008C48A7">
        <w:rPr>
          <w:sz w:val="26"/>
          <w:szCs w:val="26"/>
        </w:rPr>
        <w:t>управления</w:t>
      </w:r>
      <w:r w:rsidR="001D0D7B" w:rsidRPr="008C48A7">
        <w:rPr>
          <w:rStyle w:val="a9"/>
          <w:sz w:val="26"/>
          <w:szCs w:val="26"/>
        </w:rPr>
        <w:footnoteReference w:id="9"/>
      </w:r>
      <w:r w:rsidRPr="008C48A7">
        <w:rPr>
          <w:sz w:val="26"/>
          <w:szCs w:val="26"/>
        </w:rPr>
        <w:t xml:space="preserve"> </w:t>
      </w:r>
      <w:r w:rsidR="00F20D95">
        <w:rPr>
          <w:sz w:val="26"/>
          <w:szCs w:val="26"/>
        </w:rPr>
        <w:br/>
      </w:r>
      <w:r w:rsidR="001D0D7B">
        <w:rPr>
          <w:sz w:val="26"/>
          <w:szCs w:val="26"/>
        </w:rPr>
        <w:t>сохраняет</w:t>
      </w:r>
      <w:r w:rsidRPr="008C48A7">
        <w:rPr>
          <w:sz w:val="26"/>
          <w:szCs w:val="26"/>
        </w:rPr>
        <w:t xml:space="preserve"> позици</w:t>
      </w:r>
      <w:r w:rsidR="001D0D7B">
        <w:rPr>
          <w:sz w:val="26"/>
          <w:szCs w:val="26"/>
        </w:rPr>
        <w:t>ю «чистого</w:t>
      </w:r>
      <w:r w:rsidRPr="008C48A7">
        <w:rPr>
          <w:sz w:val="26"/>
          <w:szCs w:val="26"/>
        </w:rPr>
        <w:t xml:space="preserve"> кредитор</w:t>
      </w:r>
      <w:r w:rsidR="001D0D7B">
        <w:rPr>
          <w:sz w:val="26"/>
          <w:szCs w:val="26"/>
        </w:rPr>
        <w:t>а»</w:t>
      </w:r>
      <w:r w:rsidR="00FD5677" w:rsidRPr="008C48A7">
        <w:rPr>
          <w:rStyle w:val="a9"/>
          <w:sz w:val="26"/>
          <w:szCs w:val="26"/>
        </w:rPr>
        <w:footnoteReference w:id="10"/>
      </w:r>
      <w:r w:rsidR="001D0D7B">
        <w:rPr>
          <w:sz w:val="26"/>
          <w:szCs w:val="26"/>
        </w:rPr>
        <w:t>. Однако</w:t>
      </w:r>
      <w:r w:rsidRPr="008C48A7">
        <w:rPr>
          <w:sz w:val="26"/>
          <w:szCs w:val="26"/>
        </w:rPr>
        <w:t xml:space="preserve">, </w:t>
      </w:r>
      <w:r w:rsidR="001D0D7B">
        <w:rPr>
          <w:sz w:val="26"/>
          <w:szCs w:val="26"/>
        </w:rPr>
        <w:t xml:space="preserve">произошли изменения </w:t>
      </w:r>
      <w:r w:rsidR="00FD5677">
        <w:rPr>
          <w:sz w:val="26"/>
          <w:szCs w:val="26"/>
        </w:rPr>
        <w:t>в позициях банковского</w:t>
      </w:r>
      <w:r w:rsidR="001D0D7B" w:rsidRPr="008C48A7">
        <w:rPr>
          <w:sz w:val="26"/>
          <w:szCs w:val="26"/>
        </w:rPr>
        <w:t xml:space="preserve"> </w:t>
      </w:r>
      <w:r w:rsidR="001D0D7B">
        <w:rPr>
          <w:sz w:val="26"/>
          <w:szCs w:val="26"/>
        </w:rPr>
        <w:t>и други</w:t>
      </w:r>
      <w:r w:rsidR="00FD5677">
        <w:rPr>
          <w:sz w:val="26"/>
          <w:szCs w:val="26"/>
        </w:rPr>
        <w:t>х</w:t>
      </w:r>
      <w:r w:rsidR="001D0D7B">
        <w:rPr>
          <w:sz w:val="26"/>
          <w:szCs w:val="26"/>
        </w:rPr>
        <w:t xml:space="preserve"> сектор</w:t>
      </w:r>
      <w:r w:rsidR="00FD5677">
        <w:rPr>
          <w:sz w:val="26"/>
          <w:szCs w:val="26"/>
        </w:rPr>
        <w:t xml:space="preserve">ов, которые </w:t>
      </w:r>
      <w:r w:rsidR="00D66C83">
        <w:rPr>
          <w:sz w:val="26"/>
          <w:szCs w:val="26"/>
        </w:rPr>
        <w:t xml:space="preserve">по итогам 2019 года </w:t>
      </w:r>
      <w:r w:rsidR="00FD5677">
        <w:rPr>
          <w:sz w:val="26"/>
          <w:szCs w:val="26"/>
        </w:rPr>
        <w:t xml:space="preserve">являются </w:t>
      </w:r>
      <w:r w:rsidRPr="008C48A7">
        <w:rPr>
          <w:sz w:val="26"/>
          <w:szCs w:val="26"/>
        </w:rPr>
        <w:t>«чистым заёмщик</w:t>
      </w:r>
      <w:r w:rsidR="00FD5677">
        <w:rPr>
          <w:sz w:val="26"/>
          <w:szCs w:val="26"/>
        </w:rPr>
        <w:t>ом</w:t>
      </w:r>
      <w:r w:rsidRPr="008C48A7">
        <w:rPr>
          <w:sz w:val="26"/>
          <w:szCs w:val="26"/>
        </w:rPr>
        <w:t>»</w:t>
      </w:r>
      <w:r w:rsidR="00FD5677">
        <w:rPr>
          <w:sz w:val="26"/>
          <w:szCs w:val="26"/>
        </w:rPr>
        <w:t xml:space="preserve"> </w:t>
      </w:r>
      <w:r w:rsidR="00D66C83">
        <w:rPr>
          <w:sz w:val="26"/>
          <w:szCs w:val="26"/>
        </w:rPr>
        <w:t xml:space="preserve">и «чистым кредитором» соответственно </w:t>
      </w:r>
      <w:r w:rsidRPr="008C48A7">
        <w:rPr>
          <w:color w:val="0070C0"/>
          <w:sz w:val="26"/>
          <w:szCs w:val="26"/>
        </w:rPr>
        <w:t>(Диаграмма 1</w:t>
      </w:r>
      <w:r w:rsidR="00393601">
        <w:rPr>
          <w:color w:val="0070C0"/>
          <w:sz w:val="26"/>
          <w:szCs w:val="26"/>
        </w:rPr>
        <w:t>5</w:t>
      </w:r>
      <w:r w:rsidRPr="008C48A7">
        <w:rPr>
          <w:color w:val="0070C0"/>
          <w:sz w:val="26"/>
          <w:szCs w:val="26"/>
        </w:rPr>
        <w:t>)</w:t>
      </w:r>
      <w:r w:rsidRPr="008C48A7">
        <w:rPr>
          <w:sz w:val="26"/>
          <w:szCs w:val="26"/>
        </w:rPr>
        <w:t>.</w:t>
      </w:r>
    </w:p>
    <w:p w:rsidR="00392FB8" w:rsidRPr="000F0529" w:rsidRDefault="00FF00A1" w:rsidP="00392FB8">
      <w:pPr>
        <w:ind w:firstLine="708"/>
        <w:jc w:val="right"/>
      </w:pPr>
      <w:r>
        <w:t>Диаграмма 1</w:t>
      </w:r>
      <w:r w:rsidR="00393601">
        <w:t>5</w:t>
      </w:r>
    </w:p>
    <w:p w:rsidR="00392FB8" w:rsidRPr="000F0529" w:rsidRDefault="00392FB8" w:rsidP="00716829">
      <w:pPr>
        <w:jc w:val="right"/>
        <w:rPr>
          <w:sz w:val="12"/>
          <w:szCs w:val="12"/>
        </w:rPr>
      </w:pPr>
    </w:p>
    <w:p w:rsidR="00392FB8" w:rsidRDefault="00392FB8" w:rsidP="00392FB8">
      <w:pPr>
        <w:jc w:val="center"/>
        <w:rPr>
          <w:b/>
          <w:sz w:val="26"/>
          <w:szCs w:val="26"/>
        </w:rPr>
      </w:pPr>
      <w:r w:rsidRPr="000F0529">
        <w:rPr>
          <w:b/>
          <w:sz w:val="26"/>
          <w:szCs w:val="26"/>
        </w:rPr>
        <w:t>ЧИСТАЯ ИНВЕСТИЦИОННАЯ ПОЗИЦИЯ ПО СЕКТОРАМ ЭКОНОМИКИ</w:t>
      </w:r>
    </w:p>
    <w:p w:rsidR="00D83200" w:rsidRPr="00D83200" w:rsidRDefault="00D83200" w:rsidP="00392FB8">
      <w:pPr>
        <w:jc w:val="center"/>
        <w:rPr>
          <w:b/>
          <w:sz w:val="6"/>
          <w:szCs w:val="6"/>
        </w:rPr>
      </w:pPr>
    </w:p>
    <w:p w:rsidR="00392FB8" w:rsidRPr="001E0A02" w:rsidRDefault="00392FB8" w:rsidP="00392FB8">
      <w:pPr>
        <w:ind w:firstLine="708"/>
        <w:jc w:val="right"/>
        <w:rPr>
          <w:i/>
        </w:rPr>
      </w:pPr>
      <w:r w:rsidRPr="000F0529">
        <w:rPr>
          <w:i/>
        </w:rPr>
        <w:t>(млн. долл.)</w:t>
      </w:r>
    </w:p>
    <w:p w:rsidR="00361201" w:rsidRDefault="0041544C" w:rsidP="00361201">
      <w:pPr>
        <w:spacing w:before="120" w:line="288" w:lineRule="auto"/>
        <w:jc w:val="both"/>
        <w:rPr>
          <w:sz w:val="26"/>
          <w:szCs w:val="26"/>
        </w:rPr>
      </w:pPr>
      <w:bookmarkStart w:id="14" w:name="_Toc533515526"/>
      <w:r>
        <w:rPr>
          <w:noProof/>
        </w:rPr>
        <w:drawing>
          <wp:inline distT="0" distB="0" distL="0" distR="0">
            <wp:extent cx="6299835" cy="3476625"/>
            <wp:effectExtent l="0" t="0" r="571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92FB8" w:rsidRPr="008C48A7" w:rsidRDefault="00392FB8" w:rsidP="00630B0B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8C48A7">
        <w:rPr>
          <w:sz w:val="26"/>
          <w:szCs w:val="26"/>
        </w:rPr>
        <w:lastRenderedPageBreak/>
        <w:t xml:space="preserve">Чистая инвестиционная позиция имеет тенденцию сокращения </w:t>
      </w:r>
      <w:r>
        <w:rPr>
          <w:sz w:val="26"/>
          <w:szCs w:val="26"/>
        </w:rPr>
        <w:t>вследствие</w:t>
      </w:r>
      <w:r w:rsidRPr="008C48A7">
        <w:rPr>
          <w:sz w:val="26"/>
          <w:szCs w:val="26"/>
        </w:rPr>
        <w:t xml:space="preserve"> привлечения внешних заимствований</w:t>
      </w:r>
      <w:r w:rsidR="00FC4DCC">
        <w:rPr>
          <w:sz w:val="26"/>
          <w:szCs w:val="26"/>
        </w:rPr>
        <w:t>,</w:t>
      </w:r>
      <w:r w:rsidR="00565ED9">
        <w:rPr>
          <w:sz w:val="26"/>
          <w:szCs w:val="26"/>
        </w:rPr>
        <w:t xml:space="preserve"> размещения </w:t>
      </w:r>
      <w:r w:rsidR="00FC4DCC">
        <w:rPr>
          <w:sz w:val="26"/>
          <w:szCs w:val="26"/>
        </w:rPr>
        <w:t xml:space="preserve">международных </w:t>
      </w:r>
      <w:r w:rsidR="00565ED9">
        <w:rPr>
          <w:sz w:val="26"/>
          <w:szCs w:val="26"/>
        </w:rPr>
        <w:t>облигаций</w:t>
      </w:r>
      <w:r>
        <w:rPr>
          <w:sz w:val="26"/>
          <w:szCs w:val="26"/>
        </w:rPr>
        <w:t xml:space="preserve"> как </w:t>
      </w:r>
      <w:r w:rsidR="00FC4DCC">
        <w:rPr>
          <w:sz w:val="26"/>
          <w:szCs w:val="26"/>
        </w:rPr>
        <w:br/>
      </w:r>
      <w:r>
        <w:rPr>
          <w:sz w:val="26"/>
          <w:szCs w:val="26"/>
        </w:rPr>
        <w:t>со стороны государственного</w:t>
      </w:r>
      <w:r w:rsidRPr="008C48A7">
        <w:rPr>
          <w:sz w:val="26"/>
          <w:szCs w:val="26"/>
        </w:rPr>
        <w:t xml:space="preserve">, </w:t>
      </w:r>
      <w:r>
        <w:rPr>
          <w:sz w:val="26"/>
          <w:szCs w:val="26"/>
        </w:rPr>
        <w:t>так и банковского</w:t>
      </w:r>
      <w:r w:rsidRPr="008C48A7">
        <w:rPr>
          <w:sz w:val="26"/>
          <w:szCs w:val="26"/>
        </w:rPr>
        <w:t xml:space="preserve"> секторо</w:t>
      </w:r>
      <w:r>
        <w:rPr>
          <w:sz w:val="26"/>
          <w:szCs w:val="26"/>
        </w:rPr>
        <w:t>в.</w:t>
      </w:r>
      <w:r w:rsidR="00565ED9">
        <w:rPr>
          <w:sz w:val="26"/>
          <w:szCs w:val="26"/>
        </w:rPr>
        <w:t xml:space="preserve"> Также</w:t>
      </w:r>
      <w:r w:rsidR="00370C43">
        <w:rPr>
          <w:sz w:val="26"/>
          <w:szCs w:val="26"/>
        </w:rPr>
        <w:t>,</w:t>
      </w:r>
      <w:r w:rsidR="00565ED9">
        <w:rPr>
          <w:sz w:val="26"/>
          <w:szCs w:val="26"/>
        </w:rPr>
        <w:t xml:space="preserve"> на чистую международную позиции оказало влияние увеличение чистых прямых иностранных инвестиций.</w:t>
      </w:r>
    </w:p>
    <w:p w:rsidR="00564322" w:rsidRPr="008C48A7" w:rsidRDefault="008B55B0" w:rsidP="00630B0B">
      <w:pPr>
        <w:pStyle w:val="21"/>
        <w:spacing w:before="120" w:after="0"/>
        <w:rPr>
          <w:rFonts w:ascii="Calibri" w:hAnsi="Calibri"/>
        </w:rPr>
      </w:pPr>
      <w:bookmarkStart w:id="15" w:name="_Toc35458614"/>
      <w:r w:rsidRPr="008C48A7">
        <w:rPr>
          <w:rFonts w:ascii="Calibri" w:hAnsi="Calibri"/>
        </w:rPr>
        <w:t>СЕКТОР ГОСУДАРСТВЕННОГО УПРАВЛЕНИЯ</w:t>
      </w:r>
      <w:bookmarkEnd w:id="14"/>
      <w:bookmarkEnd w:id="15"/>
    </w:p>
    <w:p w:rsidR="00392FB8" w:rsidRPr="00FC4DCC" w:rsidRDefault="00392FB8" w:rsidP="00630B0B">
      <w:pPr>
        <w:spacing w:before="120" w:line="288" w:lineRule="auto"/>
        <w:ind w:firstLine="709"/>
        <w:jc w:val="both"/>
        <w:rPr>
          <w:sz w:val="26"/>
          <w:szCs w:val="26"/>
          <w:u w:val="single"/>
        </w:rPr>
      </w:pPr>
      <w:bookmarkStart w:id="16" w:name="_Toc533515529"/>
      <w:r w:rsidRPr="00FC4DCC">
        <w:rPr>
          <w:sz w:val="26"/>
          <w:szCs w:val="26"/>
          <w:u w:val="single"/>
        </w:rPr>
        <w:t>Активы</w:t>
      </w:r>
    </w:p>
    <w:p w:rsidR="00392FB8" w:rsidRPr="008C48A7" w:rsidRDefault="00392FB8" w:rsidP="00630B0B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AF2BFF">
        <w:rPr>
          <w:sz w:val="26"/>
          <w:szCs w:val="26"/>
        </w:rPr>
        <w:t>В 2019 год</w:t>
      </w:r>
      <w:r w:rsidR="00EB1422" w:rsidRPr="00AF2BFF">
        <w:rPr>
          <w:sz w:val="26"/>
          <w:szCs w:val="26"/>
        </w:rPr>
        <w:t>у</w:t>
      </w:r>
      <w:r w:rsidRPr="00AF2BFF">
        <w:rPr>
          <w:sz w:val="26"/>
          <w:szCs w:val="26"/>
        </w:rPr>
        <w:t xml:space="preserve"> </w:t>
      </w:r>
      <w:r w:rsidR="00B00E30" w:rsidRPr="00AF2BFF">
        <w:rPr>
          <w:sz w:val="26"/>
          <w:szCs w:val="26"/>
        </w:rPr>
        <w:t xml:space="preserve">совокупные </w:t>
      </w:r>
      <w:r w:rsidRPr="00AF2BFF">
        <w:rPr>
          <w:sz w:val="26"/>
          <w:szCs w:val="26"/>
        </w:rPr>
        <w:t xml:space="preserve">активы сектора государственного управления увеличились на </w:t>
      </w:r>
      <w:r w:rsidR="00CF3855" w:rsidRPr="00AF2BFF">
        <w:rPr>
          <w:sz w:val="26"/>
          <w:szCs w:val="26"/>
        </w:rPr>
        <w:t>2,1</w:t>
      </w:r>
      <w:r w:rsidRPr="00AF2BFF">
        <w:rPr>
          <w:sz w:val="26"/>
          <w:szCs w:val="26"/>
        </w:rPr>
        <w:t xml:space="preserve"> мл</w:t>
      </w:r>
      <w:r w:rsidR="00CF3855" w:rsidRPr="00AF2BFF">
        <w:rPr>
          <w:sz w:val="26"/>
          <w:szCs w:val="26"/>
        </w:rPr>
        <w:t>рд</w:t>
      </w:r>
      <w:r w:rsidRPr="00AF2BFF">
        <w:rPr>
          <w:sz w:val="26"/>
          <w:szCs w:val="26"/>
        </w:rPr>
        <w:t xml:space="preserve">. долл. </w:t>
      </w:r>
      <w:r w:rsidR="00490893" w:rsidRPr="00AF2BFF">
        <w:rPr>
          <w:sz w:val="26"/>
          <w:szCs w:val="26"/>
        </w:rPr>
        <w:t xml:space="preserve">При этом, переоценка монетарного золота имела </w:t>
      </w:r>
      <w:r w:rsidR="00FC1E0F" w:rsidRPr="00AF2BFF">
        <w:rPr>
          <w:sz w:val="26"/>
          <w:szCs w:val="26"/>
        </w:rPr>
        <w:t>положительное</w:t>
      </w:r>
      <w:r w:rsidR="00490893" w:rsidRPr="00AF2BFF">
        <w:rPr>
          <w:sz w:val="26"/>
          <w:szCs w:val="26"/>
        </w:rPr>
        <w:t xml:space="preserve"> </w:t>
      </w:r>
      <w:r w:rsidR="00FC1E0F" w:rsidRPr="00AF2BFF">
        <w:rPr>
          <w:sz w:val="26"/>
          <w:szCs w:val="26"/>
        </w:rPr>
        <w:t>влияние</w:t>
      </w:r>
      <w:r w:rsidR="000D620A">
        <w:rPr>
          <w:sz w:val="26"/>
          <w:szCs w:val="26"/>
        </w:rPr>
        <w:t xml:space="preserve"> в размере 690,2 млн. долл.</w:t>
      </w:r>
      <w:r w:rsidR="00F55E96" w:rsidRPr="00AF2BFF">
        <w:rPr>
          <w:sz w:val="26"/>
          <w:szCs w:val="26"/>
        </w:rPr>
        <w:t xml:space="preserve"> на инвестиционную позицию</w:t>
      </w:r>
      <w:r w:rsidR="00F55E96" w:rsidRPr="008C48A7">
        <w:rPr>
          <w:sz w:val="26"/>
          <w:szCs w:val="26"/>
        </w:rPr>
        <w:t xml:space="preserve"> сектора государственного управления</w:t>
      </w:r>
      <w:r w:rsidR="000D620A">
        <w:rPr>
          <w:sz w:val="26"/>
          <w:szCs w:val="26"/>
        </w:rPr>
        <w:t>.</w:t>
      </w:r>
    </w:p>
    <w:p w:rsidR="00392FB8" w:rsidRPr="00FC4DCC" w:rsidRDefault="00392FB8" w:rsidP="00630B0B">
      <w:pPr>
        <w:spacing w:before="120" w:line="288" w:lineRule="auto"/>
        <w:ind w:firstLine="709"/>
        <w:jc w:val="both"/>
        <w:rPr>
          <w:sz w:val="26"/>
          <w:szCs w:val="26"/>
          <w:u w:val="single"/>
        </w:rPr>
      </w:pPr>
      <w:r w:rsidRPr="00FC4DCC">
        <w:rPr>
          <w:sz w:val="26"/>
          <w:szCs w:val="26"/>
          <w:u w:val="single"/>
        </w:rPr>
        <w:t>Обязательства</w:t>
      </w:r>
    </w:p>
    <w:p w:rsidR="00392FB8" w:rsidRPr="008C48A7" w:rsidRDefault="00392FB8" w:rsidP="00630B0B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8C48A7">
        <w:rPr>
          <w:sz w:val="26"/>
          <w:szCs w:val="26"/>
        </w:rPr>
        <w:t>Обязательства сектора государственного управления</w:t>
      </w:r>
      <w:r w:rsidR="00CB07EF">
        <w:rPr>
          <w:sz w:val="26"/>
          <w:szCs w:val="26"/>
        </w:rPr>
        <w:t xml:space="preserve"> в основном</w:t>
      </w:r>
      <w:r w:rsidR="00FC4DCC">
        <w:rPr>
          <w:sz w:val="26"/>
          <w:szCs w:val="26"/>
        </w:rPr>
        <w:t xml:space="preserve"> </w:t>
      </w:r>
      <w:r w:rsidR="00FC4DCC" w:rsidRPr="008C48A7">
        <w:rPr>
          <w:sz w:val="26"/>
          <w:szCs w:val="26"/>
        </w:rPr>
        <w:t>состо</w:t>
      </w:r>
      <w:r w:rsidR="00FC4DCC">
        <w:rPr>
          <w:sz w:val="26"/>
          <w:szCs w:val="26"/>
        </w:rPr>
        <w:t>и</w:t>
      </w:r>
      <w:r w:rsidR="00FC4DCC" w:rsidRPr="008C48A7">
        <w:rPr>
          <w:sz w:val="26"/>
          <w:szCs w:val="26"/>
        </w:rPr>
        <w:t>т</w:t>
      </w:r>
      <w:r w:rsidRPr="008C48A7">
        <w:rPr>
          <w:sz w:val="26"/>
          <w:szCs w:val="26"/>
        </w:rPr>
        <w:t xml:space="preserve"> из </w:t>
      </w:r>
      <w:r w:rsidRPr="00AF2BFF">
        <w:rPr>
          <w:sz w:val="26"/>
          <w:szCs w:val="26"/>
        </w:rPr>
        <w:t xml:space="preserve">внешнего долга. </w:t>
      </w:r>
      <w:r w:rsidR="00FC4DCC">
        <w:rPr>
          <w:sz w:val="26"/>
          <w:szCs w:val="26"/>
        </w:rPr>
        <w:t>Так, в</w:t>
      </w:r>
      <w:r w:rsidRPr="00AF2BFF">
        <w:rPr>
          <w:sz w:val="26"/>
          <w:szCs w:val="26"/>
        </w:rPr>
        <w:t xml:space="preserve"> течение 2019 года </w:t>
      </w:r>
      <w:r w:rsidR="00793714" w:rsidRPr="00AF2BFF">
        <w:rPr>
          <w:sz w:val="26"/>
          <w:szCs w:val="26"/>
        </w:rPr>
        <w:t xml:space="preserve">в результате привлечения новых заимствований </w:t>
      </w:r>
      <w:r w:rsidRPr="00AF2BFF">
        <w:rPr>
          <w:sz w:val="26"/>
          <w:szCs w:val="26"/>
        </w:rPr>
        <w:t xml:space="preserve">обязательства перед нерезидентами по ссудам и займам увеличились на </w:t>
      </w:r>
      <w:r w:rsidR="00762EB9" w:rsidRPr="00AF2BFF">
        <w:rPr>
          <w:sz w:val="26"/>
          <w:szCs w:val="26"/>
        </w:rPr>
        <w:t>4</w:t>
      </w:r>
      <w:r w:rsidRPr="00AF2BFF">
        <w:rPr>
          <w:sz w:val="26"/>
          <w:szCs w:val="26"/>
        </w:rPr>
        <w:t>,</w:t>
      </w:r>
      <w:r w:rsidR="00191510" w:rsidRPr="00AF2BFF">
        <w:rPr>
          <w:sz w:val="26"/>
          <w:szCs w:val="26"/>
        </w:rPr>
        <w:t>6</w:t>
      </w:r>
      <w:r w:rsidRPr="00AF2BFF">
        <w:rPr>
          <w:sz w:val="26"/>
          <w:szCs w:val="26"/>
        </w:rPr>
        <w:t xml:space="preserve"> млрд. долл., а также </w:t>
      </w:r>
      <w:r w:rsidR="00180D72">
        <w:rPr>
          <w:sz w:val="26"/>
          <w:szCs w:val="26"/>
        </w:rPr>
        <w:t>по портфельным инвестициям</w:t>
      </w:r>
      <w:r w:rsidR="00180D72" w:rsidRPr="00AF2BFF">
        <w:rPr>
          <w:sz w:val="26"/>
          <w:szCs w:val="26"/>
        </w:rPr>
        <w:t xml:space="preserve"> за счёт размещения международных облигаций</w:t>
      </w:r>
      <w:r w:rsidR="00180D72">
        <w:rPr>
          <w:sz w:val="26"/>
          <w:szCs w:val="26"/>
        </w:rPr>
        <w:t xml:space="preserve">, </w:t>
      </w:r>
      <w:r w:rsidR="00FC4DCC">
        <w:rPr>
          <w:sz w:val="26"/>
          <w:szCs w:val="26"/>
        </w:rPr>
        <w:br/>
      </w:r>
      <w:r w:rsidR="00180D72">
        <w:rPr>
          <w:sz w:val="26"/>
          <w:szCs w:val="26"/>
        </w:rPr>
        <w:t xml:space="preserve">с учётом изменения их цен на мировых рынках капитала, </w:t>
      </w:r>
      <w:r w:rsidR="00972AD8" w:rsidRPr="00AF2BFF">
        <w:rPr>
          <w:sz w:val="26"/>
          <w:szCs w:val="26"/>
        </w:rPr>
        <w:t>на сумму 1</w:t>
      </w:r>
      <w:r w:rsidR="00762EB9" w:rsidRPr="00AF2BFF">
        <w:rPr>
          <w:sz w:val="26"/>
          <w:szCs w:val="26"/>
        </w:rPr>
        <w:t>,1</w:t>
      </w:r>
      <w:r w:rsidR="00972AD8" w:rsidRPr="00AF2BFF">
        <w:rPr>
          <w:sz w:val="26"/>
          <w:szCs w:val="26"/>
        </w:rPr>
        <w:t xml:space="preserve"> млрд. долл.</w:t>
      </w:r>
    </w:p>
    <w:p w:rsidR="005C3C71" w:rsidRPr="008C48A7" w:rsidRDefault="008B55B0" w:rsidP="00A61A57">
      <w:pPr>
        <w:pStyle w:val="21"/>
        <w:spacing w:before="160" w:after="0"/>
        <w:ind w:left="709"/>
        <w:rPr>
          <w:rFonts w:ascii="Calibri" w:hAnsi="Calibri"/>
        </w:rPr>
      </w:pPr>
      <w:bookmarkStart w:id="17" w:name="_Toc35458615"/>
      <w:r w:rsidRPr="008C48A7">
        <w:rPr>
          <w:rFonts w:ascii="Calibri" w:hAnsi="Calibri"/>
        </w:rPr>
        <w:t>БАНКОВСКИЙ СЕКТОР</w:t>
      </w:r>
      <w:bookmarkEnd w:id="16"/>
      <w:bookmarkEnd w:id="17"/>
    </w:p>
    <w:p w:rsidR="00392FB8" w:rsidRPr="00FC4DCC" w:rsidRDefault="00392FB8" w:rsidP="00630B0B">
      <w:pPr>
        <w:spacing w:before="120" w:line="288" w:lineRule="auto"/>
        <w:ind w:firstLine="709"/>
        <w:jc w:val="both"/>
        <w:rPr>
          <w:sz w:val="26"/>
          <w:szCs w:val="26"/>
          <w:u w:val="single"/>
        </w:rPr>
      </w:pPr>
      <w:r w:rsidRPr="00FC4DCC">
        <w:rPr>
          <w:sz w:val="26"/>
          <w:szCs w:val="26"/>
          <w:u w:val="single"/>
        </w:rPr>
        <w:t>Активы</w:t>
      </w:r>
    </w:p>
    <w:p w:rsidR="00392FB8" w:rsidRPr="00BA0C3F" w:rsidRDefault="00FA2347" w:rsidP="00493B23">
      <w:pPr>
        <w:spacing w:before="120" w:line="288" w:lineRule="auto"/>
        <w:ind w:firstLine="708"/>
        <w:jc w:val="both"/>
        <w:rPr>
          <w:sz w:val="26"/>
          <w:szCs w:val="26"/>
        </w:rPr>
      </w:pPr>
      <w:r w:rsidRPr="00785501">
        <w:rPr>
          <w:sz w:val="26"/>
          <w:szCs w:val="26"/>
        </w:rPr>
        <w:t xml:space="preserve">За </w:t>
      </w:r>
      <w:r w:rsidR="001507B3" w:rsidRPr="00785501">
        <w:rPr>
          <w:sz w:val="26"/>
          <w:szCs w:val="26"/>
        </w:rPr>
        <w:t>2019 год</w:t>
      </w:r>
      <w:r w:rsidRPr="00785501">
        <w:rPr>
          <w:sz w:val="26"/>
          <w:szCs w:val="26"/>
        </w:rPr>
        <w:t xml:space="preserve"> внешние </w:t>
      </w:r>
      <w:r w:rsidR="00B00E30" w:rsidRPr="00785501">
        <w:rPr>
          <w:sz w:val="26"/>
          <w:szCs w:val="26"/>
        </w:rPr>
        <w:t>требования</w:t>
      </w:r>
      <w:r w:rsidR="00392FB8" w:rsidRPr="00785501">
        <w:rPr>
          <w:sz w:val="26"/>
          <w:szCs w:val="26"/>
        </w:rPr>
        <w:t xml:space="preserve"> коммерческих банков </w:t>
      </w:r>
      <w:r w:rsidR="001507B3" w:rsidRPr="00785501">
        <w:rPr>
          <w:sz w:val="26"/>
          <w:szCs w:val="26"/>
        </w:rPr>
        <w:t>сократились</w:t>
      </w:r>
      <w:r w:rsidR="00392FB8" w:rsidRPr="00785501">
        <w:rPr>
          <w:sz w:val="26"/>
          <w:szCs w:val="26"/>
        </w:rPr>
        <w:t xml:space="preserve"> на </w:t>
      </w:r>
      <w:r w:rsidR="001507B3" w:rsidRPr="00785501">
        <w:rPr>
          <w:sz w:val="26"/>
          <w:szCs w:val="26"/>
        </w:rPr>
        <w:t>58</w:t>
      </w:r>
      <w:r w:rsidR="00392FB8" w:rsidRPr="00785501">
        <w:rPr>
          <w:sz w:val="26"/>
          <w:szCs w:val="26"/>
        </w:rPr>
        <w:t xml:space="preserve"> млн. долл.</w:t>
      </w:r>
      <w:r w:rsidR="00392FB8" w:rsidRPr="00785501">
        <w:rPr>
          <w:i/>
          <w:sz w:val="26"/>
          <w:szCs w:val="26"/>
        </w:rPr>
        <w:t xml:space="preserve"> </w:t>
      </w:r>
      <w:r w:rsidR="00B15033" w:rsidRPr="00785501">
        <w:rPr>
          <w:sz w:val="26"/>
          <w:szCs w:val="26"/>
        </w:rPr>
        <w:t xml:space="preserve">и </w:t>
      </w:r>
      <w:r w:rsidR="0016799E" w:rsidRPr="00785501">
        <w:rPr>
          <w:sz w:val="26"/>
          <w:szCs w:val="26"/>
        </w:rPr>
        <w:t xml:space="preserve">по состоянию на 1 </w:t>
      </w:r>
      <w:r w:rsidR="001507B3" w:rsidRPr="00785501">
        <w:rPr>
          <w:sz w:val="26"/>
          <w:szCs w:val="26"/>
        </w:rPr>
        <w:t>января</w:t>
      </w:r>
      <w:r w:rsidR="0016799E" w:rsidRPr="00785501">
        <w:rPr>
          <w:sz w:val="26"/>
          <w:szCs w:val="26"/>
        </w:rPr>
        <w:t xml:space="preserve"> 20</w:t>
      </w:r>
      <w:r w:rsidR="001507B3" w:rsidRPr="00785501">
        <w:rPr>
          <w:sz w:val="26"/>
          <w:szCs w:val="26"/>
        </w:rPr>
        <w:t>20</w:t>
      </w:r>
      <w:r w:rsidR="0016799E" w:rsidRPr="00785501">
        <w:rPr>
          <w:sz w:val="26"/>
          <w:szCs w:val="26"/>
        </w:rPr>
        <w:t xml:space="preserve"> года </w:t>
      </w:r>
      <w:r w:rsidR="00B15033" w:rsidRPr="00785501">
        <w:rPr>
          <w:sz w:val="26"/>
          <w:szCs w:val="26"/>
        </w:rPr>
        <w:t xml:space="preserve">составили </w:t>
      </w:r>
      <w:r w:rsidR="00392FB8" w:rsidRPr="00785501">
        <w:rPr>
          <w:sz w:val="26"/>
          <w:szCs w:val="26"/>
        </w:rPr>
        <w:t>2,</w:t>
      </w:r>
      <w:r w:rsidR="001507B3" w:rsidRPr="00785501">
        <w:rPr>
          <w:sz w:val="26"/>
          <w:szCs w:val="26"/>
        </w:rPr>
        <w:t>1</w:t>
      </w:r>
      <w:r w:rsidR="00392FB8" w:rsidRPr="00785501">
        <w:rPr>
          <w:sz w:val="26"/>
          <w:szCs w:val="26"/>
        </w:rPr>
        <w:t xml:space="preserve"> млрд. долл. </w:t>
      </w:r>
      <w:r w:rsidR="00493B23" w:rsidRPr="00785501">
        <w:rPr>
          <w:sz w:val="26"/>
          <w:szCs w:val="26"/>
        </w:rPr>
        <w:t>Причиной данного сокращения</w:t>
      </w:r>
      <w:r w:rsidR="00493B23" w:rsidRPr="00493B23">
        <w:rPr>
          <w:sz w:val="26"/>
          <w:szCs w:val="26"/>
        </w:rPr>
        <w:t xml:space="preserve"> остаётся</w:t>
      </w:r>
      <w:r w:rsidR="00493B23">
        <w:rPr>
          <w:sz w:val="26"/>
          <w:szCs w:val="26"/>
        </w:rPr>
        <w:t xml:space="preserve"> </w:t>
      </w:r>
      <w:r w:rsidR="00493B23" w:rsidRPr="00493B23">
        <w:rPr>
          <w:sz w:val="26"/>
          <w:szCs w:val="26"/>
        </w:rPr>
        <w:t xml:space="preserve">уменьшение остатка валюты и депозитов в кассах и на счётах ностро банков, обусловленное ростом объёма платежей по импортным операциям </w:t>
      </w:r>
      <w:r w:rsidR="00EF599A">
        <w:rPr>
          <w:sz w:val="26"/>
          <w:szCs w:val="26"/>
        </w:rPr>
        <w:br/>
      </w:r>
      <w:r w:rsidR="00493B23" w:rsidRPr="00493B23">
        <w:rPr>
          <w:sz w:val="26"/>
          <w:szCs w:val="26"/>
        </w:rPr>
        <w:t>и погашением внешних заимствований резидентами.</w:t>
      </w:r>
      <w:r w:rsidR="00CB6DE4">
        <w:rPr>
          <w:sz w:val="26"/>
          <w:szCs w:val="26"/>
        </w:rPr>
        <w:t xml:space="preserve"> При этом, уменьшение остатка валюты и депозитов банков почти в полном объёме было компенсировано </w:t>
      </w:r>
      <w:r w:rsidR="00C11EB1" w:rsidRPr="00C11EB1">
        <w:rPr>
          <w:sz w:val="26"/>
          <w:szCs w:val="26"/>
        </w:rPr>
        <w:t>неоперационными</w:t>
      </w:r>
      <w:r w:rsidR="00041CD4" w:rsidRPr="00C11EB1">
        <w:rPr>
          <w:sz w:val="26"/>
          <w:szCs w:val="26"/>
        </w:rPr>
        <w:t xml:space="preserve"> изменения</w:t>
      </w:r>
      <w:r w:rsidR="001A1276" w:rsidRPr="00C11EB1">
        <w:rPr>
          <w:sz w:val="26"/>
          <w:szCs w:val="26"/>
        </w:rPr>
        <w:t>ми</w:t>
      </w:r>
      <w:r w:rsidR="00041CD4" w:rsidRPr="00C11EB1">
        <w:rPr>
          <w:sz w:val="26"/>
          <w:szCs w:val="26"/>
        </w:rPr>
        <w:t>, возникш</w:t>
      </w:r>
      <w:r w:rsidR="001A1276" w:rsidRPr="00C11EB1">
        <w:rPr>
          <w:sz w:val="26"/>
          <w:szCs w:val="26"/>
        </w:rPr>
        <w:t>ими</w:t>
      </w:r>
      <w:r w:rsidR="00041CD4" w:rsidRPr="00C11EB1">
        <w:rPr>
          <w:sz w:val="26"/>
          <w:szCs w:val="26"/>
        </w:rPr>
        <w:t xml:space="preserve"> в</w:t>
      </w:r>
      <w:r w:rsidR="00392FB8" w:rsidRPr="00C11EB1">
        <w:rPr>
          <w:sz w:val="26"/>
          <w:szCs w:val="26"/>
        </w:rPr>
        <w:t xml:space="preserve">последствии передачи коммерческим банкам средств, поступивших от размещения </w:t>
      </w:r>
      <w:r w:rsidR="00793714" w:rsidRPr="008C48A7">
        <w:rPr>
          <w:sz w:val="26"/>
          <w:szCs w:val="26"/>
        </w:rPr>
        <w:t xml:space="preserve">международных </w:t>
      </w:r>
      <w:r w:rsidR="00793714">
        <w:rPr>
          <w:sz w:val="26"/>
          <w:szCs w:val="26"/>
        </w:rPr>
        <w:t>облигаций</w:t>
      </w:r>
      <w:r w:rsidR="00392FB8" w:rsidRPr="00C11EB1">
        <w:rPr>
          <w:sz w:val="26"/>
          <w:szCs w:val="26"/>
        </w:rPr>
        <w:t>.</w:t>
      </w:r>
    </w:p>
    <w:p w:rsidR="00392FB8" w:rsidRPr="00EF599A" w:rsidRDefault="00392FB8" w:rsidP="00630B0B">
      <w:pPr>
        <w:spacing w:before="120" w:line="288" w:lineRule="auto"/>
        <w:ind w:firstLine="709"/>
        <w:jc w:val="both"/>
        <w:rPr>
          <w:sz w:val="26"/>
          <w:szCs w:val="26"/>
          <w:u w:val="single"/>
        </w:rPr>
      </w:pPr>
      <w:r w:rsidRPr="00EF599A">
        <w:rPr>
          <w:sz w:val="26"/>
          <w:szCs w:val="26"/>
          <w:u w:val="single"/>
        </w:rPr>
        <w:t>Обязательства</w:t>
      </w:r>
    </w:p>
    <w:p w:rsidR="00392FB8" w:rsidRPr="00277B9A" w:rsidRDefault="000A30B9" w:rsidP="00630B0B">
      <w:pPr>
        <w:spacing w:before="120" w:line="288" w:lineRule="auto"/>
        <w:ind w:firstLine="708"/>
        <w:jc w:val="both"/>
        <w:rPr>
          <w:sz w:val="26"/>
          <w:szCs w:val="26"/>
        </w:rPr>
      </w:pPr>
      <w:r w:rsidRPr="007F3678">
        <w:rPr>
          <w:sz w:val="26"/>
          <w:szCs w:val="26"/>
        </w:rPr>
        <w:t xml:space="preserve">Внешние обязательства банковского сектора </w:t>
      </w:r>
      <w:r w:rsidR="00B3305B" w:rsidRPr="007F3678">
        <w:rPr>
          <w:sz w:val="26"/>
          <w:szCs w:val="26"/>
        </w:rPr>
        <w:t>по итогам 2019 года</w:t>
      </w:r>
      <w:r w:rsidR="00392FB8" w:rsidRPr="007F3678">
        <w:rPr>
          <w:sz w:val="26"/>
          <w:szCs w:val="26"/>
        </w:rPr>
        <w:t xml:space="preserve"> </w:t>
      </w:r>
      <w:r w:rsidR="00BC09DD" w:rsidRPr="007F3678">
        <w:rPr>
          <w:sz w:val="26"/>
          <w:szCs w:val="26"/>
        </w:rPr>
        <w:t>выросли</w:t>
      </w:r>
      <w:r w:rsidR="00392FB8" w:rsidRPr="007F3678">
        <w:rPr>
          <w:sz w:val="26"/>
          <w:szCs w:val="26"/>
        </w:rPr>
        <w:t xml:space="preserve"> </w:t>
      </w:r>
      <w:r w:rsidR="00EF599A">
        <w:rPr>
          <w:sz w:val="26"/>
          <w:szCs w:val="26"/>
        </w:rPr>
        <w:br/>
      </w:r>
      <w:r w:rsidR="00392FB8" w:rsidRPr="007F3678">
        <w:rPr>
          <w:sz w:val="26"/>
          <w:szCs w:val="26"/>
        </w:rPr>
        <w:t xml:space="preserve">на </w:t>
      </w:r>
      <w:r w:rsidR="00B3305B" w:rsidRPr="007F3678">
        <w:rPr>
          <w:sz w:val="26"/>
          <w:szCs w:val="26"/>
        </w:rPr>
        <w:t>2,0</w:t>
      </w:r>
      <w:r w:rsidR="00392FB8" w:rsidRPr="007F3678">
        <w:rPr>
          <w:sz w:val="26"/>
          <w:szCs w:val="26"/>
        </w:rPr>
        <w:t xml:space="preserve"> мл</w:t>
      </w:r>
      <w:r w:rsidR="00B3305B" w:rsidRPr="007F3678">
        <w:rPr>
          <w:sz w:val="26"/>
          <w:szCs w:val="26"/>
        </w:rPr>
        <w:t>рд</w:t>
      </w:r>
      <w:r w:rsidR="00392FB8" w:rsidRPr="007F3678">
        <w:rPr>
          <w:sz w:val="26"/>
          <w:szCs w:val="26"/>
        </w:rPr>
        <w:t xml:space="preserve">. долл. Анализ показал, что </w:t>
      </w:r>
      <w:r w:rsidR="00F26D1D" w:rsidRPr="007F3678">
        <w:rPr>
          <w:sz w:val="26"/>
          <w:szCs w:val="26"/>
        </w:rPr>
        <w:t>увеличение</w:t>
      </w:r>
      <w:r w:rsidR="00392FB8" w:rsidRPr="007F3678">
        <w:rPr>
          <w:sz w:val="26"/>
          <w:szCs w:val="26"/>
        </w:rPr>
        <w:t xml:space="preserve"> </w:t>
      </w:r>
      <w:r w:rsidR="00EF599A">
        <w:rPr>
          <w:sz w:val="26"/>
          <w:szCs w:val="26"/>
        </w:rPr>
        <w:t>внешних</w:t>
      </w:r>
      <w:r w:rsidR="0057085A" w:rsidRPr="007F3678">
        <w:rPr>
          <w:sz w:val="26"/>
          <w:szCs w:val="26"/>
        </w:rPr>
        <w:t xml:space="preserve"> обязательств банков </w:t>
      </w:r>
      <w:r w:rsidR="00392FB8" w:rsidRPr="007F3678">
        <w:rPr>
          <w:sz w:val="26"/>
          <w:szCs w:val="26"/>
        </w:rPr>
        <w:t>наблюдал</w:t>
      </w:r>
      <w:r w:rsidR="00455B38" w:rsidRPr="007F3678">
        <w:rPr>
          <w:sz w:val="26"/>
          <w:szCs w:val="26"/>
        </w:rPr>
        <w:t>ось</w:t>
      </w:r>
      <w:r w:rsidR="00392FB8" w:rsidRPr="007F3678">
        <w:rPr>
          <w:sz w:val="26"/>
          <w:szCs w:val="26"/>
        </w:rPr>
        <w:t xml:space="preserve"> </w:t>
      </w:r>
      <w:r w:rsidR="0057085A" w:rsidRPr="007F3678">
        <w:rPr>
          <w:sz w:val="26"/>
          <w:szCs w:val="26"/>
        </w:rPr>
        <w:t xml:space="preserve">по всем компонентам, в том числе </w:t>
      </w:r>
      <w:r w:rsidR="00392FB8" w:rsidRPr="007F3678">
        <w:rPr>
          <w:sz w:val="26"/>
          <w:szCs w:val="26"/>
        </w:rPr>
        <w:t>по компонент</w:t>
      </w:r>
      <w:r w:rsidR="0057085A" w:rsidRPr="007F3678">
        <w:rPr>
          <w:sz w:val="26"/>
          <w:szCs w:val="26"/>
        </w:rPr>
        <w:t>у</w:t>
      </w:r>
      <w:r w:rsidR="00392FB8" w:rsidRPr="007F3678">
        <w:rPr>
          <w:sz w:val="26"/>
          <w:szCs w:val="26"/>
        </w:rPr>
        <w:t xml:space="preserve"> </w:t>
      </w:r>
      <w:r w:rsidR="00455B38" w:rsidRPr="007F3678">
        <w:rPr>
          <w:sz w:val="26"/>
          <w:szCs w:val="26"/>
        </w:rPr>
        <w:t xml:space="preserve">«Ссуды и займы» </w:t>
      </w:r>
      <w:r w:rsidR="00EF599A">
        <w:rPr>
          <w:sz w:val="26"/>
          <w:szCs w:val="26"/>
        </w:rPr>
        <w:br/>
      </w:r>
      <w:r w:rsidR="00455B38" w:rsidRPr="007F3678">
        <w:rPr>
          <w:i/>
          <w:sz w:val="26"/>
          <w:szCs w:val="26"/>
        </w:rPr>
        <w:t xml:space="preserve">(рост на </w:t>
      </w:r>
      <w:r w:rsidR="00F6045C" w:rsidRPr="007F3678">
        <w:rPr>
          <w:i/>
          <w:sz w:val="26"/>
          <w:szCs w:val="26"/>
        </w:rPr>
        <w:t>1,6</w:t>
      </w:r>
      <w:r w:rsidR="00455B38" w:rsidRPr="007F3678">
        <w:rPr>
          <w:i/>
          <w:sz w:val="26"/>
          <w:szCs w:val="26"/>
        </w:rPr>
        <w:t xml:space="preserve"> мл</w:t>
      </w:r>
      <w:r w:rsidR="00F6045C" w:rsidRPr="007F3678">
        <w:rPr>
          <w:i/>
          <w:sz w:val="26"/>
          <w:szCs w:val="26"/>
        </w:rPr>
        <w:t>рд</w:t>
      </w:r>
      <w:r w:rsidR="00455B38" w:rsidRPr="007F3678">
        <w:rPr>
          <w:i/>
          <w:sz w:val="26"/>
          <w:szCs w:val="26"/>
        </w:rPr>
        <w:t>. долл.)</w:t>
      </w:r>
      <w:r w:rsidR="00451F38" w:rsidRPr="007F3678">
        <w:rPr>
          <w:i/>
          <w:sz w:val="26"/>
          <w:szCs w:val="26"/>
        </w:rPr>
        <w:t xml:space="preserve">, </w:t>
      </w:r>
      <w:r w:rsidR="00451F38" w:rsidRPr="007F3678">
        <w:rPr>
          <w:sz w:val="26"/>
          <w:szCs w:val="26"/>
        </w:rPr>
        <w:t>«П</w:t>
      </w:r>
      <w:r w:rsidR="00F6045C" w:rsidRPr="007F3678">
        <w:rPr>
          <w:sz w:val="26"/>
          <w:szCs w:val="26"/>
        </w:rPr>
        <w:t>ортфельны</w:t>
      </w:r>
      <w:r w:rsidR="00451F38" w:rsidRPr="007F3678">
        <w:rPr>
          <w:sz w:val="26"/>
          <w:szCs w:val="26"/>
        </w:rPr>
        <w:t xml:space="preserve">е инвестиции» </w:t>
      </w:r>
      <w:r w:rsidR="00451F38" w:rsidRPr="007F3678">
        <w:rPr>
          <w:i/>
          <w:sz w:val="26"/>
          <w:szCs w:val="26"/>
        </w:rPr>
        <w:t xml:space="preserve">(рост на </w:t>
      </w:r>
      <w:r w:rsidR="00F6045C" w:rsidRPr="007F3678">
        <w:rPr>
          <w:i/>
          <w:sz w:val="26"/>
          <w:szCs w:val="26"/>
        </w:rPr>
        <w:t>30</w:t>
      </w:r>
      <w:r w:rsidR="00180D72">
        <w:rPr>
          <w:i/>
          <w:sz w:val="26"/>
          <w:szCs w:val="26"/>
        </w:rPr>
        <w:t>7</w:t>
      </w:r>
      <w:r w:rsidR="00451F38" w:rsidRPr="007F3678">
        <w:rPr>
          <w:i/>
          <w:sz w:val="26"/>
          <w:szCs w:val="26"/>
        </w:rPr>
        <w:t xml:space="preserve"> млн. долл.)</w:t>
      </w:r>
      <w:r w:rsidR="0057085A" w:rsidRPr="007F3678">
        <w:rPr>
          <w:i/>
          <w:sz w:val="26"/>
          <w:szCs w:val="26"/>
        </w:rPr>
        <w:t>,</w:t>
      </w:r>
      <w:r w:rsidR="00451F38" w:rsidRPr="007F3678">
        <w:rPr>
          <w:sz w:val="26"/>
          <w:szCs w:val="26"/>
        </w:rPr>
        <w:t xml:space="preserve"> </w:t>
      </w:r>
      <w:r w:rsidR="00455B38" w:rsidRPr="007F3678">
        <w:rPr>
          <w:sz w:val="26"/>
          <w:szCs w:val="26"/>
        </w:rPr>
        <w:t xml:space="preserve">«Валюта и депозиты» </w:t>
      </w:r>
      <w:r w:rsidR="00455B38" w:rsidRPr="007F3678">
        <w:rPr>
          <w:i/>
          <w:sz w:val="26"/>
          <w:szCs w:val="26"/>
        </w:rPr>
        <w:t xml:space="preserve">(рост на </w:t>
      </w:r>
      <w:r w:rsidR="00F6045C" w:rsidRPr="007F3678">
        <w:rPr>
          <w:i/>
          <w:sz w:val="26"/>
          <w:szCs w:val="26"/>
        </w:rPr>
        <w:t>59</w:t>
      </w:r>
      <w:r w:rsidR="00455B38" w:rsidRPr="007F3678">
        <w:rPr>
          <w:i/>
          <w:sz w:val="26"/>
          <w:szCs w:val="26"/>
        </w:rPr>
        <w:t xml:space="preserve"> млн. долл.)</w:t>
      </w:r>
      <w:r w:rsidR="00260ED7" w:rsidRPr="007F3678">
        <w:rPr>
          <w:sz w:val="26"/>
          <w:szCs w:val="26"/>
        </w:rPr>
        <w:t>,</w:t>
      </w:r>
      <w:r w:rsidR="00455B38" w:rsidRPr="007F3678">
        <w:rPr>
          <w:sz w:val="26"/>
          <w:szCs w:val="26"/>
        </w:rPr>
        <w:t xml:space="preserve"> </w:t>
      </w:r>
      <w:r w:rsidR="00392FB8" w:rsidRPr="007F3678">
        <w:rPr>
          <w:sz w:val="26"/>
          <w:szCs w:val="26"/>
        </w:rPr>
        <w:t>«П</w:t>
      </w:r>
      <w:r w:rsidR="0057085A" w:rsidRPr="007F3678">
        <w:rPr>
          <w:sz w:val="26"/>
          <w:szCs w:val="26"/>
        </w:rPr>
        <w:t>рямые</w:t>
      </w:r>
      <w:r w:rsidR="00392FB8" w:rsidRPr="007F3678">
        <w:rPr>
          <w:sz w:val="26"/>
          <w:szCs w:val="26"/>
        </w:rPr>
        <w:t xml:space="preserve"> инвес</w:t>
      </w:r>
      <w:r w:rsidR="00260ED7" w:rsidRPr="007F3678">
        <w:rPr>
          <w:sz w:val="26"/>
          <w:szCs w:val="26"/>
        </w:rPr>
        <w:t xml:space="preserve">тиции» </w:t>
      </w:r>
      <w:r w:rsidR="00260ED7" w:rsidRPr="007F3678">
        <w:rPr>
          <w:i/>
          <w:sz w:val="26"/>
          <w:szCs w:val="26"/>
        </w:rPr>
        <w:t>(</w:t>
      </w:r>
      <w:r w:rsidR="0057085A" w:rsidRPr="007F3678">
        <w:rPr>
          <w:i/>
          <w:sz w:val="26"/>
          <w:szCs w:val="26"/>
        </w:rPr>
        <w:t>рост</w:t>
      </w:r>
      <w:r w:rsidR="00DA5555" w:rsidRPr="007F3678">
        <w:rPr>
          <w:i/>
          <w:sz w:val="26"/>
          <w:szCs w:val="26"/>
        </w:rPr>
        <w:t xml:space="preserve"> </w:t>
      </w:r>
      <w:r w:rsidR="00260ED7" w:rsidRPr="007F3678">
        <w:rPr>
          <w:i/>
          <w:sz w:val="26"/>
          <w:szCs w:val="26"/>
        </w:rPr>
        <w:t xml:space="preserve">на </w:t>
      </w:r>
      <w:r w:rsidR="0057085A" w:rsidRPr="007F3678">
        <w:rPr>
          <w:i/>
          <w:sz w:val="26"/>
          <w:szCs w:val="26"/>
        </w:rPr>
        <w:t>3</w:t>
      </w:r>
      <w:r w:rsidR="00180D72">
        <w:rPr>
          <w:i/>
          <w:sz w:val="26"/>
          <w:szCs w:val="26"/>
        </w:rPr>
        <w:t>5</w:t>
      </w:r>
      <w:r w:rsidR="00260ED7" w:rsidRPr="007F3678">
        <w:rPr>
          <w:i/>
          <w:sz w:val="26"/>
          <w:szCs w:val="26"/>
        </w:rPr>
        <w:t xml:space="preserve"> млн. </w:t>
      </w:r>
      <w:r w:rsidR="00260ED7" w:rsidRPr="007F3678">
        <w:rPr>
          <w:i/>
          <w:sz w:val="26"/>
          <w:szCs w:val="26"/>
        </w:rPr>
        <w:lastRenderedPageBreak/>
        <w:t>долл.)</w:t>
      </w:r>
      <w:r w:rsidR="00260ED7" w:rsidRPr="007F3678">
        <w:rPr>
          <w:sz w:val="26"/>
          <w:szCs w:val="26"/>
        </w:rPr>
        <w:t>.</w:t>
      </w:r>
    </w:p>
    <w:p w:rsidR="00793714" w:rsidRDefault="00392FB8" w:rsidP="00630B0B">
      <w:pPr>
        <w:spacing w:before="120" w:line="288" w:lineRule="auto"/>
        <w:ind w:firstLine="708"/>
        <w:jc w:val="both"/>
        <w:rPr>
          <w:sz w:val="26"/>
          <w:szCs w:val="26"/>
        </w:rPr>
      </w:pPr>
      <w:r w:rsidRPr="004724A5">
        <w:rPr>
          <w:sz w:val="26"/>
          <w:szCs w:val="26"/>
        </w:rPr>
        <w:t xml:space="preserve">Таким образом, </w:t>
      </w:r>
      <w:r w:rsidR="003D52CC" w:rsidRPr="004724A5">
        <w:rPr>
          <w:sz w:val="26"/>
          <w:szCs w:val="26"/>
        </w:rPr>
        <w:t xml:space="preserve">по состоянию </w:t>
      </w:r>
      <w:r w:rsidRPr="004724A5">
        <w:rPr>
          <w:sz w:val="26"/>
          <w:szCs w:val="26"/>
        </w:rPr>
        <w:t xml:space="preserve">на 1 </w:t>
      </w:r>
      <w:r w:rsidR="001C67B4" w:rsidRPr="004724A5">
        <w:rPr>
          <w:sz w:val="26"/>
          <w:szCs w:val="26"/>
        </w:rPr>
        <w:t>января</w:t>
      </w:r>
      <w:r w:rsidRPr="004724A5">
        <w:rPr>
          <w:sz w:val="26"/>
          <w:szCs w:val="26"/>
        </w:rPr>
        <w:t xml:space="preserve"> 20</w:t>
      </w:r>
      <w:r w:rsidR="001C67B4" w:rsidRPr="004724A5">
        <w:rPr>
          <w:sz w:val="26"/>
          <w:szCs w:val="26"/>
        </w:rPr>
        <w:t>20</w:t>
      </w:r>
      <w:r w:rsidRPr="004724A5">
        <w:rPr>
          <w:sz w:val="26"/>
          <w:szCs w:val="26"/>
        </w:rPr>
        <w:t xml:space="preserve"> года </w:t>
      </w:r>
      <w:r w:rsidR="001C67B4" w:rsidRPr="004724A5">
        <w:rPr>
          <w:sz w:val="26"/>
          <w:szCs w:val="26"/>
        </w:rPr>
        <w:t>78</w:t>
      </w:r>
      <w:r w:rsidRPr="004724A5">
        <w:rPr>
          <w:sz w:val="26"/>
          <w:szCs w:val="26"/>
        </w:rPr>
        <w:t>% обязательств банковского сектора перед нерезидентами</w:t>
      </w:r>
      <w:r w:rsidRPr="00277B9A">
        <w:rPr>
          <w:sz w:val="26"/>
          <w:szCs w:val="26"/>
        </w:rPr>
        <w:t xml:space="preserve"> пр</w:t>
      </w:r>
      <w:r w:rsidR="005876A3">
        <w:rPr>
          <w:sz w:val="26"/>
          <w:szCs w:val="26"/>
        </w:rPr>
        <w:t xml:space="preserve">едставлены </w:t>
      </w:r>
      <w:r w:rsidRPr="00277B9A">
        <w:rPr>
          <w:sz w:val="26"/>
          <w:szCs w:val="26"/>
        </w:rPr>
        <w:t>кредит</w:t>
      </w:r>
      <w:r w:rsidR="005876A3">
        <w:rPr>
          <w:sz w:val="26"/>
          <w:szCs w:val="26"/>
        </w:rPr>
        <w:t>ами</w:t>
      </w:r>
      <w:r w:rsidRPr="00277B9A">
        <w:rPr>
          <w:sz w:val="26"/>
          <w:szCs w:val="26"/>
        </w:rPr>
        <w:t xml:space="preserve"> и займ</w:t>
      </w:r>
      <w:r w:rsidR="005876A3">
        <w:rPr>
          <w:sz w:val="26"/>
          <w:szCs w:val="26"/>
        </w:rPr>
        <w:t>ами</w:t>
      </w:r>
      <w:r w:rsidRPr="00277B9A">
        <w:rPr>
          <w:sz w:val="26"/>
          <w:szCs w:val="26"/>
        </w:rPr>
        <w:t xml:space="preserve"> зарубежных банков и международных финансовых учреждений </w:t>
      </w:r>
      <w:r w:rsidRPr="00277B9A">
        <w:rPr>
          <w:color w:val="0070C0"/>
          <w:sz w:val="26"/>
          <w:szCs w:val="26"/>
        </w:rPr>
        <w:t>(Диаграмма 1</w:t>
      </w:r>
      <w:r w:rsidR="00393601">
        <w:rPr>
          <w:color w:val="0070C0"/>
          <w:sz w:val="26"/>
          <w:szCs w:val="26"/>
        </w:rPr>
        <w:t>6</w:t>
      </w:r>
      <w:r w:rsidRPr="00277B9A">
        <w:rPr>
          <w:color w:val="0070C0"/>
          <w:sz w:val="26"/>
          <w:szCs w:val="26"/>
        </w:rPr>
        <w:t>)</w:t>
      </w:r>
      <w:r w:rsidRPr="00277B9A">
        <w:rPr>
          <w:sz w:val="26"/>
          <w:szCs w:val="26"/>
        </w:rPr>
        <w:t>.</w:t>
      </w:r>
    </w:p>
    <w:tbl>
      <w:tblPr>
        <w:tblW w:w="0" w:type="auto"/>
        <w:tblLook w:val="04A0"/>
      </w:tblPr>
      <w:tblGrid>
        <w:gridCol w:w="5106"/>
        <w:gridCol w:w="4992"/>
      </w:tblGrid>
      <w:tr w:rsidR="00392FB8" w:rsidRPr="001E0A02" w:rsidTr="00134257">
        <w:tc>
          <w:tcPr>
            <w:tcW w:w="9921" w:type="dxa"/>
            <w:gridSpan w:val="2"/>
            <w:shd w:val="clear" w:color="auto" w:fill="auto"/>
          </w:tcPr>
          <w:p w:rsidR="00392FB8" w:rsidRPr="00277B9A" w:rsidRDefault="00793714" w:rsidP="00392FB8">
            <w:pPr>
              <w:spacing w:before="80" w:after="80"/>
              <w:jc w:val="right"/>
            </w:pPr>
            <w:r>
              <w:rPr>
                <w:sz w:val="26"/>
                <w:szCs w:val="26"/>
              </w:rPr>
              <w:br w:type="page"/>
            </w:r>
            <w:r w:rsidR="003228B4">
              <w:t>Диаграмма 1</w:t>
            </w:r>
            <w:r w:rsidR="00393601">
              <w:t>6</w:t>
            </w:r>
          </w:p>
          <w:p w:rsidR="00392FB8" w:rsidRPr="00277B9A" w:rsidRDefault="00392FB8" w:rsidP="00392FB8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277B9A">
              <w:rPr>
                <w:b/>
                <w:sz w:val="26"/>
                <w:szCs w:val="26"/>
              </w:rPr>
              <w:t>СТРУКТУРА ОБЯЗАТЕЛЬСТВ БАНКОВ ПЕРЕД НЕРЕЗИДЕНТАМИ</w:t>
            </w:r>
          </w:p>
        </w:tc>
      </w:tr>
      <w:tr w:rsidR="00392FB8" w:rsidRPr="001E0A02" w:rsidTr="00B3305B">
        <w:tc>
          <w:tcPr>
            <w:tcW w:w="5016" w:type="dxa"/>
            <w:shd w:val="clear" w:color="auto" w:fill="auto"/>
          </w:tcPr>
          <w:p w:rsidR="00392FB8" w:rsidRPr="00277B9A" w:rsidRDefault="00F6158B" w:rsidP="00392FB8">
            <w:pPr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r w:rsidR="00392FB8" w:rsidRPr="00277B9A">
              <w:rPr>
                <w:sz w:val="26"/>
                <w:szCs w:val="26"/>
              </w:rPr>
              <w:t>1 января 2019 года</w:t>
            </w:r>
          </w:p>
        </w:tc>
        <w:tc>
          <w:tcPr>
            <w:tcW w:w="4905" w:type="dxa"/>
            <w:shd w:val="clear" w:color="auto" w:fill="auto"/>
          </w:tcPr>
          <w:p w:rsidR="00392FB8" w:rsidRPr="00277B9A" w:rsidRDefault="00F6158B" w:rsidP="00134257">
            <w:pPr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r w:rsidR="00392FB8" w:rsidRPr="00277B9A">
              <w:rPr>
                <w:sz w:val="26"/>
                <w:szCs w:val="26"/>
              </w:rPr>
              <w:t xml:space="preserve">1 </w:t>
            </w:r>
            <w:r w:rsidR="00134257">
              <w:rPr>
                <w:sz w:val="26"/>
                <w:szCs w:val="26"/>
              </w:rPr>
              <w:t>январ</w:t>
            </w:r>
            <w:r w:rsidR="00C03D31">
              <w:rPr>
                <w:sz w:val="26"/>
                <w:szCs w:val="26"/>
              </w:rPr>
              <w:t>я</w:t>
            </w:r>
            <w:r w:rsidR="00392FB8" w:rsidRPr="00277B9A">
              <w:rPr>
                <w:sz w:val="26"/>
                <w:szCs w:val="26"/>
              </w:rPr>
              <w:t xml:space="preserve"> 20</w:t>
            </w:r>
            <w:r w:rsidR="00134257">
              <w:rPr>
                <w:sz w:val="26"/>
                <w:szCs w:val="26"/>
              </w:rPr>
              <w:t>20</w:t>
            </w:r>
            <w:r w:rsidR="00392FB8" w:rsidRPr="00277B9A">
              <w:rPr>
                <w:sz w:val="26"/>
                <w:szCs w:val="26"/>
              </w:rPr>
              <w:t xml:space="preserve"> года</w:t>
            </w:r>
          </w:p>
        </w:tc>
      </w:tr>
      <w:tr w:rsidR="00392FB8" w:rsidRPr="001E0A02" w:rsidTr="00B3305B">
        <w:trPr>
          <w:trHeight w:val="6028"/>
        </w:trPr>
        <w:tc>
          <w:tcPr>
            <w:tcW w:w="5016" w:type="dxa"/>
            <w:shd w:val="clear" w:color="auto" w:fill="auto"/>
          </w:tcPr>
          <w:p w:rsidR="00392FB8" w:rsidRPr="00277B9A" w:rsidRDefault="00134257" w:rsidP="00392FB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05150" cy="3587750"/>
                  <wp:effectExtent l="0" t="0" r="0" b="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  <w:tc>
          <w:tcPr>
            <w:tcW w:w="4905" w:type="dxa"/>
            <w:shd w:val="clear" w:color="auto" w:fill="auto"/>
          </w:tcPr>
          <w:p w:rsidR="00392FB8" w:rsidRPr="00277B9A" w:rsidRDefault="00134257" w:rsidP="00392FB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32760" cy="3587750"/>
                  <wp:effectExtent l="0" t="0" r="0" b="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</w:tr>
    </w:tbl>
    <w:p w:rsidR="001247A0" w:rsidRPr="008C48A7" w:rsidRDefault="008B55B0" w:rsidP="00FC23A4">
      <w:pPr>
        <w:pStyle w:val="21"/>
        <w:spacing w:before="120"/>
        <w:ind w:left="709"/>
        <w:rPr>
          <w:rFonts w:ascii="Calibri" w:hAnsi="Calibri"/>
        </w:rPr>
      </w:pPr>
      <w:bookmarkStart w:id="18" w:name="_Toc533515532"/>
      <w:bookmarkStart w:id="19" w:name="_Toc35458616"/>
      <w:r w:rsidRPr="008C48A7">
        <w:rPr>
          <w:rFonts w:ascii="Calibri" w:hAnsi="Calibri"/>
        </w:rPr>
        <w:t>ДРУГИЕ СЕКТОР</w:t>
      </w:r>
      <w:bookmarkEnd w:id="18"/>
      <w:r w:rsidRPr="008C48A7">
        <w:rPr>
          <w:rFonts w:ascii="Calibri" w:hAnsi="Calibri"/>
        </w:rPr>
        <w:t>А</w:t>
      </w:r>
      <w:bookmarkEnd w:id="19"/>
    </w:p>
    <w:p w:rsidR="00392FB8" w:rsidRPr="00EF599A" w:rsidRDefault="00392FB8" w:rsidP="00D83200">
      <w:pPr>
        <w:spacing w:before="60" w:line="288" w:lineRule="auto"/>
        <w:ind w:firstLine="709"/>
        <w:jc w:val="both"/>
        <w:rPr>
          <w:sz w:val="26"/>
          <w:szCs w:val="26"/>
          <w:u w:val="single"/>
        </w:rPr>
      </w:pPr>
      <w:r w:rsidRPr="00EF599A">
        <w:rPr>
          <w:sz w:val="26"/>
          <w:szCs w:val="26"/>
          <w:u w:val="single"/>
        </w:rPr>
        <w:t>Активы</w:t>
      </w:r>
    </w:p>
    <w:p w:rsidR="00392FB8" w:rsidRDefault="002C3F1D" w:rsidP="00D83200">
      <w:pPr>
        <w:spacing w:before="60" w:line="288" w:lineRule="auto"/>
        <w:ind w:firstLine="708"/>
        <w:jc w:val="both"/>
        <w:rPr>
          <w:i/>
          <w:sz w:val="26"/>
          <w:szCs w:val="26"/>
        </w:rPr>
      </w:pPr>
      <w:r w:rsidRPr="0099112B">
        <w:rPr>
          <w:sz w:val="26"/>
          <w:szCs w:val="26"/>
        </w:rPr>
        <w:t xml:space="preserve">В структуре внешних активов </w:t>
      </w:r>
      <w:r w:rsidR="0008419F" w:rsidRPr="0099112B">
        <w:rPr>
          <w:sz w:val="26"/>
          <w:szCs w:val="26"/>
        </w:rPr>
        <w:t xml:space="preserve">других секторов за </w:t>
      </w:r>
      <w:r w:rsidR="00392FB8" w:rsidRPr="0099112B">
        <w:rPr>
          <w:sz w:val="26"/>
          <w:szCs w:val="26"/>
        </w:rPr>
        <w:t>2019 год увелич</w:t>
      </w:r>
      <w:r w:rsidRPr="0099112B">
        <w:rPr>
          <w:sz w:val="26"/>
          <w:szCs w:val="26"/>
        </w:rPr>
        <w:t>ение</w:t>
      </w:r>
      <w:r w:rsidR="00392FB8" w:rsidRPr="0099112B">
        <w:rPr>
          <w:sz w:val="26"/>
          <w:szCs w:val="26"/>
        </w:rPr>
        <w:t xml:space="preserve"> </w:t>
      </w:r>
      <w:r w:rsidRPr="0099112B">
        <w:rPr>
          <w:sz w:val="26"/>
          <w:szCs w:val="26"/>
        </w:rPr>
        <w:t>составило</w:t>
      </w:r>
      <w:r w:rsidR="00392FB8" w:rsidRPr="0099112B">
        <w:rPr>
          <w:sz w:val="26"/>
          <w:szCs w:val="26"/>
        </w:rPr>
        <w:t xml:space="preserve"> </w:t>
      </w:r>
      <w:r w:rsidR="00647B9A" w:rsidRPr="0099112B">
        <w:rPr>
          <w:sz w:val="26"/>
          <w:szCs w:val="26"/>
        </w:rPr>
        <w:br/>
      </w:r>
      <w:r w:rsidR="00C50D18" w:rsidRPr="0099112B">
        <w:rPr>
          <w:sz w:val="26"/>
          <w:szCs w:val="26"/>
          <w:lang w:val="uz-Cyrl-UZ"/>
        </w:rPr>
        <w:t>2,8</w:t>
      </w:r>
      <w:r w:rsidR="00D35087" w:rsidRPr="0099112B">
        <w:rPr>
          <w:sz w:val="26"/>
          <w:szCs w:val="26"/>
        </w:rPr>
        <w:t xml:space="preserve"> </w:t>
      </w:r>
      <w:r w:rsidR="00392FB8" w:rsidRPr="0099112B">
        <w:rPr>
          <w:sz w:val="26"/>
          <w:szCs w:val="26"/>
        </w:rPr>
        <w:t>мл</w:t>
      </w:r>
      <w:r w:rsidR="00D35087" w:rsidRPr="0099112B">
        <w:rPr>
          <w:sz w:val="26"/>
          <w:szCs w:val="26"/>
        </w:rPr>
        <w:t>рд</w:t>
      </w:r>
      <w:r w:rsidR="00AD78E2">
        <w:rPr>
          <w:sz w:val="26"/>
          <w:szCs w:val="26"/>
        </w:rPr>
        <w:t>. долл.</w:t>
      </w:r>
      <w:r w:rsidR="00392FB8" w:rsidRPr="0099112B">
        <w:rPr>
          <w:sz w:val="26"/>
          <w:szCs w:val="26"/>
        </w:rPr>
        <w:t xml:space="preserve"> Рост активов наблюдался по компоненту «Валюта и депозиты», который увеличился в размере </w:t>
      </w:r>
      <w:r w:rsidR="00C50D18" w:rsidRPr="0099112B">
        <w:rPr>
          <w:sz w:val="26"/>
          <w:szCs w:val="26"/>
        </w:rPr>
        <w:t>1,7</w:t>
      </w:r>
      <w:r w:rsidR="00392FB8" w:rsidRPr="0099112B">
        <w:rPr>
          <w:sz w:val="26"/>
          <w:szCs w:val="26"/>
        </w:rPr>
        <w:t xml:space="preserve"> мл</w:t>
      </w:r>
      <w:r w:rsidR="00773683" w:rsidRPr="0099112B">
        <w:rPr>
          <w:sz w:val="26"/>
          <w:szCs w:val="26"/>
        </w:rPr>
        <w:t>рд</w:t>
      </w:r>
      <w:r w:rsidR="00392FB8" w:rsidRPr="0099112B">
        <w:rPr>
          <w:sz w:val="26"/>
          <w:szCs w:val="26"/>
        </w:rPr>
        <w:t>. долл. за счёт репатриации (возврата) доходов граждан Республики Узбекистан, работающих за рубежом</w:t>
      </w:r>
      <w:r w:rsidR="00FF14FC" w:rsidRPr="0099112B">
        <w:rPr>
          <w:sz w:val="26"/>
          <w:szCs w:val="26"/>
        </w:rPr>
        <w:t xml:space="preserve">, а также поступлений средств </w:t>
      </w:r>
      <w:r w:rsidR="00675C94" w:rsidRPr="0099112B">
        <w:rPr>
          <w:sz w:val="26"/>
          <w:szCs w:val="26"/>
        </w:rPr>
        <w:br/>
      </w:r>
      <w:r w:rsidR="00FF14FC" w:rsidRPr="0099112B">
        <w:rPr>
          <w:sz w:val="26"/>
          <w:szCs w:val="26"/>
        </w:rPr>
        <w:t>на заграничные счета резидентов - юридических лиц.</w:t>
      </w:r>
      <w:r w:rsidR="00392FB8" w:rsidRPr="0099112B">
        <w:rPr>
          <w:sz w:val="26"/>
          <w:szCs w:val="26"/>
        </w:rPr>
        <w:t xml:space="preserve"> </w:t>
      </w:r>
      <w:r w:rsidR="00622D85" w:rsidRPr="0099112B">
        <w:rPr>
          <w:sz w:val="26"/>
          <w:szCs w:val="26"/>
        </w:rPr>
        <w:t xml:space="preserve">Рост </w:t>
      </w:r>
      <w:r w:rsidR="00392FB8" w:rsidRPr="0099112B">
        <w:rPr>
          <w:sz w:val="26"/>
          <w:szCs w:val="26"/>
        </w:rPr>
        <w:t xml:space="preserve">также зафиксирован </w:t>
      </w:r>
      <w:r w:rsidR="00675C94" w:rsidRPr="0099112B">
        <w:rPr>
          <w:sz w:val="26"/>
          <w:szCs w:val="26"/>
        </w:rPr>
        <w:br/>
      </w:r>
      <w:r w:rsidR="00392FB8" w:rsidRPr="0099112B">
        <w:rPr>
          <w:sz w:val="26"/>
          <w:szCs w:val="26"/>
        </w:rPr>
        <w:t xml:space="preserve">по компоненту «Торговые кредиты и авансы» </w:t>
      </w:r>
      <w:r w:rsidR="00855919" w:rsidRPr="0099112B">
        <w:rPr>
          <w:i/>
          <w:sz w:val="26"/>
          <w:szCs w:val="26"/>
        </w:rPr>
        <w:t xml:space="preserve">(дебиторская задолженность) </w:t>
      </w:r>
      <w:r w:rsidR="00392FB8" w:rsidRPr="0099112B">
        <w:rPr>
          <w:sz w:val="26"/>
          <w:szCs w:val="26"/>
        </w:rPr>
        <w:t xml:space="preserve">на сумму </w:t>
      </w:r>
      <w:r w:rsidR="00855919" w:rsidRPr="0099112B">
        <w:rPr>
          <w:sz w:val="26"/>
          <w:szCs w:val="26"/>
        </w:rPr>
        <w:br/>
      </w:r>
      <w:r w:rsidR="00C50D18" w:rsidRPr="0099112B">
        <w:rPr>
          <w:sz w:val="26"/>
          <w:szCs w:val="26"/>
        </w:rPr>
        <w:t xml:space="preserve">1,1 </w:t>
      </w:r>
      <w:r w:rsidR="00392FB8" w:rsidRPr="0099112B">
        <w:rPr>
          <w:sz w:val="26"/>
          <w:szCs w:val="26"/>
        </w:rPr>
        <w:t>мл</w:t>
      </w:r>
      <w:r w:rsidR="00C50D18" w:rsidRPr="0099112B">
        <w:rPr>
          <w:sz w:val="26"/>
          <w:szCs w:val="26"/>
        </w:rPr>
        <w:t>рд</w:t>
      </w:r>
      <w:r w:rsidR="00392FB8" w:rsidRPr="0099112B">
        <w:rPr>
          <w:sz w:val="26"/>
          <w:szCs w:val="26"/>
        </w:rPr>
        <w:t>. долл.</w:t>
      </w:r>
      <w:r w:rsidR="00855919" w:rsidRPr="0099112B">
        <w:rPr>
          <w:sz w:val="26"/>
          <w:szCs w:val="26"/>
        </w:rPr>
        <w:t xml:space="preserve"> </w:t>
      </w:r>
      <w:r w:rsidR="00855919" w:rsidRPr="0099112B">
        <w:rPr>
          <w:i/>
          <w:sz w:val="26"/>
          <w:szCs w:val="26"/>
        </w:rPr>
        <w:t>(</w:t>
      </w:r>
      <w:r w:rsidR="00C50D18" w:rsidRPr="0099112B">
        <w:rPr>
          <w:i/>
          <w:sz w:val="26"/>
          <w:szCs w:val="26"/>
        </w:rPr>
        <w:t>703</w:t>
      </w:r>
      <w:r w:rsidR="00855919" w:rsidRPr="0099112B">
        <w:rPr>
          <w:i/>
          <w:sz w:val="26"/>
          <w:szCs w:val="26"/>
        </w:rPr>
        <w:t xml:space="preserve"> млн. долл. </w:t>
      </w:r>
      <w:r w:rsidR="00C50D18" w:rsidRPr="0099112B">
        <w:rPr>
          <w:i/>
          <w:sz w:val="26"/>
          <w:szCs w:val="26"/>
        </w:rPr>
        <w:t>годом ранее</w:t>
      </w:r>
      <w:r w:rsidR="00855919" w:rsidRPr="0099112B">
        <w:rPr>
          <w:i/>
          <w:sz w:val="26"/>
          <w:szCs w:val="26"/>
        </w:rPr>
        <w:t>)</w:t>
      </w:r>
      <w:r w:rsidR="00392FB8" w:rsidRPr="0099112B">
        <w:rPr>
          <w:i/>
          <w:sz w:val="26"/>
          <w:szCs w:val="26"/>
        </w:rPr>
        <w:t>.</w:t>
      </w:r>
    </w:p>
    <w:p w:rsidR="00392FB8" w:rsidRPr="00EF599A" w:rsidRDefault="00392FB8" w:rsidP="00D83200">
      <w:pPr>
        <w:spacing w:before="60" w:line="288" w:lineRule="auto"/>
        <w:ind w:firstLine="709"/>
        <w:jc w:val="both"/>
        <w:rPr>
          <w:sz w:val="26"/>
          <w:szCs w:val="26"/>
          <w:u w:val="single"/>
        </w:rPr>
      </w:pPr>
      <w:r w:rsidRPr="00EF599A">
        <w:rPr>
          <w:sz w:val="26"/>
          <w:szCs w:val="26"/>
          <w:u w:val="single"/>
        </w:rPr>
        <w:t>Обязательства</w:t>
      </w:r>
    </w:p>
    <w:p w:rsidR="00AD78E2" w:rsidRDefault="00EF599A" w:rsidP="00D83200">
      <w:pPr>
        <w:spacing w:before="60" w:line="28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D78E2" w:rsidRPr="0099112B">
        <w:rPr>
          <w:sz w:val="26"/>
          <w:szCs w:val="26"/>
        </w:rPr>
        <w:t>нешни</w:t>
      </w:r>
      <w:r>
        <w:rPr>
          <w:sz w:val="26"/>
          <w:szCs w:val="26"/>
        </w:rPr>
        <w:t>е</w:t>
      </w:r>
      <w:r w:rsidR="00AD78E2" w:rsidRPr="0099112B">
        <w:rPr>
          <w:sz w:val="26"/>
          <w:szCs w:val="26"/>
        </w:rPr>
        <w:t xml:space="preserve"> </w:t>
      </w:r>
      <w:r w:rsidR="00AD78E2">
        <w:rPr>
          <w:sz w:val="26"/>
          <w:szCs w:val="26"/>
        </w:rPr>
        <w:t>обязательств</w:t>
      </w:r>
      <w:r>
        <w:rPr>
          <w:sz w:val="26"/>
          <w:szCs w:val="26"/>
        </w:rPr>
        <w:t>а</w:t>
      </w:r>
      <w:r w:rsidR="00AD78E2" w:rsidRPr="0099112B">
        <w:rPr>
          <w:sz w:val="26"/>
          <w:szCs w:val="26"/>
        </w:rPr>
        <w:t xml:space="preserve"> других секторов за 2019 год </w:t>
      </w:r>
      <w:r w:rsidR="0021719A" w:rsidRPr="0099112B">
        <w:rPr>
          <w:sz w:val="26"/>
          <w:szCs w:val="26"/>
        </w:rPr>
        <w:t>увелич</w:t>
      </w:r>
      <w:r w:rsidR="0021719A">
        <w:rPr>
          <w:sz w:val="26"/>
          <w:szCs w:val="26"/>
        </w:rPr>
        <w:t>ились</w:t>
      </w:r>
      <w:r w:rsidR="00187612">
        <w:rPr>
          <w:sz w:val="26"/>
          <w:szCs w:val="26"/>
        </w:rPr>
        <w:t xml:space="preserve"> на </w:t>
      </w:r>
      <w:r w:rsidR="00AD78E2" w:rsidRPr="0099112B">
        <w:rPr>
          <w:sz w:val="26"/>
          <w:szCs w:val="26"/>
        </w:rPr>
        <w:t>653 млн. долл.</w:t>
      </w:r>
      <w:r w:rsidR="00AD78E2">
        <w:rPr>
          <w:sz w:val="26"/>
          <w:szCs w:val="26"/>
        </w:rPr>
        <w:t xml:space="preserve"> </w:t>
      </w:r>
      <w:r w:rsidR="00FC23A4">
        <w:rPr>
          <w:sz w:val="26"/>
          <w:szCs w:val="26"/>
        </w:rPr>
        <w:t>Рост обязательств наблюдался, в основном</w:t>
      </w:r>
      <w:r w:rsidR="009833BE">
        <w:rPr>
          <w:sz w:val="26"/>
          <w:szCs w:val="26"/>
        </w:rPr>
        <w:t>,</w:t>
      </w:r>
      <w:r w:rsidR="00FC23A4">
        <w:rPr>
          <w:sz w:val="26"/>
          <w:szCs w:val="26"/>
        </w:rPr>
        <w:t xml:space="preserve"> вследствии изменений по компонентам «Прямые инвестиции», «Торговые кредиты и авансы», а также «Прочая </w:t>
      </w:r>
      <w:r w:rsidR="00FC23A4">
        <w:rPr>
          <w:sz w:val="26"/>
          <w:szCs w:val="26"/>
        </w:rPr>
        <w:lastRenderedPageBreak/>
        <w:t>кредиторская задолженность». Тогда как по компоненту «Ссуды и займы» наблюдалось сокращение обязательств.</w:t>
      </w:r>
    </w:p>
    <w:p w:rsidR="00FC23A4" w:rsidRPr="008C48A7" w:rsidRDefault="00FC23A4" w:rsidP="00FC23A4">
      <w:pPr>
        <w:spacing w:before="100" w:line="288" w:lineRule="auto"/>
        <w:ind w:firstLine="709"/>
        <w:jc w:val="both"/>
        <w:rPr>
          <w:sz w:val="26"/>
          <w:szCs w:val="26"/>
        </w:rPr>
      </w:pPr>
      <w:r w:rsidRPr="00F60C5F">
        <w:rPr>
          <w:sz w:val="26"/>
          <w:szCs w:val="26"/>
        </w:rPr>
        <w:t>По компоненту «Прямые инвестиции» сумма поступлений от иностранных инвесторов в рамках СРП составила 1 млрд. долл.</w:t>
      </w:r>
      <w:r w:rsidRPr="00F60C5F">
        <w:rPr>
          <w:rStyle w:val="a9"/>
          <w:sz w:val="26"/>
          <w:szCs w:val="26"/>
        </w:rPr>
        <w:footnoteReference w:id="11"/>
      </w:r>
      <w:r w:rsidRPr="00F60C5F">
        <w:rPr>
          <w:sz w:val="26"/>
          <w:szCs w:val="26"/>
        </w:rPr>
        <w:t xml:space="preserve">, а начисление компенсационных выплат в адрес инвесторов – 1,7 млрд. долл. Таким образом, по предприятиям </w:t>
      </w:r>
      <w:r w:rsidR="00EF599A">
        <w:rPr>
          <w:sz w:val="26"/>
          <w:szCs w:val="26"/>
        </w:rPr>
        <w:br/>
      </w:r>
      <w:r w:rsidRPr="00F60C5F">
        <w:rPr>
          <w:sz w:val="26"/>
          <w:szCs w:val="26"/>
        </w:rPr>
        <w:t>СРП наблюдалось чистое уменьшение инвестиций в размере 672 млн. долл.</w:t>
      </w:r>
    </w:p>
    <w:p w:rsidR="00FC23A4" w:rsidRPr="008C48A7" w:rsidRDefault="00FC23A4" w:rsidP="00FC23A4">
      <w:pPr>
        <w:spacing w:before="100" w:line="288" w:lineRule="auto"/>
        <w:ind w:firstLine="709"/>
        <w:jc w:val="both"/>
        <w:rPr>
          <w:sz w:val="26"/>
          <w:szCs w:val="26"/>
        </w:rPr>
      </w:pPr>
      <w:r w:rsidRPr="00D8107B">
        <w:rPr>
          <w:sz w:val="26"/>
          <w:szCs w:val="26"/>
        </w:rPr>
        <w:t>По нефинансовым предприятиям, за исключением предприятий СРП, в течение 2019 года чистый приток прямых иностранных инвестиций в капитал сложился в размере 2,1 млрд. долл., реинвестиций доходов – 712 млн. долл., а вложений в виде долговых инструментов от материнских компаний – 169 млн. долл.</w:t>
      </w:r>
    </w:p>
    <w:p w:rsidR="00FC23A4" w:rsidRPr="00277B9A" w:rsidRDefault="00FC23A4" w:rsidP="00FC23A4">
      <w:pPr>
        <w:spacing w:before="100" w:line="288" w:lineRule="auto"/>
        <w:ind w:firstLine="709"/>
        <w:jc w:val="both"/>
        <w:rPr>
          <w:sz w:val="26"/>
          <w:szCs w:val="26"/>
        </w:rPr>
      </w:pPr>
      <w:r w:rsidRPr="00A224E4">
        <w:rPr>
          <w:sz w:val="26"/>
          <w:szCs w:val="26"/>
        </w:rPr>
        <w:t>По небанковским финансовым учреждениям</w:t>
      </w:r>
      <w:r w:rsidRPr="00A224E4">
        <w:rPr>
          <w:sz w:val="26"/>
          <w:szCs w:val="26"/>
          <w:lang w:val="uz-Cyrl-UZ"/>
        </w:rPr>
        <w:t xml:space="preserve"> </w:t>
      </w:r>
      <w:r w:rsidRPr="00A224E4">
        <w:rPr>
          <w:i/>
          <w:sz w:val="26"/>
          <w:szCs w:val="26"/>
          <w:lang w:val="uz-Cyrl-UZ"/>
        </w:rPr>
        <w:t>(страховые и лизинговые компании)</w:t>
      </w:r>
      <w:r w:rsidRPr="00A224E4">
        <w:rPr>
          <w:sz w:val="26"/>
          <w:szCs w:val="26"/>
          <w:lang w:val="uz-Cyrl-UZ"/>
        </w:rPr>
        <w:t>,</w:t>
      </w:r>
      <w:r w:rsidRPr="00A224E4">
        <w:rPr>
          <w:sz w:val="26"/>
          <w:szCs w:val="26"/>
        </w:rPr>
        <w:t xml:space="preserve"> чистый рост </w:t>
      </w:r>
      <w:r w:rsidRPr="00EC1703">
        <w:rPr>
          <w:sz w:val="26"/>
          <w:szCs w:val="26"/>
        </w:rPr>
        <w:t xml:space="preserve">инвестиций в капитал составил </w:t>
      </w:r>
      <w:r w:rsidR="00EC1703" w:rsidRPr="00EC1703">
        <w:rPr>
          <w:sz w:val="26"/>
          <w:szCs w:val="26"/>
        </w:rPr>
        <w:t>280</w:t>
      </w:r>
      <w:r w:rsidRPr="00EC1703">
        <w:rPr>
          <w:sz w:val="26"/>
          <w:szCs w:val="26"/>
        </w:rPr>
        <w:t xml:space="preserve"> </w:t>
      </w:r>
      <w:r w:rsidR="00EF599A" w:rsidRPr="00EC1703">
        <w:rPr>
          <w:sz w:val="26"/>
          <w:szCs w:val="26"/>
        </w:rPr>
        <w:t>тыс</w:t>
      </w:r>
      <w:r w:rsidRPr="00EC1703">
        <w:rPr>
          <w:sz w:val="26"/>
          <w:szCs w:val="26"/>
        </w:rPr>
        <w:t>. долл. Реинвестированные доходы также увеличились на 1,7 млн. долл.</w:t>
      </w:r>
    </w:p>
    <w:p w:rsidR="00FC23A4" w:rsidRPr="00395801" w:rsidRDefault="00FC23A4" w:rsidP="00FC23A4">
      <w:pPr>
        <w:spacing w:before="100" w:line="288" w:lineRule="auto"/>
        <w:ind w:firstLine="709"/>
        <w:jc w:val="both"/>
        <w:rPr>
          <w:sz w:val="26"/>
          <w:szCs w:val="26"/>
        </w:rPr>
      </w:pPr>
      <w:r w:rsidRPr="00045606">
        <w:rPr>
          <w:sz w:val="26"/>
          <w:szCs w:val="26"/>
        </w:rPr>
        <w:t xml:space="preserve">Вместе с тем, в структуре внешних обязательств других секторов по прямым инвестициям наблюдались прочие отрицательные неоперационные изменения в сумме 1,8 млрд. долл., которые </w:t>
      </w:r>
      <w:r w:rsidRPr="00395801">
        <w:rPr>
          <w:sz w:val="26"/>
          <w:szCs w:val="26"/>
        </w:rPr>
        <w:t xml:space="preserve">связаны с обнаруженными статистическими ошибками </w:t>
      </w:r>
      <w:r w:rsidRPr="00395801">
        <w:rPr>
          <w:sz w:val="26"/>
          <w:szCs w:val="26"/>
        </w:rPr>
        <w:br/>
        <w:t>в данных за предыдущие периоды</w:t>
      </w:r>
      <w:r w:rsidR="002C7A36" w:rsidRPr="00045606">
        <w:rPr>
          <w:rStyle w:val="a9"/>
          <w:sz w:val="26"/>
          <w:szCs w:val="26"/>
        </w:rPr>
        <w:footnoteReference w:id="12"/>
      </w:r>
      <w:r w:rsidRPr="00395801">
        <w:rPr>
          <w:sz w:val="26"/>
          <w:szCs w:val="26"/>
        </w:rPr>
        <w:t>. В результате, на 1 января 2020 года остаток прямых иностранных инвестиций скорректирован в сторону увеличения на 477 млн. долл.</w:t>
      </w:r>
    </w:p>
    <w:p w:rsidR="00392FB8" w:rsidRPr="008C48A7" w:rsidRDefault="00312110" w:rsidP="00392FB8">
      <w:pPr>
        <w:spacing w:before="120" w:line="28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Рост</w:t>
      </w:r>
      <w:r w:rsidR="00773683">
        <w:rPr>
          <w:sz w:val="26"/>
          <w:szCs w:val="26"/>
        </w:rPr>
        <w:t xml:space="preserve"> обязательств </w:t>
      </w:r>
      <w:r>
        <w:rPr>
          <w:sz w:val="26"/>
          <w:szCs w:val="26"/>
        </w:rPr>
        <w:t xml:space="preserve">других секторов </w:t>
      </w:r>
      <w:r w:rsidR="00392FB8" w:rsidRPr="00277B9A">
        <w:rPr>
          <w:sz w:val="26"/>
          <w:szCs w:val="26"/>
        </w:rPr>
        <w:t xml:space="preserve">по торговым кредитам </w:t>
      </w:r>
      <w:r w:rsidR="0017560A">
        <w:rPr>
          <w:sz w:val="26"/>
          <w:szCs w:val="26"/>
        </w:rPr>
        <w:t xml:space="preserve">был </w:t>
      </w:r>
      <w:r w:rsidR="006B7517">
        <w:rPr>
          <w:sz w:val="26"/>
          <w:szCs w:val="26"/>
        </w:rPr>
        <w:t>обусловлен</w:t>
      </w:r>
      <w:r w:rsidR="0017560A" w:rsidRPr="008C48A7">
        <w:rPr>
          <w:sz w:val="26"/>
          <w:szCs w:val="26"/>
        </w:rPr>
        <w:t xml:space="preserve"> увеличение</w:t>
      </w:r>
      <w:r w:rsidR="0017560A">
        <w:rPr>
          <w:sz w:val="26"/>
          <w:szCs w:val="26"/>
        </w:rPr>
        <w:t>м</w:t>
      </w:r>
      <w:r w:rsidR="0017560A" w:rsidRPr="008C48A7">
        <w:rPr>
          <w:sz w:val="26"/>
          <w:szCs w:val="26"/>
        </w:rPr>
        <w:t xml:space="preserve"> внешнеторгового оборота, в частности по импортным операциям</w:t>
      </w:r>
      <w:r w:rsidR="0017560A">
        <w:rPr>
          <w:sz w:val="26"/>
          <w:szCs w:val="26"/>
        </w:rPr>
        <w:t xml:space="preserve"> резидентов</w:t>
      </w:r>
      <w:r w:rsidR="0034538F">
        <w:rPr>
          <w:sz w:val="26"/>
          <w:szCs w:val="26"/>
        </w:rPr>
        <w:t>,</w:t>
      </w:r>
      <w:r w:rsidR="0017560A" w:rsidRPr="00277B9A">
        <w:rPr>
          <w:sz w:val="26"/>
          <w:szCs w:val="26"/>
        </w:rPr>
        <w:t xml:space="preserve"> </w:t>
      </w:r>
      <w:r w:rsidR="0017560A">
        <w:rPr>
          <w:sz w:val="26"/>
          <w:szCs w:val="26"/>
        </w:rPr>
        <w:t xml:space="preserve">и </w:t>
      </w:r>
      <w:r w:rsidR="00392FB8" w:rsidRPr="00277B9A">
        <w:rPr>
          <w:sz w:val="26"/>
          <w:szCs w:val="26"/>
        </w:rPr>
        <w:t xml:space="preserve">по сравнению с началом </w:t>
      </w:r>
      <w:r w:rsidR="006B7517">
        <w:rPr>
          <w:sz w:val="26"/>
          <w:szCs w:val="26"/>
        </w:rPr>
        <w:t>2019</w:t>
      </w:r>
      <w:r w:rsidR="00B5421A">
        <w:rPr>
          <w:sz w:val="26"/>
          <w:szCs w:val="26"/>
        </w:rPr>
        <w:t xml:space="preserve"> </w:t>
      </w:r>
      <w:r w:rsidR="00392FB8" w:rsidRPr="0099112B">
        <w:rPr>
          <w:sz w:val="26"/>
          <w:szCs w:val="26"/>
        </w:rPr>
        <w:t>г</w:t>
      </w:r>
      <w:r w:rsidR="00B5421A" w:rsidRPr="0099112B">
        <w:rPr>
          <w:sz w:val="26"/>
          <w:szCs w:val="26"/>
        </w:rPr>
        <w:t>ода</w:t>
      </w:r>
      <w:r w:rsidR="00392FB8" w:rsidRPr="0099112B">
        <w:rPr>
          <w:sz w:val="26"/>
          <w:szCs w:val="26"/>
        </w:rPr>
        <w:t xml:space="preserve"> </w:t>
      </w:r>
      <w:r w:rsidR="002C7A36">
        <w:rPr>
          <w:sz w:val="26"/>
          <w:szCs w:val="26"/>
        </w:rPr>
        <w:t>достиг</w:t>
      </w:r>
      <w:r w:rsidR="00392FB8" w:rsidRPr="0099112B">
        <w:rPr>
          <w:sz w:val="26"/>
          <w:szCs w:val="26"/>
        </w:rPr>
        <w:t xml:space="preserve"> </w:t>
      </w:r>
      <w:r w:rsidR="0099112B" w:rsidRPr="0099112B">
        <w:rPr>
          <w:sz w:val="26"/>
          <w:szCs w:val="26"/>
        </w:rPr>
        <w:t>215</w:t>
      </w:r>
      <w:r w:rsidR="00392FB8" w:rsidRPr="0099112B">
        <w:rPr>
          <w:sz w:val="26"/>
          <w:szCs w:val="26"/>
        </w:rPr>
        <w:t xml:space="preserve"> млн. долл.</w:t>
      </w:r>
    </w:p>
    <w:p w:rsidR="00A7521E" w:rsidRDefault="00392FB8" w:rsidP="00385A18">
      <w:pPr>
        <w:spacing w:before="100" w:line="288" w:lineRule="auto"/>
        <w:ind w:firstLine="709"/>
        <w:jc w:val="both"/>
        <w:rPr>
          <w:sz w:val="26"/>
          <w:szCs w:val="26"/>
        </w:rPr>
      </w:pPr>
      <w:r w:rsidRPr="00384F76">
        <w:rPr>
          <w:sz w:val="26"/>
          <w:szCs w:val="26"/>
        </w:rPr>
        <w:t xml:space="preserve">Уменьшение обязательств по ссудам и займам </w:t>
      </w:r>
      <w:r w:rsidR="00617B09" w:rsidRPr="00384F76">
        <w:rPr>
          <w:sz w:val="26"/>
          <w:szCs w:val="26"/>
        </w:rPr>
        <w:t xml:space="preserve">на </w:t>
      </w:r>
      <w:r w:rsidR="009F7DC3" w:rsidRPr="00384F76">
        <w:rPr>
          <w:sz w:val="26"/>
          <w:szCs w:val="26"/>
        </w:rPr>
        <w:t xml:space="preserve">сумму </w:t>
      </w:r>
      <w:r w:rsidR="007A0656" w:rsidRPr="00384F76">
        <w:rPr>
          <w:sz w:val="26"/>
          <w:szCs w:val="26"/>
        </w:rPr>
        <w:t>665</w:t>
      </w:r>
      <w:r w:rsidR="00617B09" w:rsidRPr="00384F76">
        <w:rPr>
          <w:sz w:val="26"/>
          <w:szCs w:val="26"/>
        </w:rPr>
        <w:t xml:space="preserve"> млн. долл. </w:t>
      </w:r>
      <w:r w:rsidRPr="00384F76">
        <w:rPr>
          <w:sz w:val="26"/>
          <w:szCs w:val="26"/>
        </w:rPr>
        <w:t xml:space="preserve">связано </w:t>
      </w:r>
      <w:r w:rsidR="003E14F4" w:rsidRPr="00384F76">
        <w:rPr>
          <w:sz w:val="26"/>
          <w:szCs w:val="26"/>
        </w:rPr>
        <w:br/>
      </w:r>
      <w:r w:rsidRPr="00384F76">
        <w:rPr>
          <w:sz w:val="26"/>
          <w:szCs w:val="26"/>
        </w:rPr>
        <w:t>с наступлением срока погашения задолженности по внешнему долгу частного сектора.</w:t>
      </w:r>
    </w:p>
    <w:p w:rsidR="0095240F" w:rsidRPr="0095240F" w:rsidRDefault="0095240F" w:rsidP="007572D5">
      <w:pPr>
        <w:spacing w:before="120" w:line="288" w:lineRule="auto"/>
        <w:ind w:firstLine="708"/>
        <w:jc w:val="both"/>
        <w:rPr>
          <w:sz w:val="2"/>
          <w:szCs w:val="2"/>
        </w:rPr>
      </w:pPr>
      <w:r>
        <w:rPr>
          <w:sz w:val="26"/>
          <w:szCs w:val="26"/>
        </w:rPr>
        <w:br w:type="page"/>
      </w:r>
    </w:p>
    <w:p w:rsidR="006733FA" w:rsidRPr="005A4143" w:rsidRDefault="00AC0959" w:rsidP="00A7521E">
      <w:pPr>
        <w:pStyle w:val="1"/>
        <w:rPr>
          <w:rFonts w:ascii="Calibri" w:hAnsi="Calibri" w:cs="Calibri"/>
          <w:sz w:val="26"/>
          <w:szCs w:val="26"/>
        </w:rPr>
      </w:pPr>
      <w:bookmarkStart w:id="20" w:name="_Toc35458617"/>
      <w:r w:rsidRPr="005A4143">
        <w:rPr>
          <w:rFonts w:ascii="Calibri" w:hAnsi="Calibri" w:cs="Calibri"/>
          <w:lang w:val="en-US"/>
        </w:rPr>
        <w:lastRenderedPageBreak/>
        <w:t>III</w:t>
      </w:r>
      <w:r w:rsidRPr="005A4143">
        <w:rPr>
          <w:rFonts w:ascii="Calibri" w:hAnsi="Calibri" w:cs="Calibri"/>
        </w:rPr>
        <w:t>.</w:t>
      </w:r>
      <w:r w:rsidRPr="005A4143">
        <w:rPr>
          <w:rFonts w:ascii="Calibri" w:hAnsi="Calibri" w:cs="Calibri"/>
          <w:lang w:val="en-US"/>
        </w:rPr>
        <w:t> </w:t>
      </w:r>
      <w:r w:rsidR="00E413C6" w:rsidRPr="005A4143">
        <w:rPr>
          <w:rFonts w:ascii="Calibri" w:hAnsi="Calibri" w:cs="Calibri"/>
        </w:rPr>
        <w:t>ВНЕШНИЙ ДОЛГ РЕСПУБЛИКИ УЗБЕКИСТАН</w:t>
      </w:r>
      <w:bookmarkEnd w:id="20"/>
    </w:p>
    <w:p w:rsidR="00E413C6" w:rsidRPr="001376EE" w:rsidRDefault="00E413C6" w:rsidP="006733FA">
      <w:pPr>
        <w:spacing w:before="80" w:line="288" w:lineRule="auto"/>
        <w:ind w:firstLine="709"/>
        <w:jc w:val="both"/>
        <w:rPr>
          <w:rFonts w:cs="Calibri"/>
          <w:sz w:val="20"/>
          <w:szCs w:val="20"/>
        </w:rPr>
      </w:pPr>
    </w:p>
    <w:p w:rsidR="00E43D5F" w:rsidRPr="00BA24C0" w:rsidRDefault="00E43D5F" w:rsidP="00E43D5F">
      <w:pPr>
        <w:spacing w:line="288" w:lineRule="auto"/>
        <w:ind w:firstLine="709"/>
        <w:jc w:val="both"/>
        <w:rPr>
          <w:rFonts w:cs="Calibri"/>
          <w:sz w:val="26"/>
          <w:szCs w:val="26"/>
        </w:rPr>
      </w:pPr>
      <w:r w:rsidRPr="006E7CDA">
        <w:rPr>
          <w:rFonts w:cs="Calibri"/>
          <w:sz w:val="26"/>
          <w:szCs w:val="26"/>
        </w:rPr>
        <w:t xml:space="preserve">Совокупный внешний долг отражает обязательства резидентов перед нерезидентами, по которым требуется выплата основного долга и процентов. Совокупный внешний долг включает </w:t>
      </w:r>
      <w:r w:rsidR="00F6158B">
        <w:rPr>
          <w:rFonts w:cs="Calibri"/>
          <w:sz w:val="26"/>
          <w:szCs w:val="26"/>
        </w:rPr>
        <w:t>заимствования</w:t>
      </w:r>
      <w:r w:rsidRPr="006E7CDA">
        <w:rPr>
          <w:rFonts w:cs="Calibri"/>
          <w:sz w:val="26"/>
          <w:szCs w:val="26"/>
        </w:rPr>
        <w:t xml:space="preserve"> государственного и частного сектора. Анализ изменения </w:t>
      </w:r>
      <w:r w:rsidRPr="00BA24C0">
        <w:rPr>
          <w:rFonts w:cs="Calibri"/>
          <w:sz w:val="26"/>
          <w:szCs w:val="26"/>
        </w:rPr>
        <w:t>совокупного внешнего долга пок</w:t>
      </w:r>
      <w:r w:rsidR="00FC3E0A" w:rsidRPr="00BA24C0">
        <w:rPr>
          <w:rFonts w:cs="Calibri"/>
          <w:sz w:val="26"/>
          <w:szCs w:val="26"/>
        </w:rPr>
        <w:t xml:space="preserve">азывает, что в течение </w:t>
      </w:r>
      <w:r w:rsidR="0070532D">
        <w:rPr>
          <w:rFonts w:cs="Calibri"/>
          <w:sz w:val="26"/>
          <w:szCs w:val="26"/>
        </w:rPr>
        <w:br/>
      </w:r>
      <w:r w:rsidR="00FC3E0A" w:rsidRPr="00BA24C0">
        <w:rPr>
          <w:rFonts w:cs="Calibri"/>
          <w:sz w:val="26"/>
          <w:szCs w:val="26"/>
        </w:rPr>
        <w:t>201</w:t>
      </w:r>
      <w:r w:rsidR="002C7A36" w:rsidRPr="002C7A36">
        <w:rPr>
          <w:rFonts w:cs="Calibri"/>
          <w:sz w:val="26"/>
          <w:szCs w:val="26"/>
        </w:rPr>
        <w:t>2</w:t>
      </w:r>
      <w:r w:rsidR="00FC3E0A" w:rsidRPr="00BA24C0">
        <w:rPr>
          <w:rFonts w:cs="Calibri"/>
          <w:sz w:val="26"/>
          <w:szCs w:val="26"/>
        </w:rPr>
        <w:t>-2017</w:t>
      </w:r>
      <w:r w:rsidRPr="00BA24C0">
        <w:rPr>
          <w:rFonts w:cs="Calibri"/>
          <w:sz w:val="26"/>
          <w:szCs w:val="26"/>
        </w:rPr>
        <w:t xml:space="preserve"> годов рост задолженности наблюдался как в государстве</w:t>
      </w:r>
      <w:r w:rsidR="006B5D9D" w:rsidRPr="00BA24C0">
        <w:rPr>
          <w:rFonts w:cs="Calibri"/>
          <w:sz w:val="26"/>
          <w:szCs w:val="26"/>
        </w:rPr>
        <w:t xml:space="preserve">нном, </w:t>
      </w:r>
      <w:r w:rsidR="00833520">
        <w:rPr>
          <w:rFonts w:cs="Calibri"/>
          <w:sz w:val="26"/>
          <w:szCs w:val="26"/>
        </w:rPr>
        <w:br/>
      </w:r>
      <w:r w:rsidR="006B5D9D" w:rsidRPr="00BA24C0">
        <w:rPr>
          <w:rFonts w:cs="Calibri"/>
          <w:sz w:val="26"/>
          <w:szCs w:val="26"/>
        </w:rPr>
        <w:t>так и в частном секторе.</w:t>
      </w:r>
    </w:p>
    <w:p w:rsidR="00E43D5F" w:rsidRPr="00BA24C0" w:rsidRDefault="00E43D5F" w:rsidP="00510FB1">
      <w:pPr>
        <w:spacing w:before="120" w:line="288" w:lineRule="auto"/>
        <w:ind w:firstLine="709"/>
        <w:jc w:val="both"/>
        <w:rPr>
          <w:rFonts w:cs="Calibri"/>
          <w:sz w:val="26"/>
          <w:szCs w:val="26"/>
        </w:rPr>
      </w:pPr>
      <w:r w:rsidRPr="00BA24C0">
        <w:rPr>
          <w:rFonts w:cs="Calibri"/>
          <w:sz w:val="26"/>
          <w:szCs w:val="26"/>
        </w:rPr>
        <w:t xml:space="preserve">Однако, в </w:t>
      </w:r>
      <w:r w:rsidR="00FC3E0A" w:rsidRPr="00BA24C0">
        <w:rPr>
          <w:rFonts w:cs="Calibri"/>
          <w:sz w:val="26"/>
          <w:szCs w:val="26"/>
        </w:rPr>
        <w:t>2018 году</w:t>
      </w:r>
      <w:r w:rsidRPr="00BA24C0">
        <w:rPr>
          <w:rFonts w:cs="Calibri"/>
          <w:sz w:val="26"/>
          <w:szCs w:val="26"/>
        </w:rPr>
        <w:t xml:space="preserve"> наблюдалось сокращение задолженности частного сектора</w:t>
      </w:r>
      <w:r w:rsidR="007D0E86" w:rsidRPr="00BA24C0">
        <w:rPr>
          <w:rFonts w:cs="Calibri"/>
          <w:sz w:val="26"/>
          <w:szCs w:val="26"/>
        </w:rPr>
        <w:t xml:space="preserve"> связи</w:t>
      </w:r>
      <w:r w:rsidR="00E7257A">
        <w:rPr>
          <w:rFonts w:cs="Calibri"/>
          <w:sz w:val="26"/>
          <w:szCs w:val="26"/>
        </w:rPr>
        <w:t xml:space="preserve"> с наступлением сроков погашения</w:t>
      </w:r>
      <w:r w:rsidR="007D0E86" w:rsidRPr="00BA24C0">
        <w:rPr>
          <w:rFonts w:cs="Calibri"/>
          <w:sz w:val="26"/>
          <w:szCs w:val="26"/>
        </w:rPr>
        <w:t xml:space="preserve"> задолженности по предприятиям нефтегазовой и энергетической отрасли</w:t>
      </w:r>
      <w:r w:rsidRPr="00BA24C0">
        <w:rPr>
          <w:rFonts w:cs="Calibri"/>
          <w:sz w:val="26"/>
          <w:szCs w:val="26"/>
        </w:rPr>
        <w:t>.</w:t>
      </w:r>
      <w:r w:rsidR="007D0E86" w:rsidRPr="00BA24C0">
        <w:rPr>
          <w:rFonts w:cs="Calibri"/>
          <w:sz w:val="26"/>
          <w:szCs w:val="26"/>
        </w:rPr>
        <w:t xml:space="preserve"> </w:t>
      </w:r>
      <w:r w:rsidR="006A717A">
        <w:rPr>
          <w:rFonts w:cs="Calibri"/>
          <w:sz w:val="26"/>
          <w:szCs w:val="26"/>
        </w:rPr>
        <w:t>В</w:t>
      </w:r>
      <w:r w:rsidR="006851DA">
        <w:rPr>
          <w:rFonts w:cs="Calibri"/>
          <w:sz w:val="26"/>
          <w:szCs w:val="26"/>
        </w:rPr>
        <w:t xml:space="preserve"> </w:t>
      </w:r>
      <w:r w:rsidR="00D54B25">
        <w:rPr>
          <w:rFonts w:cs="Calibri"/>
          <w:sz w:val="26"/>
          <w:szCs w:val="26"/>
        </w:rPr>
        <w:t>2019 год</w:t>
      </w:r>
      <w:r w:rsidR="006A717A">
        <w:rPr>
          <w:rFonts w:cs="Calibri"/>
          <w:sz w:val="26"/>
          <w:szCs w:val="26"/>
        </w:rPr>
        <w:t xml:space="preserve">у </w:t>
      </w:r>
      <w:r w:rsidRPr="00BA24C0">
        <w:rPr>
          <w:rFonts w:cs="Calibri"/>
          <w:sz w:val="26"/>
          <w:szCs w:val="26"/>
        </w:rPr>
        <w:t xml:space="preserve">долг частного сектора вновь начал </w:t>
      </w:r>
      <w:r w:rsidR="006A717A">
        <w:rPr>
          <w:rFonts w:cs="Calibri"/>
          <w:sz w:val="26"/>
          <w:szCs w:val="26"/>
        </w:rPr>
        <w:t>увеличиваться</w:t>
      </w:r>
      <w:r w:rsidR="00D54B25">
        <w:rPr>
          <w:rFonts w:cs="Calibri"/>
          <w:sz w:val="26"/>
          <w:szCs w:val="26"/>
        </w:rPr>
        <w:t>,</w:t>
      </w:r>
      <w:r w:rsidRPr="00BA24C0">
        <w:rPr>
          <w:rFonts w:cs="Calibri"/>
          <w:sz w:val="26"/>
          <w:szCs w:val="26"/>
        </w:rPr>
        <w:t xml:space="preserve"> </w:t>
      </w:r>
      <w:r w:rsidR="006A717A">
        <w:rPr>
          <w:rFonts w:cs="Calibri"/>
          <w:sz w:val="26"/>
          <w:szCs w:val="26"/>
        </w:rPr>
        <w:br/>
      </w:r>
      <w:r w:rsidRPr="00BA24C0">
        <w:rPr>
          <w:rFonts w:cs="Calibri"/>
          <w:sz w:val="26"/>
          <w:szCs w:val="26"/>
        </w:rPr>
        <w:t>в основном</w:t>
      </w:r>
      <w:r w:rsidR="00D54B25">
        <w:rPr>
          <w:rFonts w:cs="Calibri"/>
          <w:sz w:val="26"/>
          <w:szCs w:val="26"/>
        </w:rPr>
        <w:t>,</w:t>
      </w:r>
      <w:r w:rsidRPr="00BA24C0">
        <w:rPr>
          <w:rFonts w:cs="Calibri"/>
          <w:sz w:val="26"/>
          <w:szCs w:val="26"/>
        </w:rPr>
        <w:t xml:space="preserve"> за счёт </w:t>
      </w:r>
      <w:r w:rsidR="00B15FAD" w:rsidRPr="00BA24C0">
        <w:rPr>
          <w:rFonts w:cs="Calibri"/>
          <w:sz w:val="26"/>
          <w:szCs w:val="26"/>
          <w:lang w:val="uz-Cyrl-UZ"/>
        </w:rPr>
        <w:t xml:space="preserve">роста </w:t>
      </w:r>
      <w:r w:rsidR="00B15FAD" w:rsidRPr="00BA24C0">
        <w:rPr>
          <w:rFonts w:cs="Calibri"/>
          <w:sz w:val="26"/>
          <w:szCs w:val="26"/>
        </w:rPr>
        <w:t xml:space="preserve">заимствований </w:t>
      </w:r>
      <w:r w:rsidRPr="00BA24C0">
        <w:rPr>
          <w:rFonts w:cs="Calibri"/>
          <w:sz w:val="26"/>
          <w:szCs w:val="26"/>
        </w:rPr>
        <w:t>коммерчески</w:t>
      </w:r>
      <w:r w:rsidR="008A6336" w:rsidRPr="00BA24C0">
        <w:rPr>
          <w:rFonts w:cs="Calibri"/>
          <w:sz w:val="26"/>
          <w:szCs w:val="26"/>
        </w:rPr>
        <w:t>х</w:t>
      </w:r>
      <w:r w:rsidRPr="00BA24C0">
        <w:rPr>
          <w:rFonts w:cs="Calibri"/>
          <w:sz w:val="26"/>
          <w:szCs w:val="26"/>
        </w:rPr>
        <w:t xml:space="preserve"> банк</w:t>
      </w:r>
      <w:r w:rsidR="008A6336" w:rsidRPr="00BA24C0">
        <w:rPr>
          <w:rFonts w:cs="Calibri"/>
          <w:sz w:val="26"/>
          <w:szCs w:val="26"/>
        </w:rPr>
        <w:t>ов</w:t>
      </w:r>
      <w:r w:rsidRPr="00BA24C0">
        <w:rPr>
          <w:rFonts w:cs="Calibri"/>
          <w:sz w:val="26"/>
          <w:szCs w:val="26"/>
        </w:rPr>
        <w:t>.</w:t>
      </w:r>
    </w:p>
    <w:p w:rsidR="000F636F" w:rsidRDefault="00C37053" w:rsidP="0095240F">
      <w:pPr>
        <w:spacing w:before="120" w:line="288" w:lineRule="auto"/>
        <w:ind w:firstLine="709"/>
        <w:jc w:val="both"/>
        <w:rPr>
          <w:rFonts w:cs="Calibri"/>
          <w:sz w:val="26"/>
          <w:szCs w:val="26"/>
        </w:rPr>
      </w:pPr>
      <w:r w:rsidRPr="00C37053">
        <w:rPr>
          <w:rFonts w:cs="Calibri"/>
          <w:sz w:val="26"/>
          <w:szCs w:val="26"/>
        </w:rPr>
        <w:t xml:space="preserve">В </w:t>
      </w:r>
      <w:r w:rsidR="00E43D5F" w:rsidRPr="00C37053">
        <w:rPr>
          <w:rFonts w:cs="Calibri"/>
          <w:sz w:val="26"/>
          <w:szCs w:val="26"/>
        </w:rPr>
        <w:t>2019 год</w:t>
      </w:r>
      <w:r w:rsidR="002C7A36">
        <w:rPr>
          <w:rFonts w:cs="Calibri"/>
          <w:sz w:val="26"/>
          <w:szCs w:val="26"/>
        </w:rPr>
        <w:t>у</w:t>
      </w:r>
      <w:r w:rsidR="00E43D5F" w:rsidRPr="00BA24C0">
        <w:rPr>
          <w:rFonts w:cs="Calibri"/>
          <w:sz w:val="26"/>
          <w:szCs w:val="26"/>
        </w:rPr>
        <w:t xml:space="preserve"> государственный внешний долг</w:t>
      </w:r>
      <w:r w:rsidR="00197DFA">
        <w:rPr>
          <w:rFonts w:cs="Calibri"/>
          <w:sz w:val="26"/>
          <w:szCs w:val="26"/>
        </w:rPr>
        <w:t xml:space="preserve"> </w:t>
      </w:r>
      <w:r w:rsidR="00FC3E0A" w:rsidRPr="00BA24C0">
        <w:rPr>
          <w:rFonts w:cs="Calibri"/>
          <w:sz w:val="26"/>
          <w:szCs w:val="26"/>
        </w:rPr>
        <w:t>увеличился</w:t>
      </w:r>
      <w:r w:rsidR="00E43D5F" w:rsidRPr="00BA24C0">
        <w:rPr>
          <w:rFonts w:cs="Calibri"/>
          <w:color w:val="000000"/>
          <w:sz w:val="26"/>
          <w:szCs w:val="26"/>
        </w:rPr>
        <w:t>.</w:t>
      </w:r>
      <w:r w:rsidR="00E43D5F" w:rsidRPr="00BA24C0">
        <w:rPr>
          <w:rFonts w:cs="Calibri"/>
          <w:sz w:val="26"/>
          <w:szCs w:val="26"/>
        </w:rPr>
        <w:t xml:space="preserve"> Данн</w:t>
      </w:r>
      <w:r w:rsidR="00CE56B1" w:rsidRPr="00BA24C0">
        <w:rPr>
          <w:rFonts w:cs="Calibri"/>
          <w:sz w:val="26"/>
          <w:szCs w:val="26"/>
        </w:rPr>
        <w:t>ый</w:t>
      </w:r>
      <w:r w:rsidR="00E43D5F" w:rsidRPr="00BA24C0">
        <w:rPr>
          <w:rFonts w:cs="Calibri"/>
          <w:sz w:val="26"/>
          <w:szCs w:val="26"/>
        </w:rPr>
        <w:t xml:space="preserve"> </w:t>
      </w:r>
      <w:r w:rsidR="00CE56B1" w:rsidRPr="00BA24C0">
        <w:rPr>
          <w:rFonts w:cs="Calibri"/>
          <w:sz w:val="26"/>
          <w:szCs w:val="26"/>
        </w:rPr>
        <w:t>процесс</w:t>
      </w:r>
      <w:r w:rsidR="00E43D5F" w:rsidRPr="00BA24C0">
        <w:rPr>
          <w:rFonts w:cs="Calibri"/>
          <w:sz w:val="26"/>
          <w:szCs w:val="26"/>
        </w:rPr>
        <w:t xml:space="preserve"> объясняется</w:t>
      </w:r>
      <w:r w:rsidR="007D0E86" w:rsidRPr="00BA24C0">
        <w:rPr>
          <w:rFonts w:cs="Calibri"/>
          <w:sz w:val="26"/>
          <w:szCs w:val="26"/>
        </w:rPr>
        <w:t xml:space="preserve"> </w:t>
      </w:r>
      <w:r w:rsidR="00E43D5F" w:rsidRPr="00BA24C0">
        <w:rPr>
          <w:rFonts w:cs="Calibri"/>
          <w:sz w:val="26"/>
          <w:szCs w:val="26"/>
        </w:rPr>
        <w:t>привлечением новых внешних заимствований для финансирования</w:t>
      </w:r>
      <w:r w:rsidR="00E43D5F" w:rsidRPr="007A29BE">
        <w:rPr>
          <w:rFonts w:cs="Calibri"/>
          <w:sz w:val="26"/>
          <w:szCs w:val="26"/>
        </w:rPr>
        <w:t xml:space="preserve"> государственных программ развити</w:t>
      </w:r>
      <w:r w:rsidR="00B15FAD" w:rsidRPr="007A29BE">
        <w:rPr>
          <w:rFonts w:cs="Calibri"/>
          <w:sz w:val="26"/>
          <w:szCs w:val="26"/>
        </w:rPr>
        <w:t>я</w:t>
      </w:r>
      <w:r w:rsidR="00E43D5F" w:rsidRPr="007A29BE">
        <w:rPr>
          <w:rFonts w:cs="Calibri"/>
          <w:sz w:val="26"/>
          <w:szCs w:val="26"/>
        </w:rPr>
        <w:t xml:space="preserve"> отраслей</w:t>
      </w:r>
      <w:r w:rsidR="00E43D5F" w:rsidRPr="006E7CDA">
        <w:rPr>
          <w:rFonts w:cs="Calibri"/>
          <w:sz w:val="26"/>
          <w:szCs w:val="26"/>
        </w:rPr>
        <w:t xml:space="preserve"> экономики и регионов</w:t>
      </w:r>
      <w:r w:rsidR="00E43D5F" w:rsidRPr="006E7CDA">
        <w:rPr>
          <w:rFonts w:cs="Calibri"/>
          <w:color w:val="0070C0"/>
          <w:sz w:val="26"/>
          <w:szCs w:val="26"/>
        </w:rPr>
        <w:t xml:space="preserve"> </w:t>
      </w:r>
      <w:r w:rsidR="006733FA" w:rsidRPr="006E7CDA">
        <w:rPr>
          <w:rFonts w:cs="Calibri"/>
          <w:color w:val="0070C0"/>
          <w:sz w:val="26"/>
          <w:szCs w:val="26"/>
        </w:rPr>
        <w:t>(</w:t>
      </w:r>
      <w:r w:rsidR="006B50A3" w:rsidRPr="006E7CDA">
        <w:rPr>
          <w:rFonts w:cs="Calibri"/>
          <w:color w:val="0070C0"/>
          <w:sz w:val="26"/>
          <w:szCs w:val="26"/>
        </w:rPr>
        <w:t>Д</w:t>
      </w:r>
      <w:r w:rsidR="006733FA" w:rsidRPr="006E7CDA">
        <w:rPr>
          <w:rFonts w:cs="Calibri"/>
          <w:color w:val="0070C0"/>
          <w:sz w:val="26"/>
          <w:szCs w:val="26"/>
        </w:rPr>
        <w:t>иаграмма 1</w:t>
      </w:r>
      <w:r w:rsidR="00393601">
        <w:rPr>
          <w:rFonts w:cs="Calibri"/>
          <w:color w:val="0070C0"/>
          <w:sz w:val="26"/>
          <w:szCs w:val="26"/>
        </w:rPr>
        <w:t>7</w:t>
      </w:r>
      <w:r w:rsidR="006733FA" w:rsidRPr="006E7CDA">
        <w:rPr>
          <w:rFonts w:cs="Calibri"/>
          <w:color w:val="0070C0"/>
          <w:sz w:val="26"/>
          <w:szCs w:val="26"/>
        </w:rPr>
        <w:t>)</w:t>
      </w:r>
      <w:r w:rsidR="00062F9E" w:rsidRPr="006E7CDA">
        <w:rPr>
          <w:rFonts w:cs="Calibri"/>
          <w:sz w:val="26"/>
          <w:szCs w:val="26"/>
        </w:rPr>
        <w:t>.</w:t>
      </w:r>
    </w:p>
    <w:p w:rsidR="00393601" w:rsidRPr="00393601" w:rsidRDefault="00393601" w:rsidP="0095240F">
      <w:pPr>
        <w:spacing w:before="120" w:line="288" w:lineRule="auto"/>
        <w:ind w:firstLine="709"/>
        <w:jc w:val="both"/>
        <w:rPr>
          <w:rFonts w:cs="Calibri"/>
          <w:i/>
          <w:sz w:val="10"/>
          <w:szCs w:val="10"/>
        </w:rPr>
      </w:pPr>
    </w:p>
    <w:p w:rsidR="0095240F" w:rsidRPr="0095240F" w:rsidRDefault="0095240F" w:rsidP="007D0E86">
      <w:pPr>
        <w:spacing w:after="120"/>
        <w:jc w:val="right"/>
        <w:rPr>
          <w:sz w:val="2"/>
          <w:szCs w:val="2"/>
        </w:rPr>
      </w:pPr>
    </w:p>
    <w:p w:rsidR="000F636F" w:rsidRPr="001E0A02" w:rsidRDefault="000F636F" w:rsidP="001376EE">
      <w:pPr>
        <w:jc w:val="right"/>
      </w:pPr>
      <w:r w:rsidRPr="001E0A02">
        <w:t xml:space="preserve">Диаграмма </w:t>
      </w:r>
      <w:r w:rsidR="003228B4">
        <w:t>1</w:t>
      </w:r>
      <w:r w:rsidR="00393601">
        <w:t>7</w:t>
      </w:r>
    </w:p>
    <w:p w:rsidR="006B50A3" w:rsidRPr="008C48A7" w:rsidRDefault="008B55B0" w:rsidP="006B50A3">
      <w:pPr>
        <w:jc w:val="center"/>
        <w:rPr>
          <w:b/>
          <w:sz w:val="26"/>
          <w:szCs w:val="26"/>
        </w:rPr>
      </w:pPr>
      <w:r w:rsidRPr="008C48A7">
        <w:rPr>
          <w:b/>
          <w:sz w:val="26"/>
          <w:szCs w:val="26"/>
        </w:rPr>
        <w:t xml:space="preserve">ДИНАМИЧЕСКИЕ РЯДЫ СОВОКУПНОГО ВНЕШНЕГО ДОЛГА </w:t>
      </w:r>
    </w:p>
    <w:p w:rsidR="006733FA" w:rsidRPr="008C48A7" w:rsidRDefault="008B55B0" w:rsidP="006B50A3">
      <w:pPr>
        <w:jc w:val="center"/>
        <w:rPr>
          <w:b/>
          <w:sz w:val="26"/>
          <w:szCs w:val="26"/>
        </w:rPr>
      </w:pPr>
      <w:r w:rsidRPr="008C48A7">
        <w:rPr>
          <w:b/>
          <w:sz w:val="26"/>
          <w:szCs w:val="26"/>
        </w:rPr>
        <w:t>РЕСПУБЛИКИ УЗБЕКИСТАН</w:t>
      </w:r>
      <w:r w:rsidR="000F636F" w:rsidRPr="00417C12">
        <w:rPr>
          <w:rStyle w:val="a9"/>
          <w:sz w:val="26"/>
          <w:szCs w:val="26"/>
        </w:rPr>
        <w:footnoteReference w:id="13"/>
      </w:r>
    </w:p>
    <w:p w:rsidR="006733FA" w:rsidRDefault="000F636F" w:rsidP="006B50A3">
      <w:pPr>
        <w:jc w:val="right"/>
        <w:rPr>
          <w:i/>
        </w:rPr>
      </w:pPr>
      <w:r w:rsidRPr="001E0A02">
        <w:rPr>
          <w:i/>
        </w:rPr>
        <w:t>(</w:t>
      </w:r>
      <w:r w:rsidR="006733FA" w:rsidRPr="001E0A02">
        <w:rPr>
          <w:i/>
        </w:rPr>
        <w:t>млрд. долл.)</w:t>
      </w:r>
    </w:p>
    <w:p w:rsidR="00733304" w:rsidRPr="0095240F" w:rsidRDefault="00F96C44" w:rsidP="00F96C44">
      <w:pPr>
        <w:spacing w:before="80"/>
        <w:jc w:val="both"/>
        <w:rPr>
          <w:rFonts w:cs="Arial"/>
          <w:sz w:val="2"/>
          <w:szCs w:val="2"/>
        </w:rPr>
      </w:pPr>
      <w:r>
        <w:rPr>
          <w:noProof/>
        </w:rPr>
        <w:drawing>
          <wp:inline distT="0" distB="0" distL="0" distR="0">
            <wp:extent cx="6299835" cy="3419475"/>
            <wp:effectExtent l="0" t="0" r="5715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 w:rsidR="00733304" w:rsidRPr="001E0A02">
        <w:rPr>
          <w:rFonts w:cs="Arial"/>
          <w:highlight w:val="yellow"/>
        </w:rPr>
        <w:br w:type="page"/>
      </w:r>
    </w:p>
    <w:p w:rsidR="006733FA" w:rsidRPr="008C48A7" w:rsidRDefault="006733FA" w:rsidP="006733FA">
      <w:pPr>
        <w:spacing w:before="120" w:after="120" w:line="288" w:lineRule="auto"/>
        <w:ind w:firstLine="709"/>
        <w:jc w:val="both"/>
        <w:rPr>
          <w:sz w:val="26"/>
          <w:szCs w:val="26"/>
        </w:rPr>
      </w:pPr>
      <w:r w:rsidRPr="002C0F0D">
        <w:rPr>
          <w:sz w:val="26"/>
          <w:szCs w:val="26"/>
        </w:rPr>
        <w:lastRenderedPageBreak/>
        <w:t xml:space="preserve">Объём совокупного внешнего долга Республики Узбекистан по состоянию </w:t>
      </w:r>
      <w:r w:rsidR="00CC30A3" w:rsidRPr="002C0F0D">
        <w:rPr>
          <w:sz w:val="26"/>
          <w:szCs w:val="26"/>
        </w:rPr>
        <w:br/>
      </w:r>
      <w:r w:rsidRPr="001D7CD6">
        <w:rPr>
          <w:sz w:val="26"/>
          <w:szCs w:val="26"/>
        </w:rPr>
        <w:t>на</w:t>
      </w:r>
      <w:r w:rsidR="005D2E39" w:rsidRPr="001D7CD6">
        <w:rPr>
          <w:sz w:val="26"/>
          <w:szCs w:val="26"/>
        </w:rPr>
        <w:t xml:space="preserve"> 1 </w:t>
      </w:r>
      <w:r w:rsidR="00F0443A" w:rsidRPr="001D7CD6">
        <w:rPr>
          <w:sz w:val="26"/>
          <w:szCs w:val="26"/>
        </w:rPr>
        <w:t xml:space="preserve">января </w:t>
      </w:r>
      <w:r w:rsidR="005D2E39" w:rsidRPr="001D7CD6">
        <w:rPr>
          <w:sz w:val="26"/>
          <w:szCs w:val="26"/>
        </w:rPr>
        <w:t>20</w:t>
      </w:r>
      <w:r w:rsidR="00F0443A" w:rsidRPr="001D7CD6">
        <w:rPr>
          <w:sz w:val="26"/>
          <w:szCs w:val="26"/>
        </w:rPr>
        <w:t>20</w:t>
      </w:r>
      <w:r w:rsidR="005D2E39" w:rsidRPr="001D7CD6">
        <w:rPr>
          <w:sz w:val="26"/>
          <w:szCs w:val="26"/>
        </w:rPr>
        <w:t xml:space="preserve"> год</w:t>
      </w:r>
      <w:r w:rsidR="00A957E5" w:rsidRPr="001D7CD6">
        <w:rPr>
          <w:sz w:val="26"/>
          <w:szCs w:val="26"/>
        </w:rPr>
        <w:t>а составил</w:t>
      </w:r>
      <w:r w:rsidR="00A957E5" w:rsidRPr="002C0F0D">
        <w:rPr>
          <w:sz w:val="26"/>
          <w:szCs w:val="26"/>
        </w:rPr>
        <w:t xml:space="preserve"> 2</w:t>
      </w:r>
      <w:r w:rsidR="00F0443A">
        <w:rPr>
          <w:sz w:val="26"/>
          <w:szCs w:val="26"/>
        </w:rPr>
        <w:t>4</w:t>
      </w:r>
      <w:r w:rsidRPr="002C0F0D">
        <w:rPr>
          <w:sz w:val="26"/>
          <w:szCs w:val="26"/>
        </w:rPr>
        <w:t>,</w:t>
      </w:r>
      <w:r w:rsidR="00F0443A">
        <w:rPr>
          <w:sz w:val="26"/>
          <w:szCs w:val="26"/>
        </w:rPr>
        <w:t>4</w:t>
      </w:r>
      <w:r w:rsidRPr="002C0F0D">
        <w:rPr>
          <w:sz w:val="26"/>
          <w:szCs w:val="26"/>
        </w:rPr>
        <w:t xml:space="preserve"> млрд. долл., увеличившись по </w:t>
      </w:r>
      <w:r w:rsidR="005D2E39" w:rsidRPr="002C0F0D">
        <w:rPr>
          <w:sz w:val="26"/>
          <w:szCs w:val="26"/>
        </w:rPr>
        <w:t>отношению к</w:t>
      </w:r>
      <w:r w:rsidRPr="002C0F0D">
        <w:rPr>
          <w:sz w:val="26"/>
          <w:szCs w:val="26"/>
        </w:rPr>
        <w:t xml:space="preserve"> начал</w:t>
      </w:r>
      <w:r w:rsidR="005D2E39" w:rsidRPr="002C0F0D">
        <w:rPr>
          <w:sz w:val="26"/>
          <w:szCs w:val="26"/>
        </w:rPr>
        <w:t>у</w:t>
      </w:r>
      <w:r w:rsidR="00CC30A3" w:rsidRPr="002C0F0D">
        <w:rPr>
          <w:sz w:val="26"/>
          <w:szCs w:val="26"/>
          <w:lang w:val="uz-Cyrl-UZ"/>
        </w:rPr>
        <w:t xml:space="preserve"> 2019</w:t>
      </w:r>
      <w:r w:rsidR="005D2E39" w:rsidRPr="002C0F0D">
        <w:rPr>
          <w:sz w:val="26"/>
          <w:szCs w:val="26"/>
        </w:rPr>
        <w:t xml:space="preserve"> года</w:t>
      </w:r>
      <w:r w:rsidR="0018162B" w:rsidRPr="002C0F0D">
        <w:rPr>
          <w:sz w:val="26"/>
          <w:szCs w:val="26"/>
        </w:rPr>
        <w:t xml:space="preserve"> </w:t>
      </w:r>
      <w:r w:rsidR="00F0443A" w:rsidRPr="002C0F0D">
        <w:rPr>
          <w:sz w:val="26"/>
          <w:szCs w:val="26"/>
        </w:rPr>
        <w:t xml:space="preserve">на </w:t>
      </w:r>
      <w:r w:rsidR="00F0443A">
        <w:rPr>
          <w:sz w:val="26"/>
          <w:szCs w:val="26"/>
        </w:rPr>
        <w:t xml:space="preserve">40,9% или </w:t>
      </w:r>
      <w:r w:rsidR="0044751C" w:rsidRPr="002C0F0D">
        <w:rPr>
          <w:sz w:val="26"/>
          <w:szCs w:val="26"/>
        </w:rPr>
        <w:t xml:space="preserve">на </w:t>
      </w:r>
      <w:r w:rsidR="003546CD">
        <w:rPr>
          <w:sz w:val="26"/>
          <w:szCs w:val="26"/>
        </w:rPr>
        <w:t>7,1</w:t>
      </w:r>
      <w:r w:rsidR="0044751C" w:rsidRPr="002C0F0D">
        <w:rPr>
          <w:sz w:val="26"/>
          <w:szCs w:val="26"/>
        </w:rPr>
        <w:t xml:space="preserve"> млрд. долл.</w:t>
      </w:r>
      <w:r w:rsidRPr="008C48A7">
        <w:rPr>
          <w:rStyle w:val="a9"/>
          <w:sz w:val="26"/>
          <w:szCs w:val="26"/>
        </w:rPr>
        <w:footnoteReference w:id="14"/>
      </w:r>
      <w:r w:rsidR="0012232B" w:rsidRPr="008C48A7">
        <w:rPr>
          <w:sz w:val="26"/>
          <w:szCs w:val="26"/>
        </w:rPr>
        <w:t xml:space="preserve"> </w:t>
      </w:r>
      <w:r w:rsidR="00FF00A1">
        <w:rPr>
          <w:color w:val="0070C0"/>
          <w:sz w:val="26"/>
          <w:szCs w:val="26"/>
        </w:rPr>
        <w:t>(Таблица 4</w:t>
      </w:r>
      <w:r w:rsidRPr="008C48A7">
        <w:rPr>
          <w:color w:val="0070C0"/>
          <w:sz w:val="26"/>
          <w:szCs w:val="26"/>
        </w:rPr>
        <w:t>).</w:t>
      </w:r>
    </w:p>
    <w:p w:rsidR="00733304" w:rsidRPr="001E0A02" w:rsidRDefault="00733304" w:rsidP="006B50A3">
      <w:pPr>
        <w:ind w:right="-1"/>
        <w:jc w:val="right"/>
      </w:pPr>
      <w:r w:rsidRPr="001E0A02">
        <w:t xml:space="preserve">Таблица </w:t>
      </w:r>
      <w:r w:rsidR="00FF00A1">
        <w:t>4</w:t>
      </w:r>
    </w:p>
    <w:p w:rsidR="006B50A3" w:rsidRPr="001E0A02" w:rsidRDefault="006B50A3" w:rsidP="006B50A3">
      <w:pPr>
        <w:ind w:right="-1"/>
        <w:jc w:val="right"/>
      </w:pPr>
    </w:p>
    <w:p w:rsidR="00733304" w:rsidRPr="008C48A7" w:rsidRDefault="008B55B0" w:rsidP="006B50A3">
      <w:pPr>
        <w:ind w:right="-284"/>
        <w:jc w:val="center"/>
        <w:rPr>
          <w:b/>
          <w:sz w:val="26"/>
          <w:szCs w:val="26"/>
        </w:rPr>
      </w:pPr>
      <w:r w:rsidRPr="008C48A7">
        <w:rPr>
          <w:b/>
          <w:sz w:val="26"/>
          <w:szCs w:val="26"/>
        </w:rPr>
        <w:t>СТРУКТУРА И ИЗМЕНЕНИЕ СОВОКУПНОГО ВНЕШНЕГО ДОЛГА</w:t>
      </w:r>
      <w:r w:rsidR="00733304" w:rsidRPr="008C48A7">
        <w:rPr>
          <w:rStyle w:val="a9"/>
          <w:sz w:val="26"/>
          <w:szCs w:val="26"/>
        </w:rPr>
        <w:footnoteReference w:id="15"/>
      </w:r>
    </w:p>
    <w:p w:rsidR="006B50A3" w:rsidRPr="001E0A02" w:rsidRDefault="006B50A3" w:rsidP="006B50A3">
      <w:pPr>
        <w:ind w:right="-284"/>
        <w:jc w:val="right"/>
        <w:rPr>
          <w:i/>
        </w:rPr>
      </w:pPr>
    </w:p>
    <w:p w:rsidR="00733304" w:rsidRPr="001E0A02" w:rsidRDefault="006B50A3" w:rsidP="006B50A3">
      <w:pPr>
        <w:ind w:right="-2"/>
        <w:jc w:val="right"/>
        <w:rPr>
          <w:i/>
        </w:rPr>
      </w:pPr>
      <w:r w:rsidRPr="001E0A02">
        <w:rPr>
          <w:i/>
        </w:rPr>
        <w:t>(</w:t>
      </w:r>
      <w:r w:rsidR="0061403B" w:rsidRPr="001E0A02">
        <w:rPr>
          <w:i/>
        </w:rPr>
        <w:t>млн. долл.</w:t>
      </w:r>
      <w:r w:rsidRPr="001E0A02">
        <w:rPr>
          <w:i/>
        </w:rPr>
        <w:t>)</w:t>
      </w:r>
    </w:p>
    <w:tbl>
      <w:tblPr>
        <w:tblW w:w="10020" w:type="dxa"/>
        <w:jc w:val="center"/>
        <w:tblLayout w:type="fixed"/>
        <w:tblLook w:val="04A0"/>
      </w:tblPr>
      <w:tblGrid>
        <w:gridCol w:w="2725"/>
        <w:gridCol w:w="1285"/>
        <w:gridCol w:w="1286"/>
        <w:gridCol w:w="1288"/>
        <w:gridCol w:w="1572"/>
        <w:gridCol w:w="1864"/>
      </w:tblGrid>
      <w:tr w:rsidR="0061403B" w:rsidRPr="001E0A02" w:rsidTr="00C553B2">
        <w:trPr>
          <w:trHeight w:val="625"/>
          <w:jc w:val="center"/>
        </w:trPr>
        <w:tc>
          <w:tcPr>
            <w:tcW w:w="2725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auto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1403B" w:rsidRPr="006E7CDA" w:rsidRDefault="0061403B" w:rsidP="0061403B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6E7CDA">
              <w:rPr>
                <w:rFonts w:cs="Calibri"/>
                <w:b/>
                <w:color w:val="000000"/>
              </w:rPr>
              <w:t>Сектор экономики</w:t>
            </w:r>
          </w:p>
        </w:tc>
        <w:tc>
          <w:tcPr>
            <w:tcW w:w="3859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1403B" w:rsidRPr="006E7CDA" w:rsidRDefault="0061403B" w:rsidP="0061403B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6E7CDA">
              <w:rPr>
                <w:rFonts w:cs="Calibri"/>
                <w:b/>
                <w:color w:val="000000"/>
              </w:rPr>
              <w:t>Задолженность по состоянию на</w:t>
            </w:r>
          </w:p>
        </w:tc>
        <w:tc>
          <w:tcPr>
            <w:tcW w:w="15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1403B" w:rsidRPr="006E7CDA" w:rsidRDefault="0061403B" w:rsidP="0099720B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6E7CDA">
              <w:rPr>
                <w:rFonts w:cs="Calibri"/>
                <w:b/>
                <w:color w:val="000000"/>
              </w:rPr>
              <w:t>Удельный вес</w:t>
            </w:r>
          </w:p>
        </w:tc>
        <w:tc>
          <w:tcPr>
            <w:tcW w:w="1863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1403B" w:rsidRPr="006E7CDA" w:rsidRDefault="00C501EE" w:rsidP="009C6450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Изменение</w:t>
            </w:r>
            <w:r w:rsidR="0061403B" w:rsidRPr="006E7CDA">
              <w:rPr>
                <w:rFonts w:cs="Calibri"/>
                <w:b/>
                <w:color w:val="000000"/>
              </w:rPr>
              <w:t xml:space="preserve"> </w:t>
            </w:r>
            <w:r w:rsidR="00E43D5F" w:rsidRPr="006E7CDA">
              <w:rPr>
                <w:rFonts w:cs="Calibri"/>
                <w:b/>
                <w:color w:val="000000"/>
              </w:rPr>
              <w:br/>
            </w:r>
            <w:r w:rsidR="0061403B" w:rsidRPr="006E7CDA">
              <w:rPr>
                <w:rFonts w:cs="Calibri"/>
                <w:b/>
                <w:color w:val="000000"/>
              </w:rPr>
              <w:t>за</w:t>
            </w:r>
            <w:r w:rsidR="00E43D5F" w:rsidRPr="006E7CDA">
              <w:rPr>
                <w:rFonts w:cs="Calibri"/>
                <w:b/>
                <w:color w:val="000000"/>
              </w:rPr>
              <w:t xml:space="preserve"> </w:t>
            </w:r>
            <w:r w:rsidR="005D2E39" w:rsidRPr="006E7CDA">
              <w:rPr>
                <w:rFonts w:cs="Calibri"/>
                <w:b/>
                <w:color w:val="000000"/>
              </w:rPr>
              <w:t>2019 г.</w:t>
            </w:r>
          </w:p>
        </w:tc>
      </w:tr>
      <w:tr w:rsidR="0061403B" w:rsidRPr="001E0A02" w:rsidTr="00C553B2">
        <w:trPr>
          <w:trHeight w:val="989"/>
          <w:jc w:val="center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1403B" w:rsidRPr="006E7CDA" w:rsidRDefault="0061403B" w:rsidP="0061403B">
            <w:pPr>
              <w:spacing w:before="120" w:after="120"/>
              <w:rPr>
                <w:rFonts w:cs="Calibri"/>
                <w:b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1403B" w:rsidRPr="00056A6C" w:rsidRDefault="002B6EE2" w:rsidP="0061403B">
            <w:pPr>
              <w:spacing w:before="120" w:after="120"/>
              <w:jc w:val="center"/>
              <w:rPr>
                <w:rFonts w:cs="Calibri"/>
                <w:b/>
                <w:color w:val="000000"/>
                <w:sz w:val="19"/>
                <w:szCs w:val="19"/>
                <w:lang w:val="uz-Cyrl-UZ"/>
              </w:rPr>
            </w:pPr>
            <w:r>
              <w:rPr>
                <w:rFonts w:cs="Calibri"/>
                <w:b/>
                <w:color w:val="000000"/>
                <w:sz w:val="19"/>
                <w:szCs w:val="19"/>
              </w:rPr>
              <w:t xml:space="preserve">01.01.2018 </w:t>
            </w:r>
            <w:r w:rsidR="0061403B" w:rsidRPr="002B6EE2">
              <w:rPr>
                <w:rFonts w:cs="Calibri"/>
                <w:b/>
                <w:color w:val="000000"/>
                <w:sz w:val="19"/>
                <w:szCs w:val="19"/>
              </w:rPr>
              <w:t>г.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1403B" w:rsidRPr="009C6450" w:rsidRDefault="005D2E39" w:rsidP="0061403B">
            <w:pPr>
              <w:spacing w:before="120" w:after="120"/>
              <w:jc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9C6450">
              <w:rPr>
                <w:rFonts w:cs="Calibri"/>
                <w:b/>
                <w:color w:val="000000"/>
                <w:sz w:val="19"/>
                <w:szCs w:val="19"/>
              </w:rPr>
              <w:t>01.01.2019</w:t>
            </w:r>
            <w:r w:rsidR="0061403B" w:rsidRPr="009C6450">
              <w:rPr>
                <w:rFonts w:cs="Calibri"/>
                <w:b/>
                <w:color w:val="000000"/>
                <w:sz w:val="19"/>
                <w:szCs w:val="19"/>
              </w:rPr>
              <w:t> г.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1403B" w:rsidRPr="002B6EE2" w:rsidRDefault="00C03D31" w:rsidP="00196C37">
            <w:pPr>
              <w:spacing w:before="120" w:after="120"/>
              <w:jc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>
              <w:rPr>
                <w:rFonts w:cs="Calibri"/>
                <w:b/>
                <w:color w:val="000000"/>
                <w:sz w:val="19"/>
                <w:szCs w:val="19"/>
              </w:rPr>
              <w:t>01.</w:t>
            </w:r>
            <w:r w:rsidR="00196C37">
              <w:rPr>
                <w:rFonts w:cs="Calibri"/>
                <w:b/>
                <w:color w:val="000000"/>
                <w:sz w:val="19"/>
                <w:szCs w:val="19"/>
              </w:rPr>
              <w:t>01</w:t>
            </w:r>
            <w:r w:rsidR="0061403B" w:rsidRPr="002B6EE2">
              <w:rPr>
                <w:rFonts w:cs="Calibri"/>
                <w:b/>
                <w:color w:val="000000"/>
                <w:sz w:val="19"/>
                <w:szCs w:val="19"/>
              </w:rPr>
              <w:t>.20</w:t>
            </w:r>
            <w:r w:rsidR="00196C37">
              <w:rPr>
                <w:rFonts w:cs="Calibri"/>
                <w:b/>
                <w:color w:val="000000"/>
                <w:sz w:val="19"/>
                <w:szCs w:val="19"/>
              </w:rPr>
              <w:t>20</w:t>
            </w:r>
            <w:r w:rsidR="0061403B" w:rsidRPr="002B6EE2">
              <w:rPr>
                <w:rFonts w:cs="Calibri"/>
                <w:b/>
                <w:color w:val="000000"/>
                <w:sz w:val="19"/>
                <w:szCs w:val="19"/>
              </w:rPr>
              <w:t> г.</w:t>
            </w:r>
          </w:p>
        </w:tc>
        <w:tc>
          <w:tcPr>
            <w:tcW w:w="15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1403B" w:rsidRPr="006E7CDA" w:rsidRDefault="0061403B" w:rsidP="0061403B">
            <w:pPr>
              <w:spacing w:before="120" w:after="12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63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1403B" w:rsidRPr="006E7CDA" w:rsidRDefault="0061403B" w:rsidP="0061403B">
            <w:pPr>
              <w:spacing w:before="120" w:after="120"/>
              <w:jc w:val="center"/>
              <w:rPr>
                <w:rFonts w:cs="Calibri"/>
                <w:color w:val="000000"/>
              </w:rPr>
            </w:pPr>
          </w:p>
        </w:tc>
      </w:tr>
      <w:tr w:rsidR="005D2E39" w:rsidRPr="001E0A02" w:rsidTr="00C553B2">
        <w:trPr>
          <w:trHeight w:val="458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5D2E39" w:rsidRPr="006E7CDA" w:rsidRDefault="005D2E39" w:rsidP="00FE2FCA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6E7CDA">
              <w:rPr>
                <w:rFonts w:cs="Calibri"/>
                <w:b/>
                <w:color w:val="000000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5D2E39" w:rsidRPr="006E7CDA" w:rsidRDefault="005D2E39" w:rsidP="005D2E39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6E7CDA">
              <w:rPr>
                <w:rFonts w:cs="Calibri"/>
                <w:b/>
                <w:color w:val="000000"/>
              </w:rPr>
              <w:t>15 785,9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5D2E39" w:rsidRPr="009C6450" w:rsidRDefault="005D2E39" w:rsidP="005D2E39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9C6450">
              <w:rPr>
                <w:rFonts w:cs="Calibri"/>
                <w:b/>
                <w:color w:val="000000"/>
              </w:rPr>
              <w:t>17 295,0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5D2E39" w:rsidRPr="002C0F0D" w:rsidRDefault="00196C37" w:rsidP="00196C37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24 368,5</w:t>
            </w:r>
          </w:p>
        </w:tc>
        <w:tc>
          <w:tcPr>
            <w:tcW w:w="15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5D2E39" w:rsidRPr="002C0F0D" w:rsidRDefault="005D2E39" w:rsidP="005D2E39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2C0F0D">
              <w:rPr>
                <w:rFonts w:cs="Calibri"/>
                <w:b/>
                <w:color w:val="000000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5D2E39" w:rsidRPr="002C0F0D" w:rsidRDefault="00496B5D" w:rsidP="00385BF4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7 073,5</w:t>
            </w:r>
          </w:p>
        </w:tc>
      </w:tr>
      <w:tr w:rsidR="005D2E39" w:rsidRPr="001E0A02" w:rsidTr="00C553B2">
        <w:trPr>
          <w:trHeight w:val="312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6E7CDA" w:rsidRDefault="005D2E39" w:rsidP="005D2E39">
            <w:pPr>
              <w:spacing w:before="120" w:after="120"/>
              <w:rPr>
                <w:rFonts w:cs="Calibri"/>
                <w:b/>
                <w:color w:val="000000"/>
              </w:rPr>
            </w:pPr>
            <w:r w:rsidRPr="006E7CDA">
              <w:rPr>
                <w:rFonts w:cs="Calibri"/>
                <w:b/>
                <w:color w:val="000000"/>
              </w:rPr>
              <w:t>Государственный внешний долг</w:t>
            </w:r>
          </w:p>
        </w:tc>
        <w:tc>
          <w:tcPr>
            <w:tcW w:w="12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6E7CDA" w:rsidRDefault="005D2E39" w:rsidP="00BD3037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7 600,0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2E39" w:rsidRPr="009C6450" w:rsidRDefault="005D2E39" w:rsidP="005D2E39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9C6450">
              <w:rPr>
                <w:rFonts w:cs="Calibri"/>
                <w:color w:val="000000"/>
              </w:rPr>
              <w:t xml:space="preserve">10 086,4 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2E39" w:rsidRPr="002C0F0D" w:rsidRDefault="00196C37" w:rsidP="00DE0B10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15 786,0</w:t>
            </w:r>
          </w:p>
        </w:tc>
        <w:tc>
          <w:tcPr>
            <w:tcW w:w="15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2C0F0D" w:rsidRDefault="005D2E39" w:rsidP="005D2E39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2C0F0D">
              <w:rPr>
                <w:rFonts w:cs="Calibri"/>
                <w:color w:val="000000"/>
              </w:rPr>
              <w:t>6</w:t>
            </w:r>
            <w:r w:rsidR="00675317">
              <w:rPr>
                <w:rFonts w:cs="Calibri"/>
                <w:color w:val="000000"/>
              </w:rPr>
              <w:t>5</w:t>
            </w:r>
            <w:r w:rsidRPr="002C0F0D">
              <w:rPr>
                <w:rFonts w:cs="Calibri"/>
                <w:color w:val="000000"/>
              </w:rPr>
              <w:t>%</w:t>
            </w:r>
          </w:p>
        </w:tc>
        <w:tc>
          <w:tcPr>
            <w:tcW w:w="18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2C0F0D" w:rsidRDefault="00496B5D" w:rsidP="00385BF4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5 699,6</w:t>
            </w:r>
          </w:p>
        </w:tc>
      </w:tr>
      <w:tr w:rsidR="005D2E39" w:rsidRPr="001E0A02" w:rsidTr="00C553B2">
        <w:trPr>
          <w:trHeight w:val="312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B517B7" w:rsidRPr="00B517B7" w:rsidRDefault="005D2E39" w:rsidP="007D3CA9">
            <w:pPr>
              <w:ind w:firstLineChars="133" w:firstLine="266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517B7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из </w:t>
            </w:r>
            <w:r w:rsidR="00E43D5F" w:rsidRPr="00B517B7">
              <w:rPr>
                <w:rFonts w:cs="Calibri"/>
                <w:i/>
                <w:iCs/>
                <w:color w:val="000000"/>
                <w:sz w:val="20"/>
                <w:szCs w:val="20"/>
              </w:rPr>
              <w:t>них</w:t>
            </w:r>
            <w:r w:rsidR="00DC2338" w:rsidRPr="00B517B7">
              <w:rPr>
                <w:rFonts w:cs="Calibri"/>
                <w:i/>
                <w:iCs/>
                <w:color w:val="000000"/>
                <w:sz w:val="20"/>
                <w:szCs w:val="20"/>
              </w:rPr>
              <w:t>:</w:t>
            </w:r>
          </w:p>
          <w:p w:rsidR="005D2E39" w:rsidRPr="006E7CDA" w:rsidRDefault="00E43D5F" w:rsidP="00B517B7">
            <w:pPr>
              <w:rPr>
                <w:rFonts w:cs="Calibri"/>
                <w:i/>
                <w:iCs/>
                <w:color w:val="000000"/>
              </w:rPr>
            </w:pPr>
            <w:r w:rsidRPr="00B517B7">
              <w:rPr>
                <w:rFonts w:cs="Calibri"/>
                <w:i/>
                <w:iCs/>
                <w:color w:val="000000"/>
                <w:sz w:val="20"/>
                <w:szCs w:val="20"/>
              </w:rPr>
              <w:t>международные облигации Республики Узбекистан</w:t>
            </w:r>
          </w:p>
        </w:tc>
        <w:tc>
          <w:tcPr>
            <w:tcW w:w="12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6E7CDA" w:rsidRDefault="00E43D5F" w:rsidP="005D2E39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 w:rsidRPr="006E7CDA">
              <w:rPr>
                <w:rFonts w:cs="Calibri"/>
                <w:i/>
                <w:color w:val="000000"/>
              </w:rPr>
              <w:t>-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2E39" w:rsidRPr="009C6450" w:rsidRDefault="00E43D5F" w:rsidP="005D2E39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 w:rsidRPr="009C6450">
              <w:rPr>
                <w:rFonts w:cs="Calibri"/>
                <w:i/>
                <w:color w:val="000000"/>
              </w:rPr>
              <w:t>-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2E39" w:rsidRPr="002C0F0D" w:rsidRDefault="00196C37" w:rsidP="00AB5B3F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 w:rsidRPr="00196C37">
              <w:rPr>
                <w:rFonts w:cs="Calibri"/>
                <w:i/>
                <w:color w:val="000000"/>
              </w:rPr>
              <w:t>1 107,0</w:t>
            </w:r>
          </w:p>
        </w:tc>
        <w:tc>
          <w:tcPr>
            <w:tcW w:w="15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2C0F0D" w:rsidRDefault="00675317" w:rsidP="005D2E39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4,</w:t>
            </w:r>
            <w:r w:rsidR="00150377" w:rsidRPr="002C0F0D">
              <w:rPr>
                <w:rFonts w:cs="Calibri"/>
                <w:i/>
                <w:color w:val="000000"/>
              </w:rPr>
              <w:t>5</w:t>
            </w:r>
            <w:r w:rsidR="005D2E39" w:rsidRPr="002C0F0D">
              <w:rPr>
                <w:rFonts w:cs="Calibri"/>
                <w:i/>
                <w:color w:val="000000"/>
              </w:rPr>
              <w:t>%</w:t>
            </w:r>
          </w:p>
        </w:tc>
        <w:tc>
          <w:tcPr>
            <w:tcW w:w="18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2C0F0D" w:rsidRDefault="00496B5D" w:rsidP="00385BF4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 w:rsidRPr="00196C37">
              <w:rPr>
                <w:rFonts w:cs="Calibri"/>
                <w:i/>
                <w:color w:val="000000"/>
              </w:rPr>
              <w:t>1 107,0</w:t>
            </w:r>
          </w:p>
        </w:tc>
      </w:tr>
      <w:tr w:rsidR="005D2E39" w:rsidRPr="001E0A02" w:rsidTr="00C553B2">
        <w:trPr>
          <w:trHeight w:val="867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6E7CDA" w:rsidRDefault="005D2E39" w:rsidP="005D2E39">
            <w:pPr>
              <w:spacing w:before="120" w:after="120"/>
              <w:rPr>
                <w:rFonts w:cs="Calibri"/>
                <w:b/>
                <w:color w:val="000000"/>
              </w:rPr>
            </w:pPr>
            <w:r w:rsidRPr="006E7CDA">
              <w:rPr>
                <w:rFonts w:cs="Calibri"/>
                <w:b/>
                <w:color w:val="000000"/>
              </w:rPr>
              <w:t>Частный внешний долг</w:t>
            </w:r>
          </w:p>
        </w:tc>
        <w:tc>
          <w:tcPr>
            <w:tcW w:w="12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6E7CDA" w:rsidRDefault="005D2E39" w:rsidP="005D2E39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8 185,9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2E39" w:rsidRPr="009C6450" w:rsidRDefault="005D2E39" w:rsidP="005D2E39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9C6450">
              <w:rPr>
                <w:rFonts w:cs="Calibri"/>
                <w:color w:val="000000"/>
              </w:rPr>
              <w:t>7 208,6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2E39" w:rsidRPr="002C0F0D" w:rsidRDefault="00196C37" w:rsidP="00217277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8 582,4</w:t>
            </w:r>
          </w:p>
        </w:tc>
        <w:tc>
          <w:tcPr>
            <w:tcW w:w="15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2C0F0D" w:rsidRDefault="00150377" w:rsidP="00675317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2C0F0D">
              <w:rPr>
                <w:rFonts w:cs="Calibri"/>
                <w:color w:val="000000"/>
              </w:rPr>
              <w:t>3</w:t>
            </w:r>
            <w:r w:rsidR="00675317">
              <w:rPr>
                <w:rFonts w:cs="Calibri"/>
                <w:color w:val="000000"/>
              </w:rPr>
              <w:t>5</w:t>
            </w:r>
            <w:r w:rsidR="005D2E39" w:rsidRPr="002C0F0D">
              <w:rPr>
                <w:rFonts w:cs="Calibri"/>
                <w:color w:val="000000"/>
              </w:rPr>
              <w:t>%</w:t>
            </w:r>
          </w:p>
        </w:tc>
        <w:tc>
          <w:tcPr>
            <w:tcW w:w="18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2C0F0D" w:rsidRDefault="00496B5D" w:rsidP="005D2E39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1 373,9</w:t>
            </w:r>
          </w:p>
        </w:tc>
      </w:tr>
      <w:tr w:rsidR="005D2E39" w:rsidRPr="001E0A02" w:rsidTr="00C553B2">
        <w:trPr>
          <w:trHeight w:val="312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85EE4" w:rsidRPr="00B517B7" w:rsidRDefault="00385EE4" w:rsidP="00B517B7">
            <w:pPr>
              <w:ind w:firstLine="306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517B7">
              <w:rPr>
                <w:rFonts w:cs="Calibri"/>
                <w:i/>
                <w:iCs/>
                <w:color w:val="000000"/>
                <w:sz w:val="20"/>
                <w:szCs w:val="20"/>
              </w:rPr>
              <w:t>из них</w:t>
            </w:r>
            <w:r w:rsidR="00DC2338" w:rsidRPr="00B517B7">
              <w:rPr>
                <w:rFonts w:cs="Calibri"/>
                <w:i/>
                <w:iCs/>
                <w:color w:val="000000"/>
                <w:sz w:val="20"/>
                <w:szCs w:val="20"/>
              </w:rPr>
              <w:t>:</w:t>
            </w:r>
          </w:p>
          <w:p w:rsidR="005D2E39" w:rsidRPr="006E7CDA" w:rsidRDefault="005D2E39" w:rsidP="007D3CA9">
            <w:pPr>
              <w:ind w:left="36"/>
              <w:rPr>
                <w:rFonts w:cs="Calibri"/>
                <w:i/>
                <w:iCs/>
                <w:color w:val="000000"/>
              </w:rPr>
            </w:pPr>
            <w:r w:rsidRPr="00B517B7">
              <w:rPr>
                <w:rFonts w:cs="Calibri"/>
                <w:i/>
                <w:iCs/>
                <w:color w:val="000000"/>
                <w:sz w:val="20"/>
                <w:szCs w:val="20"/>
              </w:rPr>
              <w:t>от материнских компаний</w:t>
            </w:r>
          </w:p>
        </w:tc>
        <w:tc>
          <w:tcPr>
            <w:tcW w:w="12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6E7CDA" w:rsidRDefault="005D2E39" w:rsidP="005D2E39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 w:rsidRPr="006E7CDA">
              <w:rPr>
                <w:rFonts w:cs="Calibri"/>
                <w:i/>
                <w:color w:val="000000"/>
              </w:rPr>
              <w:t>1 304,9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2E39" w:rsidRPr="009C6450" w:rsidRDefault="005D2E39" w:rsidP="005D2E39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 w:rsidRPr="009C6450">
              <w:rPr>
                <w:rFonts w:cs="Calibri"/>
                <w:i/>
                <w:color w:val="000000"/>
              </w:rPr>
              <w:t>687,8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2E39" w:rsidRPr="002C0F0D" w:rsidRDefault="00196C37" w:rsidP="00217277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815,7</w:t>
            </w:r>
          </w:p>
        </w:tc>
        <w:tc>
          <w:tcPr>
            <w:tcW w:w="15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2C0F0D" w:rsidRDefault="00675317" w:rsidP="005D2E39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3</w:t>
            </w:r>
            <w:r w:rsidR="005D2E39" w:rsidRPr="002C0F0D">
              <w:rPr>
                <w:rFonts w:cs="Calibri"/>
                <w:i/>
                <w:color w:val="000000"/>
              </w:rPr>
              <w:t>%</w:t>
            </w:r>
          </w:p>
        </w:tc>
        <w:tc>
          <w:tcPr>
            <w:tcW w:w="18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2C0F0D" w:rsidRDefault="00496B5D" w:rsidP="005D2E39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127,9</w:t>
            </w:r>
          </w:p>
        </w:tc>
      </w:tr>
      <w:tr w:rsidR="005D2E39" w:rsidRPr="001E0A02" w:rsidTr="00C553B2">
        <w:trPr>
          <w:trHeight w:val="536"/>
          <w:jc w:val="center"/>
        </w:trPr>
        <w:tc>
          <w:tcPr>
            <w:tcW w:w="10020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</w:tcPr>
          <w:p w:rsidR="00833520" w:rsidRPr="002C0F0D" w:rsidRDefault="005D2E39" w:rsidP="00C553B2">
            <w:pPr>
              <w:shd w:val="clear" w:color="auto" w:fill="BDD6EE" w:themeFill="accent1" w:themeFillTint="66"/>
              <w:rPr>
                <w:rFonts w:cs="Calibri"/>
                <w:b/>
                <w:iCs/>
                <w:color w:val="000000"/>
              </w:rPr>
            </w:pPr>
            <w:r w:rsidRPr="002C0F0D">
              <w:rPr>
                <w:rFonts w:cs="Calibri"/>
                <w:b/>
                <w:iCs/>
                <w:color w:val="000000"/>
              </w:rPr>
              <w:t>Доли секторов в частном внешнем долге</w:t>
            </w:r>
          </w:p>
        </w:tc>
      </w:tr>
      <w:tr w:rsidR="005D2E39" w:rsidRPr="001E0A02" w:rsidTr="00C553B2">
        <w:trPr>
          <w:trHeight w:val="312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6E7CDA" w:rsidRDefault="00D63998" w:rsidP="005D2E39">
            <w:pPr>
              <w:spacing w:before="120" w:after="1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Нефтегазовый </w:t>
            </w:r>
            <w:r w:rsidR="005D2E39" w:rsidRPr="006E7CDA">
              <w:rPr>
                <w:rFonts w:cs="Calibri"/>
                <w:color w:val="000000"/>
              </w:rPr>
              <w:t>и энергетический сектор</w:t>
            </w:r>
          </w:p>
        </w:tc>
        <w:tc>
          <w:tcPr>
            <w:tcW w:w="12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6E7CDA" w:rsidRDefault="00BD3037" w:rsidP="005D2E39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6 </w:t>
            </w:r>
            <w:r w:rsidR="005D2E39" w:rsidRPr="006E7CDA">
              <w:rPr>
                <w:rFonts w:cs="Calibri"/>
                <w:color w:val="000000"/>
              </w:rPr>
              <w:t>149,7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D2E39" w:rsidRPr="006E7CDA" w:rsidRDefault="005D2E39" w:rsidP="005D2E39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5 386,5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2E39" w:rsidRPr="002C0F0D" w:rsidRDefault="00157F0F" w:rsidP="0082678B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4 705,3</w:t>
            </w:r>
          </w:p>
        </w:tc>
        <w:tc>
          <w:tcPr>
            <w:tcW w:w="15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2C0F0D" w:rsidRDefault="009C6450" w:rsidP="00B02467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  <w:r w:rsidR="005D2E39" w:rsidRPr="002C0F0D">
              <w:rPr>
                <w:rFonts w:cs="Calibri"/>
                <w:color w:val="000000"/>
              </w:rPr>
              <w:t>%</w:t>
            </w:r>
          </w:p>
        </w:tc>
        <w:tc>
          <w:tcPr>
            <w:tcW w:w="18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2C0F0D" w:rsidRDefault="00496B5D" w:rsidP="0082678B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-681,2</w:t>
            </w:r>
          </w:p>
        </w:tc>
      </w:tr>
      <w:tr w:rsidR="00E43D5F" w:rsidRPr="001E0A02" w:rsidTr="00C553B2">
        <w:trPr>
          <w:trHeight w:val="312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E43D5F" w:rsidRPr="006E7CDA" w:rsidRDefault="00E43D5F" w:rsidP="00714AEC">
            <w:pPr>
              <w:spacing w:before="120" w:after="120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Банковский сектор</w:t>
            </w:r>
          </w:p>
        </w:tc>
        <w:tc>
          <w:tcPr>
            <w:tcW w:w="12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E43D5F" w:rsidRPr="006E7CDA" w:rsidRDefault="00E43D5F" w:rsidP="00714AEC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584,0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E43D5F" w:rsidRPr="006E7CDA" w:rsidRDefault="00E43D5F" w:rsidP="00714AEC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978,2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E43D5F" w:rsidRPr="002C0F0D" w:rsidRDefault="00157F0F" w:rsidP="0082678B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2 849,7</w:t>
            </w:r>
          </w:p>
        </w:tc>
        <w:tc>
          <w:tcPr>
            <w:tcW w:w="15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E43D5F" w:rsidRPr="002C0F0D" w:rsidRDefault="009C6450" w:rsidP="00714AEC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B02467" w:rsidRPr="002C0F0D">
              <w:rPr>
                <w:rFonts w:cs="Calibri"/>
                <w:color w:val="000000"/>
              </w:rPr>
              <w:t>3</w:t>
            </w:r>
            <w:r w:rsidR="00E43D5F" w:rsidRPr="002C0F0D">
              <w:rPr>
                <w:rFonts w:cs="Calibri"/>
                <w:color w:val="000000"/>
              </w:rPr>
              <w:t>%</w:t>
            </w:r>
          </w:p>
        </w:tc>
        <w:tc>
          <w:tcPr>
            <w:tcW w:w="18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E43D5F" w:rsidRPr="002C0F0D" w:rsidRDefault="00496B5D" w:rsidP="00714AEC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1 871,5</w:t>
            </w:r>
          </w:p>
        </w:tc>
      </w:tr>
      <w:tr w:rsidR="00B517B7" w:rsidRPr="001E0A02" w:rsidTr="00C553B2">
        <w:trPr>
          <w:trHeight w:val="312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9155B7" w:rsidRPr="00B517B7" w:rsidRDefault="009155B7" w:rsidP="009155B7">
            <w:pPr>
              <w:ind w:firstLineChars="133" w:firstLine="266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B517B7">
              <w:rPr>
                <w:rFonts w:cs="Calibri"/>
                <w:i/>
                <w:iCs/>
                <w:color w:val="000000"/>
                <w:sz w:val="20"/>
                <w:szCs w:val="20"/>
              </w:rPr>
              <w:t>из них:</w:t>
            </w:r>
          </w:p>
          <w:p w:rsidR="00B517B7" w:rsidRPr="006E7CDA" w:rsidRDefault="009155B7" w:rsidP="009155B7">
            <w:pPr>
              <w:rPr>
                <w:rFonts w:cs="Calibri"/>
                <w:color w:val="000000"/>
              </w:rPr>
            </w:pPr>
            <w:r w:rsidRPr="00B517B7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международные облигации 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коммерческих банков</w:t>
            </w:r>
          </w:p>
        </w:tc>
        <w:tc>
          <w:tcPr>
            <w:tcW w:w="12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B517B7" w:rsidRPr="00327943" w:rsidRDefault="00157F0F" w:rsidP="00714AEC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-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B517B7" w:rsidRPr="00327943" w:rsidRDefault="00157F0F" w:rsidP="00714AEC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-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B517B7" w:rsidRPr="00327943" w:rsidRDefault="00157F0F" w:rsidP="0082678B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307,4</w:t>
            </w:r>
          </w:p>
        </w:tc>
        <w:tc>
          <w:tcPr>
            <w:tcW w:w="15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B517B7" w:rsidRPr="00327943" w:rsidRDefault="009C6450" w:rsidP="00714AEC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4%</w:t>
            </w:r>
          </w:p>
        </w:tc>
        <w:tc>
          <w:tcPr>
            <w:tcW w:w="18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B517B7" w:rsidRPr="00327943" w:rsidRDefault="00496B5D" w:rsidP="00714AEC">
            <w:pPr>
              <w:spacing w:before="120" w:after="120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307,4</w:t>
            </w:r>
          </w:p>
        </w:tc>
      </w:tr>
      <w:tr w:rsidR="005D2E39" w:rsidRPr="001E0A02" w:rsidTr="00C553B2">
        <w:trPr>
          <w:trHeight w:val="312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2B6EE2" w:rsidRDefault="005D2E39" w:rsidP="005D2E39">
            <w:pPr>
              <w:spacing w:before="120" w:after="120"/>
              <w:rPr>
                <w:rFonts w:cs="Calibri"/>
                <w:color w:val="000000"/>
                <w:sz w:val="23"/>
                <w:szCs w:val="23"/>
              </w:rPr>
            </w:pPr>
            <w:r w:rsidRPr="002B6EE2">
              <w:rPr>
                <w:rFonts w:cs="Calibri"/>
                <w:color w:val="000000"/>
                <w:sz w:val="23"/>
                <w:szCs w:val="23"/>
              </w:rPr>
              <w:t>Телекоммуникационный сектор</w:t>
            </w:r>
          </w:p>
        </w:tc>
        <w:tc>
          <w:tcPr>
            <w:tcW w:w="12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6E7CDA" w:rsidRDefault="005D2E39" w:rsidP="005D2E39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965,6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D2E39" w:rsidRPr="006E7CDA" w:rsidRDefault="005D2E39" w:rsidP="005D2E39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248,2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2E39" w:rsidRPr="002C0F0D" w:rsidRDefault="00157F0F" w:rsidP="0082678B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223,9</w:t>
            </w:r>
          </w:p>
        </w:tc>
        <w:tc>
          <w:tcPr>
            <w:tcW w:w="15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2C0F0D" w:rsidRDefault="005D2E39" w:rsidP="005D2E39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2C0F0D">
              <w:rPr>
                <w:rFonts w:cs="Calibri"/>
                <w:color w:val="000000"/>
              </w:rPr>
              <w:t>3%</w:t>
            </w:r>
          </w:p>
        </w:tc>
        <w:tc>
          <w:tcPr>
            <w:tcW w:w="18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2C0F0D" w:rsidRDefault="00496B5D" w:rsidP="0082678B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-24,3</w:t>
            </w:r>
          </w:p>
        </w:tc>
      </w:tr>
      <w:tr w:rsidR="005D2E39" w:rsidRPr="001E0A02" w:rsidTr="00C553B2">
        <w:trPr>
          <w:trHeight w:val="312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6E7CDA" w:rsidRDefault="005D2E39" w:rsidP="005D2E39">
            <w:pPr>
              <w:spacing w:before="120" w:after="120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Текстильный сектор</w:t>
            </w:r>
          </w:p>
        </w:tc>
        <w:tc>
          <w:tcPr>
            <w:tcW w:w="12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6E7CDA" w:rsidRDefault="005D2E39" w:rsidP="005D2E39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126</w:t>
            </w:r>
            <w:r w:rsidR="00BD3037" w:rsidRPr="006E7CDA">
              <w:rPr>
                <w:rFonts w:cs="Calibri"/>
                <w:color w:val="000000"/>
              </w:rPr>
              <w:t>,0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D2E39" w:rsidRPr="006E7CDA" w:rsidRDefault="005D2E39" w:rsidP="005D2E39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132,2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2E39" w:rsidRPr="002C0F0D" w:rsidRDefault="00C85455" w:rsidP="005D2E39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170,4</w:t>
            </w:r>
          </w:p>
        </w:tc>
        <w:tc>
          <w:tcPr>
            <w:tcW w:w="15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2C0F0D" w:rsidRDefault="005D2E39" w:rsidP="005D2E39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2C0F0D">
              <w:rPr>
                <w:rFonts w:cs="Calibri"/>
                <w:color w:val="000000"/>
              </w:rPr>
              <w:t>2%</w:t>
            </w:r>
          </w:p>
        </w:tc>
        <w:tc>
          <w:tcPr>
            <w:tcW w:w="18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2C0F0D" w:rsidRDefault="00496B5D" w:rsidP="003D592C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38,2</w:t>
            </w:r>
          </w:p>
        </w:tc>
      </w:tr>
      <w:tr w:rsidR="005D2E39" w:rsidRPr="001E0A02" w:rsidTr="00C553B2">
        <w:trPr>
          <w:trHeight w:val="312"/>
          <w:jc w:val="center"/>
        </w:trPr>
        <w:tc>
          <w:tcPr>
            <w:tcW w:w="272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6E7CDA" w:rsidRDefault="005D2E39" w:rsidP="005D2E39">
            <w:pPr>
              <w:spacing w:before="120" w:after="120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Прочие сектора</w:t>
            </w:r>
          </w:p>
        </w:tc>
        <w:tc>
          <w:tcPr>
            <w:tcW w:w="128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6E7CDA" w:rsidRDefault="005D2E39" w:rsidP="005D2E39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360,6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D2E39" w:rsidRPr="006E7CDA" w:rsidRDefault="005D2E39" w:rsidP="005D2E39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6E7CDA">
              <w:rPr>
                <w:rFonts w:cs="Calibri"/>
                <w:color w:val="000000"/>
              </w:rPr>
              <w:t>463,4</w:t>
            </w:r>
          </w:p>
        </w:tc>
        <w:tc>
          <w:tcPr>
            <w:tcW w:w="12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2E39" w:rsidRPr="002C0F0D" w:rsidRDefault="001F0348" w:rsidP="001F0348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633,1</w:t>
            </w:r>
          </w:p>
        </w:tc>
        <w:tc>
          <w:tcPr>
            <w:tcW w:w="15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2C0F0D" w:rsidRDefault="009C6450" w:rsidP="005D2E39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  <w:r w:rsidR="005D2E39" w:rsidRPr="002C0F0D">
              <w:rPr>
                <w:rFonts w:cs="Calibri"/>
                <w:color w:val="000000"/>
              </w:rPr>
              <w:t>%</w:t>
            </w:r>
          </w:p>
        </w:tc>
        <w:tc>
          <w:tcPr>
            <w:tcW w:w="18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5D2E39" w:rsidRPr="002C0F0D" w:rsidRDefault="00496B5D" w:rsidP="00496B5D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496B5D">
              <w:rPr>
                <w:rFonts w:cs="Calibri"/>
                <w:color w:val="000000"/>
              </w:rPr>
              <w:t>169,6</w:t>
            </w:r>
          </w:p>
        </w:tc>
      </w:tr>
    </w:tbl>
    <w:p w:rsidR="001760FA" w:rsidRPr="002E0F0B" w:rsidRDefault="00733304" w:rsidP="00E634F5">
      <w:pPr>
        <w:spacing w:before="120" w:after="120" w:line="288" w:lineRule="auto"/>
        <w:ind w:firstLine="709"/>
        <w:jc w:val="both"/>
        <w:rPr>
          <w:sz w:val="26"/>
          <w:szCs w:val="26"/>
        </w:rPr>
      </w:pPr>
      <w:r w:rsidRPr="002E0F0B">
        <w:rPr>
          <w:rFonts w:cs="Arial"/>
          <w:sz w:val="26"/>
          <w:szCs w:val="26"/>
          <w:highlight w:val="yellow"/>
        </w:rPr>
        <w:br w:type="page"/>
      </w:r>
      <w:r w:rsidR="001760FA" w:rsidRPr="002E0F0B">
        <w:rPr>
          <w:sz w:val="26"/>
          <w:szCs w:val="26"/>
        </w:rPr>
        <w:lastRenderedPageBreak/>
        <w:t>Разбивка внешнего долга по срокам привлечения приводит</w:t>
      </w:r>
      <w:r w:rsidR="00FF00A1">
        <w:rPr>
          <w:sz w:val="26"/>
          <w:szCs w:val="26"/>
        </w:rPr>
        <w:t xml:space="preserve">ся в </w:t>
      </w:r>
      <w:r w:rsidR="00FF00A1" w:rsidRPr="00183BF7">
        <w:rPr>
          <w:color w:val="0070C0"/>
          <w:sz w:val="26"/>
          <w:szCs w:val="26"/>
        </w:rPr>
        <w:t>Таблице 5</w:t>
      </w:r>
      <w:r w:rsidR="001760FA" w:rsidRPr="002E0F0B">
        <w:rPr>
          <w:sz w:val="26"/>
          <w:szCs w:val="26"/>
        </w:rPr>
        <w:t>.</w:t>
      </w:r>
    </w:p>
    <w:p w:rsidR="001760FA" w:rsidRPr="001E0A02" w:rsidRDefault="001760FA" w:rsidP="001760FA">
      <w:pPr>
        <w:jc w:val="both"/>
        <w:rPr>
          <w:highlight w:val="yellow"/>
        </w:rPr>
      </w:pPr>
    </w:p>
    <w:p w:rsidR="001760FA" w:rsidRPr="001E0A02" w:rsidRDefault="00FF00A1" w:rsidP="006B50A3">
      <w:pPr>
        <w:jc w:val="right"/>
      </w:pPr>
      <w:r>
        <w:t>Таблица 5</w:t>
      </w:r>
    </w:p>
    <w:p w:rsidR="006B50A3" w:rsidRPr="001E0A02" w:rsidRDefault="006B50A3" w:rsidP="006B50A3">
      <w:pPr>
        <w:jc w:val="right"/>
        <w:rPr>
          <w:highlight w:val="yellow"/>
        </w:rPr>
      </w:pPr>
    </w:p>
    <w:p w:rsidR="001760FA" w:rsidRPr="002E0F0B" w:rsidRDefault="008B55B0" w:rsidP="006B50A3">
      <w:pPr>
        <w:jc w:val="center"/>
        <w:rPr>
          <w:b/>
          <w:sz w:val="26"/>
          <w:szCs w:val="26"/>
        </w:rPr>
      </w:pPr>
      <w:r w:rsidRPr="002E0F0B">
        <w:rPr>
          <w:b/>
          <w:sz w:val="26"/>
          <w:szCs w:val="26"/>
        </w:rPr>
        <w:t>РАЗБИВКА ВНЕШНЕГО ДОЛГА ПО СРОКАМ ПРИВЛЕЧЕНИЯ</w:t>
      </w:r>
      <w:r w:rsidR="001760FA" w:rsidRPr="00E25E08">
        <w:rPr>
          <w:rStyle w:val="a9"/>
          <w:sz w:val="26"/>
          <w:szCs w:val="26"/>
        </w:rPr>
        <w:footnoteReference w:id="16"/>
      </w:r>
    </w:p>
    <w:p w:rsidR="001760FA" w:rsidRPr="0005454A" w:rsidRDefault="001760FA" w:rsidP="006B50A3">
      <w:pPr>
        <w:jc w:val="center"/>
        <w:rPr>
          <w:i/>
        </w:rPr>
      </w:pPr>
      <w:r w:rsidRPr="0005454A">
        <w:rPr>
          <w:i/>
        </w:rPr>
        <w:t xml:space="preserve">(по состоянию на 1 </w:t>
      </w:r>
      <w:r w:rsidR="00B2018C">
        <w:rPr>
          <w:i/>
        </w:rPr>
        <w:t>январ</w:t>
      </w:r>
      <w:r w:rsidR="00C03D31">
        <w:rPr>
          <w:i/>
        </w:rPr>
        <w:t>я</w:t>
      </w:r>
      <w:r w:rsidRPr="0005454A">
        <w:rPr>
          <w:i/>
        </w:rPr>
        <w:t xml:space="preserve"> 20</w:t>
      </w:r>
      <w:r w:rsidR="00B2018C">
        <w:rPr>
          <w:i/>
        </w:rPr>
        <w:t>20</w:t>
      </w:r>
      <w:r w:rsidRPr="0005454A">
        <w:rPr>
          <w:i/>
        </w:rPr>
        <w:t xml:space="preserve"> года)</w:t>
      </w:r>
    </w:p>
    <w:p w:rsidR="001760FA" w:rsidRPr="001E0A02" w:rsidRDefault="001760FA" w:rsidP="001760FA">
      <w:pPr>
        <w:ind w:firstLine="709"/>
        <w:jc w:val="center"/>
        <w:rPr>
          <w:i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7"/>
        <w:gridCol w:w="3256"/>
        <w:gridCol w:w="3260"/>
      </w:tblGrid>
      <w:tr w:rsidR="001760FA" w:rsidRPr="001E0A02" w:rsidTr="00A55271">
        <w:trPr>
          <w:jc w:val="center"/>
        </w:trPr>
        <w:tc>
          <w:tcPr>
            <w:tcW w:w="34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1760FA" w:rsidRPr="001E0A02" w:rsidRDefault="001760FA" w:rsidP="00A6342D">
            <w:pPr>
              <w:spacing w:after="40"/>
              <w:jc w:val="center"/>
              <w:rPr>
                <w:b/>
              </w:rPr>
            </w:pPr>
            <w:r w:rsidRPr="001E0A02">
              <w:rPr>
                <w:b/>
              </w:rPr>
              <w:t>Срок привлечения долга</w:t>
            </w:r>
          </w:p>
        </w:tc>
        <w:tc>
          <w:tcPr>
            <w:tcW w:w="32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1760FA" w:rsidRPr="001E0A02" w:rsidRDefault="001760FA" w:rsidP="00A6342D">
            <w:pPr>
              <w:spacing w:after="40"/>
              <w:jc w:val="center"/>
              <w:rPr>
                <w:b/>
              </w:rPr>
            </w:pPr>
            <w:r w:rsidRPr="001E0A02">
              <w:rPr>
                <w:b/>
              </w:rPr>
              <w:t>Сумма задолженности</w:t>
            </w:r>
          </w:p>
          <w:p w:rsidR="001760FA" w:rsidRPr="001E0A02" w:rsidRDefault="001760FA" w:rsidP="00A6342D">
            <w:pPr>
              <w:spacing w:after="40"/>
              <w:jc w:val="center"/>
              <w:rPr>
                <w:i/>
              </w:rPr>
            </w:pPr>
            <w:r w:rsidRPr="001E0A02">
              <w:rPr>
                <w:i/>
              </w:rPr>
              <w:t>(млн. долл.)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1760FA" w:rsidRPr="001E0A02" w:rsidRDefault="001760FA" w:rsidP="00A6342D">
            <w:pPr>
              <w:spacing w:after="40"/>
              <w:jc w:val="center"/>
              <w:rPr>
                <w:b/>
              </w:rPr>
            </w:pPr>
            <w:r w:rsidRPr="001E0A02">
              <w:rPr>
                <w:b/>
              </w:rPr>
              <w:t>Удельный вес</w:t>
            </w:r>
          </w:p>
          <w:p w:rsidR="001760FA" w:rsidRPr="001E0A02" w:rsidRDefault="001760FA" w:rsidP="00A6342D">
            <w:pPr>
              <w:spacing w:after="40"/>
              <w:jc w:val="center"/>
              <w:rPr>
                <w:i/>
              </w:rPr>
            </w:pPr>
            <w:r w:rsidRPr="001E0A02">
              <w:rPr>
                <w:i/>
              </w:rPr>
              <w:t>(в %)</w:t>
            </w:r>
          </w:p>
        </w:tc>
      </w:tr>
      <w:tr w:rsidR="00E1748D" w:rsidRPr="001E0A02" w:rsidTr="00C553B2">
        <w:trPr>
          <w:trHeight w:val="432"/>
          <w:jc w:val="center"/>
        </w:trPr>
        <w:tc>
          <w:tcPr>
            <w:tcW w:w="34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E1748D" w:rsidRPr="001E0A02" w:rsidRDefault="00E1748D" w:rsidP="00E1748D">
            <w:pPr>
              <w:ind w:left="447"/>
            </w:pPr>
            <w:r w:rsidRPr="001E0A02">
              <w:t>до 1 года</w:t>
            </w:r>
          </w:p>
        </w:tc>
        <w:tc>
          <w:tcPr>
            <w:tcW w:w="32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E1748D" w:rsidRPr="00E1748D" w:rsidRDefault="00E1748D" w:rsidP="00913CCD">
            <w:pPr>
              <w:tabs>
                <w:tab w:val="left" w:pos="1831"/>
              </w:tabs>
              <w:ind w:left="447" w:right="1170"/>
              <w:jc w:val="right"/>
            </w:pPr>
            <w:r w:rsidRPr="00E1748D">
              <w:t>567,2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E1748D" w:rsidRPr="001E0A02" w:rsidRDefault="00913CCD" w:rsidP="00E1748D">
            <w:pPr>
              <w:ind w:left="447" w:right="1170"/>
              <w:jc w:val="right"/>
            </w:pPr>
            <w:r>
              <w:t>2,3</w:t>
            </w:r>
            <w:r w:rsidR="00E1748D" w:rsidRPr="001E0A02">
              <w:t>%</w:t>
            </w:r>
          </w:p>
        </w:tc>
      </w:tr>
      <w:tr w:rsidR="00E1748D" w:rsidRPr="001E0A02" w:rsidTr="00C553B2">
        <w:trPr>
          <w:trHeight w:val="432"/>
          <w:jc w:val="center"/>
        </w:trPr>
        <w:tc>
          <w:tcPr>
            <w:tcW w:w="34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E1748D" w:rsidRPr="001E0A02" w:rsidRDefault="00E1748D" w:rsidP="00E1748D">
            <w:pPr>
              <w:ind w:left="447"/>
            </w:pPr>
            <w:r w:rsidRPr="001E0A02">
              <w:t>от 1 до 5 лет</w:t>
            </w:r>
          </w:p>
        </w:tc>
        <w:tc>
          <w:tcPr>
            <w:tcW w:w="32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E1748D" w:rsidRPr="00E1748D" w:rsidRDefault="00E1748D" w:rsidP="00E1748D">
            <w:pPr>
              <w:ind w:left="447" w:right="1170"/>
              <w:jc w:val="right"/>
            </w:pPr>
            <w:r w:rsidRPr="00E1748D">
              <w:t>2 731,3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E1748D" w:rsidRPr="001E0A02" w:rsidRDefault="00913CCD" w:rsidP="00E1748D">
            <w:pPr>
              <w:ind w:left="447" w:right="1170"/>
              <w:jc w:val="right"/>
            </w:pPr>
            <w:r>
              <w:t>11</w:t>
            </w:r>
            <w:r w:rsidR="00E1748D">
              <w:t>,2</w:t>
            </w:r>
            <w:r w:rsidR="00E1748D" w:rsidRPr="001E0A02">
              <w:t>%</w:t>
            </w:r>
          </w:p>
        </w:tc>
      </w:tr>
      <w:tr w:rsidR="00E1748D" w:rsidRPr="001E0A02" w:rsidTr="00C553B2">
        <w:trPr>
          <w:trHeight w:val="432"/>
          <w:jc w:val="center"/>
        </w:trPr>
        <w:tc>
          <w:tcPr>
            <w:tcW w:w="34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E1748D" w:rsidRPr="001E0A02" w:rsidRDefault="00E1748D" w:rsidP="00E1748D">
            <w:pPr>
              <w:ind w:left="447"/>
            </w:pPr>
            <w:r w:rsidRPr="001E0A02">
              <w:t>от 5 до 10 лет</w:t>
            </w:r>
          </w:p>
        </w:tc>
        <w:tc>
          <w:tcPr>
            <w:tcW w:w="32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E1748D" w:rsidRPr="00E1748D" w:rsidRDefault="00E1748D" w:rsidP="00E1748D">
            <w:pPr>
              <w:ind w:left="447" w:right="1170"/>
              <w:jc w:val="right"/>
            </w:pPr>
            <w:r w:rsidRPr="00E1748D">
              <w:t>1 963,5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E1748D" w:rsidRPr="001E0A02" w:rsidRDefault="00E1748D" w:rsidP="00913CCD">
            <w:pPr>
              <w:ind w:left="447" w:right="1170"/>
              <w:jc w:val="right"/>
            </w:pPr>
            <w:r>
              <w:t>8</w:t>
            </w:r>
            <w:r w:rsidRPr="001E0A02">
              <w:t>,</w:t>
            </w:r>
            <w:r w:rsidR="00913CCD">
              <w:t>1</w:t>
            </w:r>
            <w:r w:rsidRPr="001E0A02">
              <w:t>%</w:t>
            </w:r>
          </w:p>
        </w:tc>
      </w:tr>
      <w:tr w:rsidR="00E1748D" w:rsidRPr="001E0A02" w:rsidTr="00C553B2">
        <w:trPr>
          <w:trHeight w:val="432"/>
          <w:jc w:val="center"/>
        </w:trPr>
        <w:tc>
          <w:tcPr>
            <w:tcW w:w="34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E1748D" w:rsidRPr="001E0A02" w:rsidRDefault="00E1748D" w:rsidP="00E1748D">
            <w:pPr>
              <w:ind w:left="447"/>
            </w:pPr>
            <w:r w:rsidRPr="001E0A02">
              <w:t>более 10 лет</w:t>
            </w:r>
          </w:p>
        </w:tc>
        <w:tc>
          <w:tcPr>
            <w:tcW w:w="32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E1748D" w:rsidRPr="00E1748D" w:rsidRDefault="00E1748D" w:rsidP="00E1748D">
            <w:pPr>
              <w:ind w:left="447" w:right="1170"/>
              <w:jc w:val="right"/>
            </w:pPr>
            <w:r w:rsidRPr="00E1748D">
              <w:t>19 106,5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E1748D" w:rsidRPr="001E0A02" w:rsidRDefault="00913CCD" w:rsidP="00913CCD">
            <w:pPr>
              <w:ind w:left="447" w:right="1170"/>
              <w:jc w:val="right"/>
            </w:pPr>
            <w:r>
              <w:t>78</w:t>
            </w:r>
            <w:r w:rsidR="00E1748D">
              <w:t>,</w:t>
            </w:r>
            <w:r>
              <w:t>4</w:t>
            </w:r>
            <w:r w:rsidR="00E1748D" w:rsidRPr="001E0A02">
              <w:t>%</w:t>
            </w:r>
          </w:p>
        </w:tc>
      </w:tr>
      <w:tr w:rsidR="00E1748D" w:rsidRPr="001E0A02" w:rsidTr="00A55271">
        <w:trPr>
          <w:trHeight w:val="405"/>
          <w:jc w:val="center"/>
        </w:trPr>
        <w:tc>
          <w:tcPr>
            <w:tcW w:w="34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E1748D" w:rsidRPr="001E0A02" w:rsidRDefault="00E1748D" w:rsidP="00E1748D">
            <w:pPr>
              <w:ind w:left="447"/>
              <w:rPr>
                <w:b/>
              </w:rPr>
            </w:pPr>
            <w:r w:rsidRPr="001E0A02">
              <w:rPr>
                <w:b/>
              </w:rPr>
              <w:t>Итого:</w:t>
            </w:r>
          </w:p>
        </w:tc>
        <w:tc>
          <w:tcPr>
            <w:tcW w:w="32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E1748D" w:rsidRPr="00E1748D" w:rsidRDefault="00E1748D" w:rsidP="00E1748D">
            <w:pPr>
              <w:ind w:left="447" w:right="1170"/>
              <w:jc w:val="right"/>
              <w:rPr>
                <w:b/>
              </w:rPr>
            </w:pPr>
            <w:r w:rsidRPr="00E1748D">
              <w:rPr>
                <w:b/>
              </w:rPr>
              <w:t>24 368,5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E1748D" w:rsidRPr="001E0A02" w:rsidRDefault="00E1748D" w:rsidP="00E1748D">
            <w:pPr>
              <w:ind w:left="447" w:right="1170"/>
              <w:jc w:val="right"/>
              <w:rPr>
                <w:b/>
              </w:rPr>
            </w:pPr>
            <w:r w:rsidRPr="001E0A02">
              <w:rPr>
                <w:b/>
              </w:rPr>
              <w:t>100%</w:t>
            </w:r>
          </w:p>
        </w:tc>
      </w:tr>
    </w:tbl>
    <w:p w:rsidR="0095240F" w:rsidRPr="0095240F" w:rsidRDefault="0095240F" w:rsidP="00E43D5F">
      <w:pPr>
        <w:spacing w:before="120" w:after="120" w:line="288" w:lineRule="auto"/>
        <w:ind w:firstLine="709"/>
        <w:jc w:val="both"/>
        <w:rPr>
          <w:sz w:val="10"/>
          <w:szCs w:val="10"/>
        </w:rPr>
      </w:pPr>
    </w:p>
    <w:p w:rsidR="00E43D5F" w:rsidRPr="002C0F0D" w:rsidRDefault="00E43D5F" w:rsidP="00E43D5F">
      <w:pPr>
        <w:spacing w:before="120" w:after="120" w:line="288" w:lineRule="auto"/>
        <w:ind w:firstLine="709"/>
        <w:jc w:val="both"/>
        <w:rPr>
          <w:sz w:val="26"/>
          <w:szCs w:val="26"/>
        </w:rPr>
      </w:pPr>
      <w:r w:rsidRPr="002C0F0D">
        <w:rPr>
          <w:sz w:val="26"/>
          <w:szCs w:val="26"/>
        </w:rPr>
        <w:t xml:space="preserve">Увеличение задолженности в </w:t>
      </w:r>
      <w:r w:rsidR="000371F8" w:rsidRPr="002C0F0D">
        <w:rPr>
          <w:sz w:val="26"/>
          <w:szCs w:val="26"/>
        </w:rPr>
        <w:t xml:space="preserve">течение </w:t>
      </w:r>
      <w:r w:rsidRPr="002C0F0D">
        <w:rPr>
          <w:sz w:val="26"/>
          <w:szCs w:val="26"/>
        </w:rPr>
        <w:t>2019 года в основном приходил</w:t>
      </w:r>
      <w:r w:rsidR="00047FF2">
        <w:rPr>
          <w:sz w:val="26"/>
          <w:szCs w:val="26"/>
        </w:rPr>
        <w:t>ось на государственный сектор (5</w:t>
      </w:r>
      <w:r w:rsidR="00FA6300" w:rsidRPr="002C0F0D">
        <w:rPr>
          <w:sz w:val="26"/>
          <w:szCs w:val="26"/>
        </w:rPr>
        <w:t>,</w:t>
      </w:r>
      <w:r w:rsidR="00A71DAA" w:rsidRPr="002C0F0D">
        <w:rPr>
          <w:sz w:val="26"/>
          <w:szCs w:val="26"/>
        </w:rPr>
        <w:t>7</w:t>
      </w:r>
      <w:r w:rsidRPr="002C0F0D">
        <w:rPr>
          <w:sz w:val="26"/>
          <w:szCs w:val="26"/>
        </w:rPr>
        <w:t xml:space="preserve"> млрд. долл.), из которых 1 млрд. долл. – международны</w:t>
      </w:r>
      <w:r w:rsidR="00510FB1" w:rsidRPr="002C0F0D">
        <w:rPr>
          <w:sz w:val="26"/>
          <w:szCs w:val="26"/>
        </w:rPr>
        <w:t>е</w:t>
      </w:r>
      <w:r w:rsidRPr="002C0F0D">
        <w:rPr>
          <w:sz w:val="26"/>
          <w:szCs w:val="26"/>
        </w:rPr>
        <w:t xml:space="preserve"> облигаци</w:t>
      </w:r>
      <w:r w:rsidR="00510FB1" w:rsidRPr="002C0F0D">
        <w:rPr>
          <w:sz w:val="26"/>
          <w:szCs w:val="26"/>
        </w:rPr>
        <w:t>и</w:t>
      </w:r>
      <w:r w:rsidRPr="002C0F0D">
        <w:rPr>
          <w:sz w:val="26"/>
          <w:szCs w:val="26"/>
        </w:rPr>
        <w:t>.</w:t>
      </w:r>
    </w:p>
    <w:p w:rsidR="006F6379" w:rsidRPr="00FA6300" w:rsidRDefault="00E43D5F" w:rsidP="006F6379">
      <w:pPr>
        <w:spacing w:before="120" w:after="120" w:line="288" w:lineRule="auto"/>
        <w:ind w:firstLine="709"/>
        <w:jc w:val="both"/>
        <w:rPr>
          <w:sz w:val="26"/>
          <w:szCs w:val="26"/>
        </w:rPr>
      </w:pPr>
      <w:r w:rsidRPr="002C0F0D">
        <w:rPr>
          <w:sz w:val="26"/>
          <w:szCs w:val="26"/>
        </w:rPr>
        <w:t xml:space="preserve">Задолженность частного сектора выросла на </w:t>
      </w:r>
      <w:r w:rsidR="00F00C98">
        <w:rPr>
          <w:sz w:val="26"/>
          <w:szCs w:val="26"/>
        </w:rPr>
        <w:t>1,4</w:t>
      </w:r>
      <w:r w:rsidRPr="002C0F0D">
        <w:rPr>
          <w:sz w:val="26"/>
          <w:szCs w:val="26"/>
        </w:rPr>
        <w:t xml:space="preserve"> мл</w:t>
      </w:r>
      <w:r w:rsidR="00F00C98">
        <w:rPr>
          <w:sz w:val="26"/>
          <w:szCs w:val="26"/>
        </w:rPr>
        <w:t>рд</w:t>
      </w:r>
      <w:r w:rsidRPr="002C0F0D">
        <w:rPr>
          <w:sz w:val="26"/>
          <w:szCs w:val="26"/>
        </w:rPr>
        <w:t>.</w:t>
      </w:r>
      <w:r w:rsidRPr="00FA6300">
        <w:rPr>
          <w:sz w:val="26"/>
          <w:szCs w:val="26"/>
        </w:rPr>
        <w:t xml:space="preserve"> долл.</w:t>
      </w:r>
      <w:r w:rsidR="00C9525F" w:rsidRPr="00FA6300">
        <w:rPr>
          <w:noProof/>
        </w:rPr>
        <w:t xml:space="preserve"> </w:t>
      </w:r>
      <w:r w:rsidRPr="00FA6300">
        <w:rPr>
          <w:sz w:val="26"/>
          <w:szCs w:val="26"/>
        </w:rPr>
        <w:t>в результате увеличение объёмов</w:t>
      </w:r>
      <w:r w:rsidR="00E34923" w:rsidRPr="00FA6300">
        <w:rPr>
          <w:sz w:val="26"/>
          <w:szCs w:val="26"/>
        </w:rPr>
        <w:t xml:space="preserve"> </w:t>
      </w:r>
      <w:r w:rsidRPr="00FA6300">
        <w:rPr>
          <w:sz w:val="26"/>
          <w:szCs w:val="26"/>
        </w:rPr>
        <w:t>заимствования банками и другими секторами экономики.</w:t>
      </w:r>
    </w:p>
    <w:p w:rsidR="008B55B0" w:rsidRDefault="00B26DD1" w:rsidP="007E5962">
      <w:pPr>
        <w:spacing w:before="120" w:after="120" w:line="288" w:lineRule="auto"/>
        <w:ind w:right="6093" w:firstLine="709"/>
        <w:jc w:val="both"/>
        <w:rPr>
          <w:noProof/>
        </w:rPr>
      </w:pPr>
      <w:r w:rsidRPr="00B26DD1">
        <w:rPr>
          <w:noProof/>
          <w:sz w:val="26"/>
          <w:szCs w:val="26"/>
        </w:rPr>
        <w:pict>
          <v:shape id="Text Box 38" o:spid="_x0000_s1031" type="#_x0000_t202" style="position:absolute;left:0;text-align:left;margin-left:261.8pt;margin-top:60.8pt;width:94.45pt;height:1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D9J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" filled="f" stroked="f">
            <v:textbox>
              <w:txbxContent>
                <w:p w:rsidR="00B36DE8" w:rsidRPr="0087425B" w:rsidRDefault="00B36DE8">
                  <w:pPr>
                    <w:rPr>
                      <w:rFonts w:cs="Calibri"/>
                      <w:sz w:val="20"/>
                      <w:szCs w:val="16"/>
                    </w:rPr>
                  </w:pPr>
                  <w:r>
                    <w:rPr>
                      <w:rFonts w:cs="Calibri"/>
                      <w:sz w:val="20"/>
                      <w:szCs w:val="16"/>
                    </w:rPr>
                    <w:t>Рост на 3</w:t>
                  </w:r>
                  <w:r w:rsidRPr="0087425B">
                    <w:rPr>
                      <w:rFonts w:cs="Calibri"/>
                      <w:sz w:val="20"/>
                      <w:szCs w:val="16"/>
                    </w:rPr>
                    <w:t>,</w:t>
                  </w:r>
                  <w:r>
                    <w:rPr>
                      <w:rFonts w:cs="Calibri"/>
                      <w:sz w:val="20"/>
                      <w:szCs w:val="16"/>
                    </w:rPr>
                    <w:t>3 млрд.</w:t>
                  </w:r>
                  <w:r w:rsidRPr="0087425B">
                    <w:rPr>
                      <w:rFonts w:cs="Calibri"/>
                      <w:sz w:val="20"/>
                      <w:szCs w:val="16"/>
                    </w:rPr>
                    <w:t xml:space="preserve"> млрд.</w:t>
                  </w:r>
                </w:p>
              </w:txbxContent>
            </v:textbox>
          </v:shape>
        </w:pict>
      </w:r>
      <w:r>
        <w:rPr>
          <w:noProof/>
        </w:rPr>
        <w:pict>
          <v:shape id="TextBox 6" o:spid="_x0000_s1032" type="#_x0000_t202" style="position:absolute;left:0;text-align:left;margin-left:198.45pt;margin-top:386.95pt;width:302.7pt;height:44.6pt;z-index:251656704;visibility:visible;mso-position-horizontal-relative:margin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" stroked="f">
            <v:textbox>
              <w:txbxContent>
                <w:p w:rsidR="00B36DE8" w:rsidRPr="00D12AC2" w:rsidRDefault="00B36DE8" w:rsidP="00BE1079">
                  <w:pPr>
                    <w:pStyle w:val="aff8"/>
                    <w:spacing w:before="0" w:beforeAutospacing="0" w:after="0" w:afterAutospacing="0"/>
                    <w:ind w:firstLine="284"/>
                    <w:jc w:val="right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22"/>
                    </w:rPr>
                    <w:t>Диаграмма 18</w:t>
                  </w:r>
                </w:p>
                <w:p w:rsidR="00B36DE8" w:rsidRPr="00D12AC2" w:rsidRDefault="00B36DE8" w:rsidP="00BE1079">
                  <w:pPr>
                    <w:pStyle w:val="aff8"/>
                    <w:spacing w:before="0" w:beforeAutospacing="0" w:after="0" w:afterAutospacing="0"/>
                    <w:ind w:firstLine="284"/>
                    <w:jc w:val="center"/>
                    <w:rPr>
                      <w:rFonts w:ascii="Calibri" w:hAnsi="Calibri" w:cs="Calibri"/>
                      <w:sz w:val="22"/>
                    </w:rPr>
                  </w:pPr>
                  <w:r w:rsidRPr="00D12AC2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2"/>
                    </w:rPr>
                    <w:t>Привлечение внешнего долга по секторам экономики</w:t>
                  </w:r>
                </w:p>
                <w:p w:rsidR="00B36DE8" w:rsidRPr="00D12AC2" w:rsidRDefault="00B36DE8" w:rsidP="00BE1079">
                  <w:pPr>
                    <w:pStyle w:val="aff8"/>
                    <w:spacing w:before="0" w:beforeAutospacing="0" w:after="0" w:afterAutospacing="0"/>
                    <w:ind w:firstLine="284"/>
                    <w:jc w:val="right"/>
                    <w:rPr>
                      <w:rFonts w:ascii="Calibri" w:hAnsi="Calibri" w:cs="Calibri"/>
                      <w:sz w:val="18"/>
                    </w:rPr>
                  </w:pPr>
                  <w:r w:rsidRPr="00D12AC2"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  <w:t>(млн. долл.)</w:t>
                  </w:r>
                </w:p>
              </w:txbxContent>
            </v:textbox>
            <w10:wrap type="square" anchorx="margin" anchory="margin"/>
          </v:shape>
        </w:pict>
      </w:r>
      <w:r w:rsidRPr="00B26DD1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9" o:spid="_x0000_s1036" type="#_x0000_t32" style="position:absolute;left:0;text-align:left;margin-left:241.8pt;margin-top:54pt;width:0;height:40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" strokecolor="#5b9bd5 [3204]" strokeweight=".5pt">
            <v:stroke startarrow="block" endarrow="block" joinstyle="miter"/>
          </v:shape>
        </w:pict>
      </w:r>
      <w:r w:rsidRPr="00B26DD1">
        <w:rPr>
          <w:noProof/>
          <w:sz w:val="26"/>
          <w:szCs w:val="26"/>
        </w:rPr>
        <w:pict>
          <v:line id="Прямая соединительная линия 96" o:spid="_x0000_s1035" style="position:absolute;left:0;text-align:left;z-index:251665920;visibility:visible;mso-width-relative:margin" from="238.05pt,51.75pt" to="372.3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" strokecolor="#5b9bd5 [3204]" strokeweight=".5pt">
            <v:stroke joinstyle="miter"/>
          </v:line>
        </w:pict>
      </w:r>
      <w:r w:rsidR="00661D6E">
        <w:rPr>
          <w:noProof/>
          <w:sz w:val="26"/>
          <w:szCs w:val="26"/>
        </w:rPr>
        <w:drawing>
          <wp:anchor distT="0" distB="0" distL="114300" distR="114300" simplePos="0" relativeHeight="251650559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571805</wp:posOffset>
            </wp:positionV>
            <wp:extent cx="4076700" cy="2857500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1ACE" w:rsidRPr="00FA6300">
        <w:rPr>
          <w:sz w:val="26"/>
          <w:szCs w:val="26"/>
        </w:rPr>
        <w:t>Следует отметить,</w:t>
      </w:r>
      <w:r w:rsidR="00E34923" w:rsidRPr="00FA6300">
        <w:rPr>
          <w:sz w:val="26"/>
          <w:szCs w:val="26"/>
        </w:rPr>
        <w:t xml:space="preserve"> </w:t>
      </w:r>
      <w:r w:rsidR="00062F9E" w:rsidRPr="00FA6300">
        <w:rPr>
          <w:sz w:val="26"/>
          <w:szCs w:val="26"/>
        </w:rPr>
        <w:t>что</w:t>
      </w:r>
      <w:r w:rsidR="001760FA" w:rsidRPr="00FA6300">
        <w:rPr>
          <w:sz w:val="26"/>
          <w:szCs w:val="26"/>
        </w:rPr>
        <w:t xml:space="preserve"> </w:t>
      </w:r>
      <w:r w:rsidR="00C06D73">
        <w:rPr>
          <w:sz w:val="26"/>
          <w:szCs w:val="26"/>
        </w:rPr>
        <w:t xml:space="preserve">за </w:t>
      </w:r>
      <w:r w:rsidR="001760FA" w:rsidRPr="002C0F0D">
        <w:rPr>
          <w:sz w:val="26"/>
          <w:szCs w:val="26"/>
        </w:rPr>
        <w:t>201</w:t>
      </w:r>
      <w:r w:rsidR="003A262E" w:rsidRPr="002C0F0D">
        <w:rPr>
          <w:sz w:val="26"/>
          <w:szCs w:val="26"/>
        </w:rPr>
        <w:t>9</w:t>
      </w:r>
      <w:r w:rsidR="001760FA" w:rsidRPr="002C0F0D">
        <w:rPr>
          <w:sz w:val="26"/>
          <w:szCs w:val="26"/>
        </w:rPr>
        <w:t xml:space="preserve"> год частным сектором привлечено заимствований на общую сумму </w:t>
      </w:r>
      <w:r w:rsidR="00632ABD">
        <w:rPr>
          <w:sz w:val="26"/>
          <w:szCs w:val="26"/>
        </w:rPr>
        <w:t>2,8</w:t>
      </w:r>
      <w:r w:rsidR="003D3668" w:rsidRPr="002C0F0D">
        <w:rPr>
          <w:sz w:val="26"/>
          <w:szCs w:val="26"/>
        </w:rPr>
        <w:t> </w:t>
      </w:r>
      <w:r w:rsidR="002B6EE2" w:rsidRPr="002C0F0D">
        <w:rPr>
          <w:sz w:val="26"/>
          <w:szCs w:val="26"/>
        </w:rPr>
        <w:t>млрд</w:t>
      </w:r>
      <w:r w:rsidR="001760FA" w:rsidRPr="002C0F0D">
        <w:rPr>
          <w:sz w:val="26"/>
          <w:szCs w:val="26"/>
        </w:rPr>
        <w:t>. долл. Привлечение заимствований</w:t>
      </w:r>
      <w:r w:rsidR="00062F9E" w:rsidRPr="002C0F0D">
        <w:rPr>
          <w:sz w:val="26"/>
          <w:szCs w:val="26"/>
        </w:rPr>
        <w:t>,</w:t>
      </w:r>
      <w:r w:rsidR="001760FA" w:rsidRPr="002C0F0D">
        <w:rPr>
          <w:sz w:val="26"/>
          <w:szCs w:val="26"/>
        </w:rPr>
        <w:t xml:space="preserve"> </w:t>
      </w:r>
      <w:r w:rsidR="002C7A36">
        <w:rPr>
          <w:sz w:val="26"/>
          <w:szCs w:val="26"/>
        </w:rPr>
        <w:br/>
      </w:r>
      <w:r w:rsidR="001760FA" w:rsidRPr="002C0F0D">
        <w:rPr>
          <w:sz w:val="26"/>
          <w:szCs w:val="26"/>
        </w:rPr>
        <w:t>в основном</w:t>
      </w:r>
      <w:r w:rsidR="00062F9E" w:rsidRPr="002C0F0D">
        <w:rPr>
          <w:sz w:val="26"/>
          <w:szCs w:val="26"/>
        </w:rPr>
        <w:t>,</w:t>
      </w:r>
      <w:r w:rsidR="001760FA" w:rsidRPr="002C0F0D">
        <w:rPr>
          <w:sz w:val="26"/>
          <w:szCs w:val="26"/>
        </w:rPr>
        <w:t xml:space="preserve"> осуществлялось банками –</w:t>
      </w:r>
      <w:r w:rsidR="002E0F0B" w:rsidRPr="002C0F0D">
        <w:rPr>
          <w:sz w:val="26"/>
          <w:szCs w:val="26"/>
        </w:rPr>
        <w:t xml:space="preserve"> </w:t>
      </w:r>
      <w:r w:rsidR="00ED40DF">
        <w:rPr>
          <w:sz w:val="26"/>
          <w:szCs w:val="26"/>
        </w:rPr>
        <w:t>2</w:t>
      </w:r>
      <w:r w:rsidR="00991ACE" w:rsidRPr="002C0F0D">
        <w:rPr>
          <w:sz w:val="26"/>
          <w:szCs w:val="26"/>
        </w:rPr>
        <w:t>,</w:t>
      </w:r>
      <w:r w:rsidR="00ED40DF">
        <w:rPr>
          <w:sz w:val="26"/>
          <w:szCs w:val="26"/>
        </w:rPr>
        <w:t>1</w:t>
      </w:r>
      <w:r w:rsidR="00991ACE" w:rsidRPr="002C0F0D">
        <w:rPr>
          <w:sz w:val="26"/>
          <w:szCs w:val="26"/>
        </w:rPr>
        <w:t xml:space="preserve"> мл</w:t>
      </w:r>
      <w:r w:rsidR="005E3DC2" w:rsidRPr="002C0F0D">
        <w:rPr>
          <w:sz w:val="26"/>
          <w:szCs w:val="26"/>
        </w:rPr>
        <w:t>рд</w:t>
      </w:r>
      <w:r w:rsidR="00991ACE" w:rsidRPr="002C0F0D">
        <w:rPr>
          <w:sz w:val="26"/>
          <w:szCs w:val="26"/>
        </w:rPr>
        <w:t>. долл.</w:t>
      </w:r>
      <w:r w:rsidR="001760FA" w:rsidRPr="002C0F0D">
        <w:rPr>
          <w:sz w:val="26"/>
          <w:szCs w:val="26"/>
        </w:rPr>
        <w:t>, предприятиями</w:t>
      </w:r>
      <w:r w:rsidR="003D3668" w:rsidRPr="002C0F0D">
        <w:rPr>
          <w:sz w:val="26"/>
          <w:szCs w:val="26"/>
        </w:rPr>
        <w:t xml:space="preserve"> нефтегазового и энергетического сектора – 20</w:t>
      </w:r>
      <w:r w:rsidR="00ED40DF">
        <w:rPr>
          <w:sz w:val="26"/>
          <w:szCs w:val="26"/>
        </w:rPr>
        <w:t>8</w:t>
      </w:r>
      <w:r w:rsidR="003D3668" w:rsidRPr="002C0F0D">
        <w:rPr>
          <w:sz w:val="26"/>
          <w:szCs w:val="26"/>
        </w:rPr>
        <w:t>,</w:t>
      </w:r>
      <w:r w:rsidR="00ED40DF">
        <w:rPr>
          <w:sz w:val="26"/>
          <w:szCs w:val="26"/>
        </w:rPr>
        <w:t>2</w:t>
      </w:r>
      <w:r w:rsidR="003D3668" w:rsidRPr="002C0F0D">
        <w:rPr>
          <w:sz w:val="26"/>
          <w:szCs w:val="26"/>
        </w:rPr>
        <w:t xml:space="preserve"> млн. долл.,</w:t>
      </w:r>
      <w:r w:rsidR="00BE1234" w:rsidRPr="002C0F0D">
        <w:rPr>
          <w:sz w:val="26"/>
          <w:szCs w:val="26"/>
        </w:rPr>
        <w:t xml:space="preserve"> предприятиями</w:t>
      </w:r>
      <w:r w:rsidR="00A54385" w:rsidRPr="002C0F0D">
        <w:rPr>
          <w:sz w:val="26"/>
          <w:szCs w:val="26"/>
        </w:rPr>
        <w:t xml:space="preserve"> текстильной отрасли – </w:t>
      </w:r>
      <w:r w:rsidR="00ED40DF">
        <w:rPr>
          <w:sz w:val="26"/>
          <w:szCs w:val="26"/>
          <w:lang w:val="uz-Cyrl-UZ"/>
        </w:rPr>
        <w:t>131</w:t>
      </w:r>
      <w:r w:rsidR="001760FA" w:rsidRPr="002C0F0D">
        <w:rPr>
          <w:sz w:val="26"/>
          <w:szCs w:val="26"/>
        </w:rPr>
        <w:t xml:space="preserve"> млн. долл. и</w:t>
      </w:r>
      <w:r w:rsidR="00BE1079" w:rsidRPr="002C0F0D">
        <w:rPr>
          <w:sz w:val="26"/>
          <w:szCs w:val="26"/>
        </w:rPr>
        <w:t xml:space="preserve"> </w:t>
      </w:r>
      <w:r w:rsidR="001760FA" w:rsidRPr="002C0F0D">
        <w:rPr>
          <w:sz w:val="26"/>
          <w:szCs w:val="26"/>
        </w:rPr>
        <w:t xml:space="preserve">предприятиями других секторов экономики – </w:t>
      </w:r>
      <w:r w:rsidR="00ED40DF">
        <w:rPr>
          <w:sz w:val="26"/>
          <w:szCs w:val="26"/>
        </w:rPr>
        <w:t>3</w:t>
      </w:r>
      <w:r w:rsidR="00A71DAA" w:rsidRPr="002C0F0D">
        <w:rPr>
          <w:sz w:val="26"/>
          <w:szCs w:val="26"/>
          <w:lang w:val="uz-Cyrl-UZ"/>
        </w:rPr>
        <w:t>91,</w:t>
      </w:r>
      <w:r w:rsidR="00ED40DF">
        <w:rPr>
          <w:sz w:val="26"/>
          <w:szCs w:val="26"/>
          <w:lang w:val="uz-Cyrl-UZ"/>
        </w:rPr>
        <w:t>2</w:t>
      </w:r>
      <w:r w:rsidR="001760FA" w:rsidRPr="002C0F0D">
        <w:rPr>
          <w:sz w:val="26"/>
          <w:szCs w:val="26"/>
        </w:rPr>
        <w:t xml:space="preserve"> млн</w:t>
      </w:r>
      <w:r w:rsidR="001760FA" w:rsidRPr="00FA6300">
        <w:rPr>
          <w:sz w:val="26"/>
          <w:szCs w:val="26"/>
        </w:rPr>
        <w:t xml:space="preserve">. долл. </w:t>
      </w:r>
      <w:r w:rsidR="006F6379" w:rsidRPr="00FA6300">
        <w:rPr>
          <w:color w:val="0070C0"/>
          <w:sz w:val="26"/>
          <w:szCs w:val="26"/>
        </w:rPr>
        <w:t xml:space="preserve">(Диаграмма </w:t>
      </w:r>
      <w:r w:rsidR="00393601">
        <w:rPr>
          <w:color w:val="0070C0"/>
          <w:sz w:val="26"/>
          <w:szCs w:val="26"/>
        </w:rPr>
        <w:t>18</w:t>
      </w:r>
      <w:r w:rsidR="005961A4" w:rsidRPr="00FA6300">
        <w:rPr>
          <w:color w:val="0070C0"/>
          <w:sz w:val="26"/>
          <w:szCs w:val="26"/>
        </w:rPr>
        <w:t>)</w:t>
      </w:r>
      <w:r w:rsidR="005961A4" w:rsidRPr="00FA6300">
        <w:rPr>
          <w:sz w:val="26"/>
          <w:szCs w:val="26"/>
        </w:rPr>
        <w:t>.</w:t>
      </w:r>
      <w:r w:rsidR="00697E05" w:rsidRPr="00697E05">
        <w:rPr>
          <w:noProof/>
        </w:rPr>
        <w:t xml:space="preserve"> </w:t>
      </w:r>
    </w:p>
    <w:p w:rsidR="00697E05" w:rsidRPr="002E0F0B" w:rsidRDefault="00697E05" w:rsidP="007E5962">
      <w:pPr>
        <w:spacing w:before="120" w:after="120" w:line="288" w:lineRule="auto"/>
        <w:ind w:right="6093" w:firstLine="709"/>
        <w:jc w:val="both"/>
        <w:rPr>
          <w:sz w:val="26"/>
          <w:szCs w:val="26"/>
        </w:rPr>
      </w:pPr>
    </w:p>
    <w:p w:rsidR="00963C46" w:rsidRPr="00E66D51" w:rsidRDefault="008B55B0" w:rsidP="00E66D51">
      <w:pPr>
        <w:spacing w:before="120" w:after="120" w:line="288" w:lineRule="auto"/>
        <w:ind w:firstLine="709"/>
        <w:jc w:val="both"/>
        <w:rPr>
          <w:sz w:val="26"/>
          <w:szCs w:val="26"/>
          <w:lang w:val="uz-Cyrl-UZ"/>
        </w:rPr>
      </w:pPr>
      <w:r w:rsidRPr="002E0F0B">
        <w:rPr>
          <w:sz w:val="26"/>
          <w:szCs w:val="26"/>
        </w:rPr>
        <w:br w:type="page"/>
      </w:r>
      <w:r w:rsidR="00B26DD1" w:rsidRPr="00B26DD1">
        <w:rPr>
          <w:noProof/>
        </w:rPr>
        <w:lastRenderedPageBreak/>
        <w:pict>
          <v:shape id="_x0000_s1033" type="#_x0000_t202" style="position:absolute;left:0;text-align:left;margin-left:217.45pt;margin-top:10.95pt;width:281.3pt;height:38.85pt;z-index:-251655680;visibility:visible;v-text-anchor:middle" wrapcoords="-58 0 -58 21185 21600 21185 21600 0 -5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GThwIAABk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" stroked="f">
            <v:textbox>
              <w:txbxContent>
                <w:p w:rsidR="00B36DE8" w:rsidRPr="00566CCC" w:rsidRDefault="00B36DE8" w:rsidP="00BE1079">
                  <w:pPr>
                    <w:pStyle w:val="aff8"/>
                    <w:spacing w:before="0" w:beforeAutospacing="0" w:after="0" w:afterAutospacing="0"/>
                    <w:ind w:firstLine="284"/>
                    <w:jc w:val="right"/>
                    <w:rPr>
                      <w:rFonts w:ascii="Calibri" w:hAnsi="Calibri" w:cs="Calibri"/>
                      <w:sz w:val="20"/>
                    </w:rPr>
                  </w:pPr>
                  <w:r w:rsidRPr="00566CCC">
                    <w:rPr>
                      <w:rFonts w:ascii="Calibri" w:hAnsi="Calibri" w:cs="Calibri"/>
                      <w:color w:val="000000"/>
                      <w:sz w:val="18"/>
                      <w:szCs w:val="22"/>
                    </w:rPr>
                    <w:t xml:space="preserve">Диаграмма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22"/>
                    </w:rPr>
                    <w:t>19</w:t>
                  </w:r>
                </w:p>
                <w:p w:rsidR="00B36DE8" w:rsidRDefault="00B36DE8" w:rsidP="00BE1079">
                  <w:pPr>
                    <w:pStyle w:val="aff8"/>
                    <w:spacing w:before="0" w:beforeAutospacing="0" w:after="0" w:afterAutospacing="0"/>
                    <w:ind w:firstLine="284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675892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2"/>
                    </w:rPr>
                    <w:t>Выплата основного долга по секторам экономики</w:t>
                  </w:r>
                </w:p>
                <w:p w:rsidR="00B36DE8" w:rsidRPr="00566CCC" w:rsidRDefault="00B36DE8" w:rsidP="00BE1079">
                  <w:pPr>
                    <w:pStyle w:val="aff8"/>
                    <w:spacing w:before="0" w:beforeAutospacing="0" w:after="0" w:afterAutospacing="0"/>
                    <w:ind w:firstLine="284"/>
                    <w:jc w:val="right"/>
                    <w:rPr>
                      <w:rFonts w:ascii="Calibri" w:hAnsi="Calibri" w:cs="Calibri"/>
                      <w:sz w:val="18"/>
                    </w:rPr>
                  </w:pPr>
                  <w:r w:rsidRPr="00566CCC"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  <w:t>(млн. долл.)</w:t>
                  </w:r>
                </w:p>
              </w:txbxContent>
            </v:textbox>
            <w10:wrap type="tight"/>
          </v:shape>
        </w:pict>
      </w:r>
      <w:r w:rsidR="00DC3EF6" w:rsidRPr="002C0F0D">
        <w:rPr>
          <w:sz w:val="26"/>
          <w:szCs w:val="26"/>
        </w:rPr>
        <w:t>Вместе с тем</w:t>
      </w:r>
      <w:r w:rsidR="001760FA" w:rsidRPr="002C0F0D">
        <w:rPr>
          <w:sz w:val="26"/>
          <w:szCs w:val="26"/>
        </w:rPr>
        <w:t xml:space="preserve">, за рассматриваемый период </w:t>
      </w:r>
      <w:r w:rsidR="009C0A6D" w:rsidRPr="002C0F0D">
        <w:rPr>
          <w:sz w:val="26"/>
          <w:szCs w:val="26"/>
        </w:rPr>
        <w:t xml:space="preserve">по </w:t>
      </w:r>
      <w:r w:rsidR="00F93174">
        <w:rPr>
          <w:noProof/>
          <w:sz w:val="26"/>
          <w:szCs w:val="26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694055</wp:posOffset>
            </wp:positionV>
            <wp:extent cx="3870960" cy="2557780"/>
            <wp:effectExtent l="0" t="0" r="0" b="0"/>
            <wp:wrapSquare wrapText="bothSides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55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A6D" w:rsidRPr="002C0F0D">
        <w:rPr>
          <w:sz w:val="26"/>
          <w:szCs w:val="26"/>
        </w:rPr>
        <w:t xml:space="preserve">государственному внешнему долгу погашение основного долга и процентов </w:t>
      </w:r>
      <w:r w:rsidR="008A6336" w:rsidRPr="002C0F0D">
        <w:rPr>
          <w:sz w:val="26"/>
          <w:szCs w:val="26"/>
        </w:rPr>
        <w:t xml:space="preserve">осуществлено </w:t>
      </w:r>
      <w:r w:rsidR="009C0A6D" w:rsidRPr="002C0F0D">
        <w:rPr>
          <w:sz w:val="26"/>
          <w:szCs w:val="26"/>
        </w:rPr>
        <w:t xml:space="preserve">на сумму </w:t>
      </w:r>
      <w:r w:rsidR="00FE6739">
        <w:rPr>
          <w:sz w:val="26"/>
          <w:szCs w:val="26"/>
        </w:rPr>
        <w:t>451,5</w:t>
      </w:r>
      <w:r w:rsidR="009C0A6D" w:rsidRPr="002C0F0D">
        <w:rPr>
          <w:sz w:val="26"/>
          <w:szCs w:val="26"/>
        </w:rPr>
        <w:t xml:space="preserve"> млн. долл. и </w:t>
      </w:r>
      <w:r w:rsidR="00FE6739">
        <w:rPr>
          <w:sz w:val="26"/>
          <w:szCs w:val="26"/>
        </w:rPr>
        <w:t>294,7</w:t>
      </w:r>
      <w:r w:rsidR="009C0A6D" w:rsidRPr="002E0F0B">
        <w:rPr>
          <w:sz w:val="26"/>
          <w:szCs w:val="26"/>
        </w:rPr>
        <w:t xml:space="preserve"> млн. долл. </w:t>
      </w:r>
      <w:r w:rsidR="00E66D51">
        <w:rPr>
          <w:sz w:val="26"/>
          <w:szCs w:val="26"/>
          <w:lang w:val="uz-Cyrl-UZ"/>
        </w:rPr>
        <w:t>с</w:t>
      </w:r>
      <w:r w:rsidR="009C0A6D" w:rsidRPr="002E0F0B">
        <w:rPr>
          <w:sz w:val="26"/>
          <w:szCs w:val="26"/>
        </w:rPr>
        <w:t>оотве</w:t>
      </w:r>
      <w:r w:rsidR="00852C18">
        <w:rPr>
          <w:sz w:val="26"/>
          <w:szCs w:val="26"/>
          <w:lang w:val="uz-Cyrl-UZ"/>
        </w:rPr>
        <w:t>т</w:t>
      </w:r>
      <w:r w:rsidR="009C0A6D" w:rsidRPr="002E0F0B">
        <w:rPr>
          <w:sz w:val="26"/>
          <w:szCs w:val="26"/>
        </w:rPr>
        <w:t>ственно</w:t>
      </w:r>
      <w:r w:rsidR="00E26AD0" w:rsidRPr="00E26AD0">
        <w:rPr>
          <w:sz w:val="26"/>
          <w:szCs w:val="26"/>
        </w:rPr>
        <w:t xml:space="preserve"> </w:t>
      </w:r>
      <w:r w:rsidR="00E26AD0">
        <w:rPr>
          <w:color w:val="0070C0"/>
          <w:sz w:val="26"/>
          <w:szCs w:val="26"/>
        </w:rPr>
        <w:t>(Диаграмма 19, 20</w:t>
      </w:r>
      <w:r w:rsidR="00E26AD0" w:rsidRPr="002E0F0B">
        <w:rPr>
          <w:color w:val="0070C0"/>
          <w:sz w:val="26"/>
          <w:szCs w:val="26"/>
        </w:rPr>
        <w:t>)</w:t>
      </w:r>
      <w:r w:rsidR="00E26AD0" w:rsidRPr="002E0F0B">
        <w:rPr>
          <w:sz w:val="26"/>
          <w:szCs w:val="26"/>
        </w:rPr>
        <w:t>.</w:t>
      </w:r>
    </w:p>
    <w:p w:rsidR="00143DE9" w:rsidRDefault="00071FB0" w:rsidP="00143DE9">
      <w:pPr>
        <w:spacing w:before="120" w:after="120" w:line="288" w:lineRule="auto"/>
        <w:ind w:firstLine="709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2455545</wp:posOffset>
            </wp:positionV>
            <wp:extent cx="3870960" cy="2588260"/>
            <wp:effectExtent l="0" t="0" r="0" b="2540"/>
            <wp:wrapSquare wrapText="bothSides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58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6DD1" w:rsidRPr="00B26DD1">
        <w:rPr>
          <w:rFonts w:cs="Arial"/>
          <w:noProof/>
        </w:rPr>
        <w:pict>
          <v:shape id="_x0000_s1034" type="#_x0000_t202" style="position:absolute;left:0;text-align:left;margin-left:217.7pt;margin-top:137.45pt;width:298.45pt;height:60.15pt;z-index:-251653632;visibility:visible;mso-position-horizontal-relative:text;mso-position-vertical-relative:text;v-text-anchor:middle" wrapcoords="-54 0 -54 21330 21600 21330 21600 0 -5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" stroked="f">
            <v:textbox>
              <w:txbxContent>
                <w:p w:rsidR="00B36DE8" w:rsidRPr="00566CCC" w:rsidRDefault="00B36DE8" w:rsidP="00BE1079">
                  <w:pPr>
                    <w:pStyle w:val="aff8"/>
                    <w:spacing w:before="0" w:beforeAutospacing="0" w:after="0" w:afterAutospacing="0"/>
                    <w:ind w:firstLine="284"/>
                    <w:jc w:val="right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22"/>
                    </w:rPr>
                    <w:t>Диаграмма 20</w:t>
                  </w:r>
                </w:p>
                <w:p w:rsidR="00B36DE8" w:rsidRDefault="00B36DE8" w:rsidP="00BE1079">
                  <w:pPr>
                    <w:pStyle w:val="aff8"/>
                    <w:spacing w:before="0" w:beforeAutospacing="0" w:after="0" w:afterAutospacing="0"/>
                    <w:ind w:firstLine="284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2"/>
                    </w:rPr>
                  </w:pPr>
                  <w:r w:rsidRPr="00675892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2"/>
                    </w:rPr>
                    <w:t>Выплата процентов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2"/>
                    </w:rPr>
                    <w:t xml:space="preserve"> </w:t>
                  </w:r>
                  <w:r w:rsidRPr="00675892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2"/>
                    </w:rPr>
                    <w:t>по секторам экономики</w:t>
                  </w:r>
                </w:p>
                <w:p w:rsidR="00B36DE8" w:rsidRPr="00566CCC" w:rsidRDefault="00B36DE8" w:rsidP="00BE1079">
                  <w:pPr>
                    <w:pStyle w:val="aff8"/>
                    <w:spacing w:before="0" w:beforeAutospacing="0" w:after="0" w:afterAutospacing="0"/>
                    <w:ind w:firstLine="284"/>
                    <w:jc w:val="right"/>
                    <w:rPr>
                      <w:rFonts w:ascii="Calibri" w:hAnsi="Calibri" w:cs="Calibri"/>
                      <w:sz w:val="18"/>
                    </w:rPr>
                  </w:pPr>
                  <w:r w:rsidRPr="00566CCC"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  <w:t>(млн. долл.)</w:t>
                  </w:r>
                </w:p>
              </w:txbxContent>
            </v:textbox>
            <w10:wrap type="tight"/>
          </v:shape>
        </w:pict>
      </w:r>
      <w:r w:rsidR="009C0A6D" w:rsidRPr="002C0F0D">
        <w:rPr>
          <w:sz w:val="26"/>
          <w:szCs w:val="26"/>
        </w:rPr>
        <w:t xml:space="preserve">Выплаты </w:t>
      </w:r>
      <w:r w:rsidR="001760FA" w:rsidRPr="002C0F0D">
        <w:rPr>
          <w:sz w:val="26"/>
          <w:szCs w:val="26"/>
        </w:rPr>
        <w:t xml:space="preserve">по частному внешнему долгу </w:t>
      </w:r>
      <w:r w:rsidR="009C0A6D" w:rsidRPr="002C0F0D">
        <w:rPr>
          <w:sz w:val="26"/>
          <w:szCs w:val="26"/>
        </w:rPr>
        <w:t>составили</w:t>
      </w:r>
      <w:r w:rsidR="001760FA" w:rsidRPr="002C0F0D">
        <w:rPr>
          <w:sz w:val="26"/>
          <w:szCs w:val="26"/>
        </w:rPr>
        <w:t xml:space="preserve"> </w:t>
      </w:r>
      <w:r w:rsidR="00963C46" w:rsidRPr="002C0F0D">
        <w:rPr>
          <w:sz w:val="26"/>
          <w:szCs w:val="26"/>
        </w:rPr>
        <w:br/>
      </w:r>
      <w:r w:rsidR="00C30B0C" w:rsidRPr="002C0F0D">
        <w:rPr>
          <w:sz w:val="26"/>
          <w:szCs w:val="26"/>
        </w:rPr>
        <w:t>1,</w:t>
      </w:r>
      <w:r w:rsidR="00FE6739">
        <w:rPr>
          <w:sz w:val="26"/>
          <w:szCs w:val="26"/>
        </w:rPr>
        <w:t>5</w:t>
      </w:r>
      <w:r w:rsidR="001760FA" w:rsidRPr="002C0F0D">
        <w:rPr>
          <w:sz w:val="26"/>
          <w:szCs w:val="26"/>
        </w:rPr>
        <w:t xml:space="preserve"> мл</w:t>
      </w:r>
      <w:r w:rsidR="00C30B0C" w:rsidRPr="002C0F0D">
        <w:rPr>
          <w:sz w:val="26"/>
          <w:szCs w:val="26"/>
        </w:rPr>
        <w:t>рд</w:t>
      </w:r>
      <w:r w:rsidR="001760FA" w:rsidRPr="002C0F0D">
        <w:rPr>
          <w:sz w:val="26"/>
          <w:szCs w:val="26"/>
        </w:rPr>
        <w:t>. долл.</w:t>
      </w:r>
      <w:r w:rsidR="009C0A6D" w:rsidRPr="002C0F0D">
        <w:rPr>
          <w:sz w:val="26"/>
          <w:szCs w:val="26"/>
        </w:rPr>
        <w:t xml:space="preserve"> по основному долгу</w:t>
      </w:r>
      <w:r w:rsidR="001760FA" w:rsidRPr="002C0F0D">
        <w:rPr>
          <w:sz w:val="26"/>
          <w:szCs w:val="26"/>
        </w:rPr>
        <w:t xml:space="preserve"> и </w:t>
      </w:r>
      <w:r w:rsidR="00FE6739">
        <w:rPr>
          <w:sz w:val="26"/>
          <w:szCs w:val="26"/>
        </w:rPr>
        <w:t>411,8</w:t>
      </w:r>
      <w:r w:rsidR="001760FA" w:rsidRPr="002C0F0D">
        <w:rPr>
          <w:sz w:val="26"/>
          <w:szCs w:val="26"/>
        </w:rPr>
        <w:t xml:space="preserve"> млн. долл.</w:t>
      </w:r>
      <w:r w:rsidR="009C0A6D" w:rsidRPr="002C0F0D">
        <w:rPr>
          <w:sz w:val="26"/>
          <w:szCs w:val="26"/>
        </w:rPr>
        <w:t xml:space="preserve"> по процентам.</w:t>
      </w:r>
      <w:r w:rsidR="00963C46" w:rsidRPr="002E0F0B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1760FA" w:rsidRPr="002E0F0B">
        <w:rPr>
          <w:sz w:val="26"/>
          <w:szCs w:val="26"/>
        </w:rPr>
        <w:t>При этом,</w:t>
      </w:r>
      <w:r w:rsidR="00963C46" w:rsidRPr="002E0F0B">
        <w:rPr>
          <w:sz w:val="26"/>
          <w:szCs w:val="26"/>
        </w:rPr>
        <w:t xml:space="preserve"> предприятия</w:t>
      </w:r>
      <w:r w:rsidR="001760FA" w:rsidRPr="002E0F0B">
        <w:rPr>
          <w:sz w:val="26"/>
          <w:szCs w:val="26"/>
        </w:rPr>
        <w:t xml:space="preserve"> </w:t>
      </w:r>
      <w:r w:rsidR="00963C46" w:rsidRPr="002E0F0B">
        <w:rPr>
          <w:sz w:val="26"/>
          <w:szCs w:val="26"/>
        </w:rPr>
        <w:t xml:space="preserve">нефтегазового и энергетического, </w:t>
      </w:r>
      <w:r w:rsidR="00EC6C2A">
        <w:rPr>
          <w:sz w:val="26"/>
          <w:szCs w:val="26"/>
        </w:rPr>
        <w:br/>
      </w:r>
      <w:r w:rsidR="00963C46" w:rsidRPr="002E0F0B">
        <w:rPr>
          <w:sz w:val="26"/>
          <w:szCs w:val="26"/>
        </w:rPr>
        <w:t>а та</w:t>
      </w:r>
      <w:r>
        <w:rPr>
          <w:sz w:val="26"/>
          <w:szCs w:val="26"/>
        </w:rPr>
        <w:t>кже банковского секторов продол</w:t>
      </w:r>
      <w:r w:rsidR="00963C46" w:rsidRPr="002E0F0B">
        <w:rPr>
          <w:sz w:val="26"/>
          <w:szCs w:val="26"/>
        </w:rPr>
        <w:t>жают осуществлят</w:t>
      </w:r>
      <w:r w:rsidR="007B331D" w:rsidRPr="002E0F0B">
        <w:rPr>
          <w:sz w:val="26"/>
          <w:szCs w:val="26"/>
        </w:rPr>
        <w:t>ь</w:t>
      </w:r>
      <w:r w:rsidR="00963C46" w:rsidRPr="002E0F0B">
        <w:rPr>
          <w:sz w:val="26"/>
          <w:szCs w:val="26"/>
        </w:rPr>
        <w:t xml:space="preserve"> наибольший объём платежей как по основному долгу, так и по процентам </w:t>
      </w:r>
      <w:r w:rsidR="006F6379">
        <w:rPr>
          <w:color w:val="0070C0"/>
          <w:sz w:val="26"/>
          <w:szCs w:val="26"/>
        </w:rPr>
        <w:t xml:space="preserve">(Диаграмма </w:t>
      </w:r>
      <w:r w:rsidR="00393601">
        <w:rPr>
          <w:color w:val="0070C0"/>
          <w:sz w:val="26"/>
          <w:szCs w:val="26"/>
        </w:rPr>
        <w:t>19</w:t>
      </w:r>
      <w:r w:rsidR="00FF00A1">
        <w:rPr>
          <w:color w:val="0070C0"/>
          <w:sz w:val="26"/>
          <w:szCs w:val="26"/>
        </w:rPr>
        <w:t>, 2</w:t>
      </w:r>
      <w:r w:rsidR="00393601">
        <w:rPr>
          <w:color w:val="0070C0"/>
          <w:sz w:val="26"/>
          <w:szCs w:val="26"/>
        </w:rPr>
        <w:t>0</w:t>
      </w:r>
      <w:r w:rsidR="005961A4" w:rsidRPr="002E0F0B">
        <w:rPr>
          <w:color w:val="0070C0"/>
          <w:sz w:val="26"/>
          <w:szCs w:val="26"/>
        </w:rPr>
        <w:t>)</w:t>
      </w:r>
      <w:r w:rsidR="005961A4" w:rsidRPr="002E0F0B">
        <w:rPr>
          <w:sz w:val="26"/>
          <w:szCs w:val="26"/>
        </w:rPr>
        <w:t>.</w:t>
      </w:r>
      <w:r w:rsidR="00FB22DC" w:rsidRPr="00FB22DC">
        <w:rPr>
          <w:noProof/>
        </w:rPr>
        <w:t xml:space="preserve"> </w:t>
      </w:r>
    </w:p>
    <w:p w:rsidR="005D446E" w:rsidRPr="0024023E" w:rsidRDefault="007E6EBB" w:rsidP="0024023E">
      <w:pPr>
        <w:spacing w:before="120" w:after="120" w:line="288" w:lineRule="auto"/>
        <w:ind w:firstLine="709"/>
        <w:jc w:val="both"/>
        <w:rPr>
          <w:sz w:val="26"/>
          <w:szCs w:val="26"/>
        </w:rPr>
      </w:pPr>
      <w:r w:rsidRPr="002E0F0B">
        <w:rPr>
          <w:sz w:val="26"/>
          <w:szCs w:val="26"/>
        </w:rPr>
        <w:t xml:space="preserve">В </w:t>
      </w:r>
      <w:r w:rsidRPr="002E0F0B">
        <w:rPr>
          <w:i/>
          <w:sz w:val="26"/>
          <w:szCs w:val="26"/>
        </w:rPr>
        <w:t xml:space="preserve">приложениях </w:t>
      </w:r>
      <w:r w:rsidR="00E44E31" w:rsidRPr="002E0F0B">
        <w:rPr>
          <w:i/>
          <w:sz w:val="26"/>
          <w:szCs w:val="26"/>
        </w:rPr>
        <w:t>13</w:t>
      </w:r>
      <w:r w:rsidRPr="002E0F0B">
        <w:rPr>
          <w:i/>
          <w:sz w:val="26"/>
          <w:szCs w:val="26"/>
        </w:rPr>
        <w:t>.1-</w:t>
      </w:r>
      <w:r w:rsidR="00E44E31" w:rsidRPr="002E0F0B">
        <w:rPr>
          <w:i/>
          <w:sz w:val="26"/>
          <w:szCs w:val="26"/>
        </w:rPr>
        <w:t>13</w:t>
      </w:r>
      <w:r w:rsidRPr="002E0F0B">
        <w:rPr>
          <w:i/>
          <w:sz w:val="26"/>
          <w:szCs w:val="26"/>
        </w:rPr>
        <w:t>.8</w:t>
      </w:r>
      <w:r w:rsidR="00EC18AE">
        <w:rPr>
          <w:sz w:val="26"/>
          <w:szCs w:val="26"/>
        </w:rPr>
        <w:t xml:space="preserve"> представляются данные </w:t>
      </w:r>
      <w:r w:rsidRPr="002E0F0B">
        <w:rPr>
          <w:sz w:val="26"/>
          <w:szCs w:val="26"/>
        </w:rPr>
        <w:t>о поступлении и погашении частного внешнего долга за</w:t>
      </w:r>
      <w:r w:rsidR="000B5D3C" w:rsidRPr="002E0F0B">
        <w:rPr>
          <w:sz w:val="26"/>
          <w:szCs w:val="26"/>
        </w:rPr>
        <w:t xml:space="preserve"> </w:t>
      </w:r>
      <w:r w:rsidRPr="002E0F0B">
        <w:rPr>
          <w:sz w:val="26"/>
          <w:szCs w:val="26"/>
        </w:rPr>
        <w:t>201</w:t>
      </w:r>
      <w:r w:rsidR="000B5D3C" w:rsidRPr="002E0F0B">
        <w:rPr>
          <w:sz w:val="26"/>
          <w:szCs w:val="26"/>
        </w:rPr>
        <w:t>9</w:t>
      </w:r>
      <w:r w:rsidRPr="002E0F0B">
        <w:rPr>
          <w:sz w:val="26"/>
          <w:szCs w:val="26"/>
        </w:rPr>
        <w:t xml:space="preserve"> год, а также прогнозы погашения основного долга и процентов по частному внешнему долгу по типам кредиторов и заёмщиков в соответствии с системой </w:t>
      </w:r>
      <w:r w:rsidR="00776305" w:rsidRPr="002E0F0B">
        <w:rPr>
          <w:sz w:val="26"/>
          <w:szCs w:val="26"/>
        </w:rPr>
        <w:t xml:space="preserve">международной </w:t>
      </w:r>
      <w:r w:rsidRPr="002E0F0B">
        <w:rPr>
          <w:sz w:val="26"/>
          <w:szCs w:val="26"/>
        </w:rPr>
        <w:t>отчётности.</w:t>
      </w:r>
    </w:p>
    <w:p w:rsidR="00EC18AE" w:rsidRPr="001E0A02" w:rsidRDefault="00EC18AE" w:rsidP="000F2DF8">
      <w:pPr>
        <w:jc w:val="right"/>
        <w:rPr>
          <w:rFonts w:cs="Arial"/>
        </w:rPr>
        <w:sectPr w:rsidR="00EC18AE" w:rsidRPr="001E0A02" w:rsidSect="00BD35FE">
          <w:pgSz w:w="11906" w:h="16838" w:code="9"/>
          <w:pgMar w:top="1134" w:right="851" w:bottom="851" w:left="1134" w:header="709" w:footer="0" w:gutter="0"/>
          <w:cols w:space="708"/>
          <w:titlePg/>
          <w:docGrid w:linePitch="360"/>
        </w:sectPr>
      </w:pPr>
    </w:p>
    <w:p w:rsidR="000F2DF8" w:rsidRPr="001011D6" w:rsidRDefault="000F2DF8" w:rsidP="006A21C0">
      <w:pPr>
        <w:jc w:val="right"/>
        <w:rPr>
          <w:i/>
          <w:sz w:val="22"/>
          <w:szCs w:val="22"/>
        </w:rPr>
      </w:pPr>
      <w:r w:rsidRPr="001011D6">
        <w:rPr>
          <w:i/>
          <w:sz w:val="22"/>
          <w:szCs w:val="22"/>
        </w:rPr>
        <w:lastRenderedPageBreak/>
        <w:t>Приложение 1</w:t>
      </w:r>
    </w:p>
    <w:p w:rsidR="005C57F8" w:rsidRPr="001011D6" w:rsidRDefault="005C57F8" w:rsidP="005C57F8">
      <w:pPr>
        <w:pStyle w:val="1"/>
        <w:spacing w:before="0" w:after="0"/>
        <w:ind w:left="196"/>
        <w:jc w:val="center"/>
        <w:rPr>
          <w:rFonts w:ascii="Calibri" w:hAnsi="Calibri"/>
          <w:sz w:val="24"/>
          <w:szCs w:val="24"/>
          <w:lang w:val="ru-RU" w:eastAsia="ru-RU"/>
        </w:rPr>
      </w:pPr>
      <w:bookmarkStart w:id="21" w:name="_Toc35458618"/>
      <w:r w:rsidRPr="001011D6">
        <w:rPr>
          <w:rFonts w:ascii="Calibri" w:hAnsi="Calibri"/>
          <w:sz w:val="24"/>
          <w:szCs w:val="24"/>
          <w:lang w:val="ru-RU" w:eastAsia="ru-RU"/>
        </w:rPr>
        <w:t>ПЛАТЁЖНЫЙ БАЛАНС ЗА 201</w:t>
      </w:r>
      <w:r w:rsidR="00680DC1" w:rsidRPr="001011D6">
        <w:rPr>
          <w:rFonts w:ascii="Calibri" w:hAnsi="Calibri"/>
          <w:sz w:val="24"/>
          <w:szCs w:val="24"/>
          <w:lang w:val="ru-RU" w:eastAsia="ru-RU"/>
        </w:rPr>
        <w:t>4</w:t>
      </w:r>
      <w:r w:rsidR="00FF4AB6" w:rsidRPr="001011D6">
        <w:rPr>
          <w:rFonts w:ascii="Calibri" w:hAnsi="Calibri"/>
          <w:sz w:val="24"/>
          <w:szCs w:val="24"/>
          <w:lang w:val="ru-RU" w:eastAsia="ru-RU"/>
        </w:rPr>
        <w:t xml:space="preserve"> -</w:t>
      </w:r>
      <w:r w:rsidR="00A00BB4">
        <w:rPr>
          <w:rFonts w:ascii="Calibri" w:hAnsi="Calibri"/>
          <w:sz w:val="24"/>
          <w:szCs w:val="24"/>
          <w:lang w:val="ru-RU" w:eastAsia="ru-RU"/>
        </w:rPr>
        <w:t xml:space="preserve"> 2019 ГГ.</w:t>
      </w:r>
      <w:bookmarkEnd w:id="21"/>
    </w:p>
    <w:p w:rsidR="000A06CA" w:rsidRPr="001011D6" w:rsidRDefault="005C57F8" w:rsidP="005C57F8">
      <w:pPr>
        <w:jc w:val="center"/>
        <w:rPr>
          <w:sz w:val="22"/>
          <w:szCs w:val="22"/>
        </w:rPr>
      </w:pPr>
      <w:r w:rsidRPr="001011D6">
        <w:rPr>
          <w:rFonts w:cs="Calibri"/>
          <w:sz w:val="22"/>
          <w:szCs w:val="22"/>
        </w:rPr>
        <w:t>(аналитическое представление)</w:t>
      </w:r>
    </w:p>
    <w:p w:rsidR="000A06CA" w:rsidRPr="001011D6" w:rsidRDefault="005C57F8" w:rsidP="00FF4AB6">
      <w:pPr>
        <w:ind w:right="-31"/>
        <w:jc w:val="right"/>
        <w:rPr>
          <w:sz w:val="18"/>
          <w:szCs w:val="18"/>
        </w:rPr>
      </w:pPr>
      <w:r w:rsidRPr="001011D6">
        <w:rPr>
          <w:bCs/>
          <w:i/>
          <w:color w:val="000000"/>
          <w:sz w:val="18"/>
          <w:szCs w:val="18"/>
          <w:lang w:val="en-US"/>
        </w:rPr>
        <w:t>(</w:t>
      </w:r>
      <w:r w:rsidRPr="001011D6">
        <w:rPr>
          <w:bCs/>
          <w:i/>
          <w:color w:val="000000"/>
          <w:sz w:val="18"/>
          <w:szCs w:val="18"/>
        </w:rPr>
        <w:t>млн. долл.</w:t>
      </w:r>
      <w:r w:rsidRPr="001011D6">
        <w:rPr>
          <w:bCs/>
          <w:i/>
          <w:color w:val="000000"/>
          <w:sz w:val="18"/>
          <w:szCs w:val="18"/>
          <w:lang w:val="en-US"/>
        </w:rPr>
        <w:t>)</w:t>
      </w:r>
    </w:p>
    <w:tbl>
      <w:tblPr>
        <w:tblW w:w="15055" w:type="dxa"/>
        <w:tblLook w:val="04A0"/>
      </w:tblPr>
      <w:tblGrid>
        <w:gridCol w:w="3256"/>
        <w:gridCol w:w="934"/>
        <w:gridCol w:w="823"/>
        <w:gridCol w:w="824"/>
        <w:gridCol w:w="823"/>
        <w:gridCol w:w="824"/>
        <w:gridCol w:w="823"/>
        <w:gridCol w:w="824"/>
        <w:gridCol w:w="823"/>
        <w:gridCol w:w="828"/>
        <w:gridCol w:w="978"/>
        <w:gridCol w:w="824"/>
        <w:gridCol w:w="823"/>
        <w:gridCol w:w="824"/>
        <w:gridCol w:w="824"/>
      </w:tblGrid>
      <w:tr w:rsidR="005C57F8" w:rsidRPr="005C57F8" w:rsidTr="005C57F8">
        <w:trPr>
          <w:trHeight w:val="23"/>
          <w:tblHeader/>
        </w:trPr>
        <w:tc>
          <w:tcPr>
            <w:tcW w:w="3256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5C57F8" w:rsidRPr="005C57F8" w:rsidRDefault="005C57F8" w:rsidP="005C57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Статьи</w:t>
            </w:r>
          </w:p>
        </w:tc>
        <w:tc>
          <w:tcPr>
            <w:tcW w:w="934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C57F8" w:rsidRPr="005C57F8" w:rsidRDefault="005C57F8" w:rsidP="005C57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23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C57F8" w:rsidRPr="005C57F8" w:rsidRDefault="005C57F8" w:rsidP="005C57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24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C57F8" w:rsidRPr="005C57F8" w:rsidRDefault="005C57F8" w:rsidP="005C57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23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C57F8" w:rsidRPr="005C57F8" w:rsidRDefault="005C57F8" w:rsidP="005C57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24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C57F8" w:rsidRPr="005C57F8" w:rsidRDefault="005C57F8" w:rsidP="005C57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298" w:type="dxa"/>
            <w:gridSpan w:val="4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C57F8" w:rsidRPr="005C57F8" w:rsidRDefault="005C57F8" w:rsidP="005C57F8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uz-Cyrl-UZ"/>
              </w:rPr>
              <w:t>2018</w:t>
            </w:r>
            <w:r w:rsidRPr="005C57F8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vMerge w:val="restart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C57F8" w:rsidRPr="005C57F8" w:rsidRDefault="005C57F8" w:rsidP="005C57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295" w:type="dxa"/>
            <w:gridSpan w:val="4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C57F8" w:rsidRPr="005C57F8" w:rsidRDefault="005C57F8" w:rsidP="005C57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uz-Cyrl-UZ"/>
              </w:rPr>
              <w:t>2019</w:t>
            </w:r>
            <w:r w:rsidRPr="005C57F8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 </w:t>
            </w:r>
          </w:p>
        </w:tc>
      </w:tr>
      <w:tr w:rsidR="005C57F8" w:rsidRPr="005C57F8" w:rsidTr="005C57F8">
        <w:trPr>
          <w:trHeight w:val="23"/>
          <w:tblHeader/>
        </w:trPr>
        <w:tc>
          <w:tcPr>
            <w:tcW w:w="3256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5C57F8" w:rsidRPr="005C57F8" w:rsidRDefault="005C57F8" w:rsidP="005C57F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5C57F8" w:rsidRPr="005C57F8" w:rsidRDefault="005C57F8" w:rsidP="005C57F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5C57F8" w:rsidRPr="005C57F8" w:rsidRDefault="005C57F8" w:rsidP="005C57F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5C57F8" w:rsidRPr="005C57F8" w:rsidRDefault="005C57F8" w:rsidP="005C57F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5C57F8" w:rsidRPr="005C57F8" w:rsidRDefault="005C57F8" w:rsidP="005C57F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5C57F8" w:rsidRPr="005C57F8" w:rsidRDefault="005C57F8" w:rsidP="005C57F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C57F8" w:rsidRPr="005C57F8" w:rsidRDefault="005C57F8" w:rsidP="005C57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 кв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C57F8" w:rsidRPr="005C57F8" w:rsidRDefault="005C57F8" w:rsidP="005C57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II кв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C57F8" w:rsidRPr="005C57F8" w:rsidRDefault="005C57F8" w:rsidP="005C57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III кв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C57F8" w:rsidRPr="005C57F8" w:rsidRDefault="005C57F8" w:rsidP="005C57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IV кв</w:t>
            </w:r>
          </w:p>
        </w:tc>
        <w:tc>
          <w:tcPr>
            <w:tcW w:w="978" w:type="dxa"/>
            <w:vMerge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5C57F8" w:rsidRPr="005C57F8" w:rsidRDefault="005C57F8" w:rsidP="005C57F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C57F8" w:rsidRPr="005C57F8" w:rsidRDefault="005C57F8" w:rsidP="005C57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 кв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C57F8" w:rsidRPr="005C57F8" w:rsidRDefault="005C57F8" w:rsidP="005C57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II кв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C57F8" w:rsidRPr="005C57F8" w:rsidRDefault="005C57F8" w:rsidP="005C57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III кв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5C57F8" w:rsidRPr="005C57F8" w:rsidRDefault="005C57F8" w:rsidP="005C57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IV кв</w:t>
            </w:r>
          </w:p>
        </w:tc>
      </w:tr>
      <w:tr w:rsidR="00310351" w:rsidRPr="005C57F8" w:rsidTr="00941E79">
        <w:trPr>
          <w:trHeight w:val="312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5C57F8" w:rsidRDefault="00310351" w:rsidP="00310351">
            <w:pPr>
              <w:ind w:left="16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I. Сальдо счета текущих операций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2 518,5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1 071,0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292,3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1 475,9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-3 593,5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-225,7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-1 374,8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-1 546,6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-446,5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-3 245,8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-1 055,1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-711,2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-1 512,0</w:t>
            </w:r>
          </w:p>
        </w:tc>
      </w:tr>
      <w:tr w:rsidR="00310351" w:rsidRPr="005C57F8" w:rsidTr="00941E79">
        <w:trPr>
          <w:trHeight w:val="312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Товары, кредит (экспорт)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10 556,2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9 481,5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8 645,2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10 161,5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11 385,6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2 957,0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2 350,8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1 976,5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4 101,3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13 898,6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3 045,0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3 414,1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4 146,6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3 292,9</w:t>
            </w:r>
          </w:p>
        </w:tc>
      </w:tr>
      <w:tr w:rsidR="00310351" w:rsidRPr="005C57F8" w:rsidTr="00941E79">
        <w:trPr>
          <w:trHeight w:val="312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Товары, дебет (импорт)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13 514,1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11 576,0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11 037,3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12 377,3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18 252,4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3 727,9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4 519,7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4 488,9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5 516,0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21 206,6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4 747,0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5 294,7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5 535,3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5 629,6</w:t>
            </w:r>
          </w:p>
        </w:tc>
      </w:tr>
      <w:tr w:rsidR="00310351" w:rsidRPr="005C57F8" w:rsidTr="00941E79">
        <w:trPr>
          <w:trHeight w:val="312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941E79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Сальдо товаров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-2 957,9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-2 094,5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-2 392,1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-2 215,8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-6 866,9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-770,9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-2 168,9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-2 512,4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-1 414,7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-7 308,0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-1 701,9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-1 880,6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-1 388,7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-2 336,7</w:t>
            </w:r>
          </w:p>
        </w:tc>
      </w:tr>
      <w:tr w:rsidR="00310351" w:rsidRPr="005C57F8" w:rsidTr="00941E79">
        <w:trPr>
          <w:trHeight w:val="312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Услуги, кредит (экспорт)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2 360,8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2 357,4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1 904,7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2 250,7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2 749,5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572,8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687,5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750,8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3 095,1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636,1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788,6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849,6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820,8</w:t>
            </w:r>
          </w:p>
        </w:tc>
      </w:tr>
      <w:tr w:rsidR="00310351" w:rsidRPr="005C57F8" w:rsidTr="00941E79">
        <w:trPr>
          <w:trHeight w:val="312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Услуги, дебет (импорт)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2 888,5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3 093,3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3 443,7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4 092,8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5 191,1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1 142,6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1 249,2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1 417,3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1 382,0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5 360,9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1 190,2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1 311,0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1 456,9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1 402,7</w:t>
            </w:r>
          </w:p>
        </w:tc>
      </w:tr>
      <w:tr w:rsidR="00310351" w:rsidRPr="005C57F8" w:rsidTr="00941E79">
        <w:trPr>
          <w:trHeight w:val="312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941E79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Сальдо товаров и услуг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-3 485,6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-2 830,3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-3 931,1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-4 057,9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-9 308,4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-1 340,7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-2 730,6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-3 178,9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-2 058,2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-9 573,8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-2 256,0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-2 403,0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-1 996,0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-2 918,7</w:t>
            </w:r>
          </w:p>
        </w:tc>
      </w:tr>
      <w:tr w:rsidR="00310351" w:rsidRPr="005C57F8" w:rsidTr="00941E79">
        <w:trPr>
          <w:trHeight w:val="312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Первичные доходы, кредит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1 623,0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2 022,7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2 210,4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2 597,5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3 185,1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685,9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830,8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872,2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2 953,5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759,5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789,0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746,8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658,3</w:t>
            </w:r>
          </w:p>
        </w:tc>
      </w:tr>
      <w:tr w:rsidR="00310351" w:rsidRPr="005C57F8" w:rsidTr="00941E79">
        <w:trPr>
          <w:trHeight w:val="312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Первичные доходы, дебет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509,2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599,2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1 278,9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1 386,7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1 677,9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371,6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485,6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2 080,1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396,4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432,6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829,8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941E79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Сальдо товаров, услуг 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br/>
            </w: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и первичных доходов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-2 371,8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-1 406,8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-2 999,6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-2 847,0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-7 801,2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-1 026,4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-2 385,4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-2 789,3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-1 600,1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-8 700,4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-1 917,8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-2 010,5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-1 681,9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-3 090,3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Вторичные доходы, кредит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5 237,6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2 874,0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3 727,2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4 816,1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4 822,9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937,1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1 167,6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1 404,5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1 313,7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6 040,3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1 007,4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1 448,1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1 857,6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1 727,1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Вторичные доходы, дебет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347,3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396,2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435,4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493,1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615,2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136,3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161,8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585,7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144,7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143,3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148,8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5C57F8" w:rsidRDefault="00310351" w:rsidP="00310351">
            <w:pPr>
              <w:ind w:left="16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II. Счет операций с капиталом </w:t>
            </w:r>
            <w:r w:rsidRPr="00680DC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5C57F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(за исключением резервов)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143,0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69,7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135,1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77,1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7,1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Счет операций с капиталом, кредит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145,7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135,1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7,1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Счет операций с капиталом, дебет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941E79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Сальдо счета операций с капиталом 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br/>
            </w: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и счёта текущих операций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2 518,5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1 071,0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305,9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1 575,7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-3 450,5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-197,5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-1 369,6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-1 476,9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-406,5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-2 991,8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-920,0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-676,6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109,6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-1 504,8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5C57F8" w:rsidRDefault="00310351" w:rsidP="00310351">
            <w:pPr>
              <w:ind w:left="16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III. Финансовый счет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-1 084,3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-1 137,0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123,4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-571,0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-1 411,3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-412,2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-145,9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-154,7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-698,6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-7 857,7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-2 206,1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-2 241,3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-1 190,0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-2 220,1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Прямые инвестиции, активы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0,6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941E79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Инструменты участия в капитале 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br/>
            </w: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и паи/акции инвестиционных фондов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941E79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Долговые инструменты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0,6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Прямые инвестиции, обязательства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808,7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1 041,2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1 662,6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1 797,3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624,7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427,9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127,8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2 286,3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221,3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832,1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437,8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795,1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941E79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Инструменты участия в капитале 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br/>
            </w: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и паи/акции инвестиционных фондов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803,7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1 047,2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1 129,5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1 913,8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639,2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403,8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2 117,6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203,8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783,3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382,8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747,8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941E79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lastRenderedPageBreak/>
              <w:t>Долговые инструменты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-6,0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533,1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-116,5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-14,5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-69,9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168,7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47,4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Портфельные инвестиции, активы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941E79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Инструменты участия в капитале 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br/>
            </w: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и паи/акции инвестиционных фондов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941E79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Долговые инструменты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Портфельные инвестиции, обязательства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1 345,7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1 009,7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-8,9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319,5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941E79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Инструменты участия в капитале 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br/>
            </w: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и паи/акции инвестиционных фондов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8,6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941E79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Долговые инструменты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1 316,5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1 005,6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-12,7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310,9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Производные финансовые инструменты (кроме резервов)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1,8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941E79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Производные финансовые инструменты, активы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941E79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Производные финансовые инструменты, обязательства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-4,3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-0,4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-0,3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-1,8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Прочие инвестиции, активы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1 693,2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1 479,1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3 015,7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2 822,7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1 548,4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-14,9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261,8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1 738,3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-8,9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309,7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1 373,1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941E79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Прочие инструменты участия 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br/>
            </w: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в капитале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941E79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Долговые инструменты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1 693,2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1 479,1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3 015,7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2 822,7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1 548,4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-14,9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261,8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1 738,0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-8,9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309,7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1 373,1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Прочие инвестиции, обязательства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1 971,5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1 578,8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1 233,5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1 602,2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2 325,1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-31,7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407,1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622,5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1 327,2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5 970,7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967,4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1 695,8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826,5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2 481,0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941E79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Прочие инструменты участия 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br/>
            </w: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в капитале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941E79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Долговые инструменты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1 971,5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1 578,8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1 233,5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1 602,2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2 325,1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-31,7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407,1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622,5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1 327,2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5 970,7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967,4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1 695,8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826,5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2 481,0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941E79">
            <w:pPr>
              <w:ind w:left="306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Сальдо счета текущих операций, операций с капиталом и финансового счета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3 602,8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2 208,0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182,5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2 146,6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-2 039,2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214,7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-1 223,7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-1 322,2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4 865,8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1 286,2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1 564,7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1 299,7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715,3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5C57F8" w:rsidRDefault="00310351" w:rsidP="00310351">
            <w:pPr>
              <w:ind w:left="16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Резервные активы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7918B3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7918B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-367,6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7918B3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7918B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552,4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-256,0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-1 563,7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384,5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-604,1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-1 352,1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1 406,6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775,0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-403,6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290,7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744,5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Резервные активы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-367,6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552,4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-256,0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-1 563,7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384,5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-604,1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-1 352,1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1 406,6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775,0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-403,6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290,7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744,5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Чистые заимствования от МВФ (исключая резервную позицию)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5C57F8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Исключительное финансирование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310351" w:rsidRPr="005C57F8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5C57F8" w:rsidTr="00310351">
        <w:trPr>
          <w:trHeight w:val="323"/>
        </w:trPr>
        <w:tc>
          <w:tcPr>
            <w:tcW w:w="325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5C57F8" w:rsidRDefault="00310351" w:rsidP="00310351">
            <w:pPr>
              <w:ind w:left="169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57F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IV. Ошибки и пропуски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7918B3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7918B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-3 970,4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7918B3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7918B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-1 990,2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369,9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-2 402,6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475,5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169,9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619,7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-29,9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-284,1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-3 459,3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-511,2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-1 968,3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-1 009,0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noWrap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29,2</w:t>
            </w:r>
          </w:p>
        </w:tc>
      </w:tr>
    </w:tbl>
    <w:p w:rsidR="000A06CA" w:rsidRPr="00C75833" w:rsidRDefault="000A06CA" w:rsidP="00F96151">
      <w:pPr>
        <w:jc w:val="both"/>
        <w:rPr>
          <w:i/>
          <w:sz w:val="18"/>
          <w:szCs w:val="18"/>
        </w:rPr>
      </w:pPr>
      <w:r w:rsidRPr="00C75833">
        <w:rPr>
          <w:i/>
          <w:color w:val="000000"/>
          <w:sz w:val="18"/>
          <w:szCs w:val="18"/>
        </w:rPr>
        <w:t>Данный статистический отчёт использует стандартное представление, определённое в 6 издании Руководства составления Платёжного баланса (РПБ 6).</w:t>
      </w:r>
    </w:p>
    <w:p w:rsidR="009D136B" w:rsidRPr="001011D6" w:rsidRDefault="000F2DF8" w:rsidP="00FF4AB6">
      <w:pPr>
        <w:ind w:right="-31"/>
        <w:jc w:val="right"/>
        <w:rPr>
          <w:i/>
          <w:sz w:val="22"/>
          <w:szCs w:val="22"/>
        </w:rPr>
      </w:pPr>
      <w:r w:rsidRPr="006F08D3">
        <w:rPr>
          <w:rFonts w:cs="Arial"/>
        </w:rPr>
        <w:br w:type="page"/>
      </w:r>
      <w:r w:rsidR="009D136B" w:rsidRPr="001011D6">
        <w:rPr>
          <w:i/>
          <w:sz w:val="22"/>
          <w:szCs w:val="22"/>
        </w:rPr>
        <w:lastRenderedPageBreak/>
        <w:t>Приложение 2</w:t>
      </w:r>
    </w:p>
    <w:p w:rsidR="009D136B" w:rsidRPr="001011D6" w:rsidRDefault="008B55B0" w:rsidP="009D136B">
      <w:pPr>
        <w:pStyle w:val="1"/>
        <w:ind w:left="0"/>
        <w:jc w:val="center"/>
        <w:rPr>
          <w:rFonts w:ascii="Calibri" w:hAnsi="Calibri"/>
          <w:sz w:val="24"/>
          <w:szCs w:val="24"/>
        </w:rPr>
      </w:pPr>
      <w:bookmarkStart w:id="22" w:name="_Toc35458619"/>
      <w:r w:rsidRPr="001011D6">
        <w:rPr>
          <w:rFonts w:ascii="Calibri" w:hAnsi="Calibri"/>
          <w:sz w:val="24"/>
          <w:szCs w:val="24"/>
        </w:rPr>
        <w:t>МЕЖДУНАРОДНАЯ ИНВЕСТИЦИОННАЯ ПОЗИЦИЯ ЗА 201</w:t>
      </w:r>
      <w:r w:rsidR="00C75833">
        <w:rPr>
          <w:rFonts w:ascii="Calibri" w:hAnsi="Calibri"/>
          <w:sz w:val="24"/>
          <w:szCs w:val="24"/>
          <w:lang w:val="ru-RU"/>
        </w:rPr>
        <w:t>4 -</w:t>
      </w:r>
      <w:r w:rsidRPr="001011D6">
        <w:rPr>
          <w:rFonts w:ascii="Calibri" w:hAnsi="Calibri"/>
          <w:sz w:val="24"/>
          <w:szCs w:val="24"/>
        </w:rPr>
        <w:t xml:space="preserve"> 2019 </w:t>
      </w:r>
      <w:r w:rsidR="00A00BB4">
        <w:rPr>
          <w:rFonts w:ascii="Calibri" w:hAnsi="Calibri"/>
          <w:sz w:val="24"/>
          <w:szCs w:val="24"/>
          <w:lang w:val="ru-RU" w:eastAsia="ru-RU"/>
        </w:rPr>
        <w:t>ГГ.</w:t>
      </w:r>
      <w:bookmarkEnd w:id="22"/>
    </w:p>
    <w:p w:rsidR="00FF4AB6" w:rsidRPr="001011D6" w:rsidRDefault="00FF4AB6" w:rsidP="00AF479D">
      <w:pPr>
        <w:ind w:right="-173"/>
        <w:jc w:val="right"/>
        <w:rPr>
          <w:sz w:val="18"/>
          <w:szCs w:val="18"/>
          <w:lang/>
        </w:rPr>
      </w:pPr>
      <w:r w:rsidRPr="001011D6">
        <w:rPr>
          <w:i/>
          <w:color w:val="000000"/>
          <w:sz w:val="18"/>
          <w:szCs w:val="18"/>
        </w:rPr>
        <w:t>(млн. долл)</w:t>
      </w:r>
    </w:p>
    <w:tbl>
      <w:tblPr>
        <w:tblW w:w="15070" w:type="dxa"/>
        <w:tblLook w:val="04A0"/>
      </w:tblPr>
      <w:tblGrid>
        <w:gridCol w:w="2626"/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FF4AB6" w:rsidRPr="00FF4AB6" w:rsidTr="00310351">
        <w:trPr>
          <w:trHeight w:val="195"/>
          <w:tblHeader/>
        </w:trPr>
        <w:tc>
          <w:tcPr>
            <w:tcW w:w="2626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F4AB6" w:rsidRPr="001011D6" w:rsidRDefault="00FF4AB6" w:rsidP="00FF4AB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037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F4AB6" w:rsidRPr="00AF479D" w:rsidRDefault="00FF4AB6" w:rsidP="00FF4AB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F479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037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F4AB6" w:rsidRPr="00AF479D" w:rsidRDefault="00FF4AB6" w:rsidP="00FF4AB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F479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31.12.2015</w:t>
            </w:r>
          </w:p>
        </w:tc>
        <w:tc>
          <w:tcPr>
            <w:tcW w:w="1037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F4AB6" w:rsidRPr="00AF479D" w:rsidRDefault="00FF4AB6" w:rsidP="00FF4AB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F479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31.12.2016</w:t>
            </w:r>
          </w:p>
        </w:tc>
        <w:tc>
          <w:tcPr>
            <w:tcW w:w="1037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F4AB6" w:rsidRPr="00AF479D" w:rsidRDefault="00FF4AB6" w:rsidP="00FF4AB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F479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1037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F4AB6" w:rsidRPr="00AF479D" w:rsidRDefault="00FF4AB6" w:rsidP="00FF4AB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F479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31.03.2018</w:t>
            </w:r>
          </w:p>
        </w:tc>
        <w:tc>
          <w:tcPr>
            <w:tcW w:w="1037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F4AB6" w:rsidRPr="00AF479D" w:rsidRDefault="00FF4AB6" w:rsidP="00FF4AB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F479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30.06.2018</w:t>
            </w:r>
          </w:p>
        </w:tc>
        <w:tc>
          <w:tcPr>
            <w:tcW w:w="1037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F4AB6" w:rsidRPr="00AF479D" w:rsidRDefault="00FF4AB6" w:rsidP="00FF4AB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F479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30.09.2018</w:t>
            </w:r>
          </w:p>
        </w:tc>
        <w:tc>
          <w:tcPr>
            <w:tcW w:w="1037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F4AB6" w:rsidRPr="00AF479D" w:rsidRDefault="00FF4AB6" w:rsidP="00FF4AB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F479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31.12.2018</w:t>
            </w:r>
          </w:p>
        </w:tc>
        <w:tc>
          <w:tcPr>
            <w:tcW w:w="1037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F4AB6" w:rsidRPr="00AF479D" w:rsidRDefault="00FF4AB6" w:rsidP="00FF4AB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F479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31.03.2019</w:t>
            </w:r>
          </w:p>
        </w:tc>
        <w:tc>
          <w:tcPr>
            <w:tcW w:w="1037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F4AB6" w:rsidRPr="00AF479D" w:rsidRDefault="00FF4AB6" w:rsidP="00FF4AB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F479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30.06.2019</w:t>
            </w:r>
          </w:p>
        </w:tc>
        <w:tc>
          <w:tcPr>
            <w:tcW w:w="1037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F4AB6" w:rsidRPr="00AF479D" w:rsidRDefault="00FF4AB6" w:rsidP="00FF4AB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F479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30.09.2019</w:t>
            </w:r>
          </w:p>
        </w:tc>
        <w:tc>
          <w:tcPr>
            <w:tcW w:w="1037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FF4AB6" w:rsidRPr="00AF479D" w:rsidRDefault="00FF4AB6" w:rsidP="00FF4AB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F479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31.12.2019</w:t>
            </w:r>
          </w:p>
        </w:tc>
      </w:tr>
      <w:tr w:rsidR="00FF4AB6" w:rsidRPr="00FF4AB6" w:rsidTr="00310351">
        <w:trPr>
          <w:trHeight w:val="195"/>
          <w:tblHeader/>
        </w:trPr>
        <w:tc>
          <w:tcPr>
            <w:tcW w:w="2626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FF4AB6" w:rsidRPr="00FF4AB6" w:rsidRDefault="00FF4AB6" w:rsidP="00FF4AB6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FF4AB6" w:rsidRPr="00FF4AB6" w:rsidRDefault="00FF4AB6" w:rsidP="00FF4AB6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FF4AB6" w:rsidRPr="00FF4AB6" w:rsidRDefault="00FF4AB6" w:rsidP="00FF4AB6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FF4AB6" w:rsidRPr="00FF4AB6" w:rsidRDefault="00FF4AB6" w:rsidP="00FF4AB6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FF4AB6" w:rsidRPr="00FF4AB6" w:rsidRDefault="00FF4AB6" w:rsidP="00FF4AB6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FF4AB6" w:rsidRPr="00FF4AB6" w:rsidRDefault="00FF4AB6" w:rsidP="00FF4AB6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FF4AB6" w:rsidRPr="00FF4AB6" w:rsidRDefault="00FF4AB6" w:rsidP="00FF4AB6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FF4AB6" w:rsidRPr="00FF4AB6" w:rsidRDefault="00FF4AB6" w:rsidP="00FF4AB6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FF4AB6" w:rsidRPr="00FF4AB6" w:rsidRDefault="00FF4AB6" w:rsidP="00FF4AB6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FF4AB6" w:rsidRPr="00FF4AB6" w:rsidRDefault="00FF4AB6" w:rsidP="00FF4AB6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FF4AB6" w:rsidRPr="00FF4AB6" w:rsidRDefault="00FF4AB6" w:rsidP="00FF4AB6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FF4AB6" w:rsidRPr="00FF4AB6" w:rsidRDefault="00FF4AB6" w:rsidP="00FF4AB6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FF4AB6" w:rsidRPr="00FF4AB6" w:rsidRDefault="00FF4AB6" w:rsidP="00FF4AB6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FF4AB6" w:rsidRDefault="00310351" w:rsidP="0031035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Активы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32 558,8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32 812,9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37 950,2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42 465,2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42 883,7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42 288,7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41 637,0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43 004,0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43 556,0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44 976,4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45 272,0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47 844,3</w:t>
            </w:r>
          </w:p>
        </w:tc>
      </w:tr>
      <w:tr w:rsidR="00310351" w:rsidRPr="00FF4AB6" w:rsidTr="00B36DE8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1011D6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Прямые инвестиции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187,4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188,8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191,4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192,0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Инструменты участия в капитале и паи/акции инвестиционных фондов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28,8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B36DE8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Инвестиции прямого инвестора в предприятия прямого инвестирования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28,8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B36DE8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Инвестиции предприятий прямого инвестирования в прямого инвестора (обратное инвестирование)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B36DE8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Инвестиции между сестринскими предприятиями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Долговые инструменты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148,1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163,2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B36DE8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Инвестиции прямого инвестора в предприятия прямого инвестирования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2,7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B36DE8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Инвестиции предприятий прямого инвестирования в прямого инвестора (обратное инвестирование)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B36DE8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Инвестиции между сестринскими предприятиями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148,1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156,1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157,4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158,6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160,5</w:t>
            </w:r>
          </w:p>
        </w:tc>
      </w:tr>
      <w:tr w:rsidR="00310351" w:rsidRPr="00FF4AB6" w:rsidTr="00B36DE8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1011D6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Портфельные инвестиции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Инструменты участия в капитале и паи/акции инвестиционных фондов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A13AD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Центральный банк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A13AD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Депозитные организации, за исключением центрального банка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A13AD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Сектор государственного управления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A13AD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Прочие сектора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FF4AB6" w:rsidTr="00310351">
        <w:trPr>
          <w:trHeight w:val="414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A13ADA">
            <w:pPr>
              <w:ind w:left="306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lastRenderedPageBreak/>
              <w:t>Прочие финансовые организации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FF4AB6" w:rsidTr="00172583">
        <w:trPr>
          <w:trHeight w:val="369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Долговые ценные бумаги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FF4AB6" w:rsidTr="00172583">
        <w:trPr>
          <w:trHeight w:val="369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A13AD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Центральный банк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FF4AB6" w:rsidTr="00310351">
        <w:trPr>
          <w:trHeight w:val="414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A13AD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Депозитные организации, за исключением центрального банка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FF4AB6" w:rsidTr="00310351">
        <w:trPr>
          <w:trHeight w:val="414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A13AD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Сектор государственного управления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FF4AB6" w:rsidTr="00172583">
        <w:trPr>
          <w:trHeight w:val="369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A13AD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Прочие сектора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FF4AB6" w:rsidTr="00310351">
        <w:trPr>
          <w:trHeight w:val="414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A13ADA">
            <w:pPr>
              <w:ind w:left="306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Прочие финансовые организации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FF4AB6" w:rsidTr="00A13ADA">
        <w:trPr>
          <w:trHeight w:val="414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1011D6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Производные финансовые инструменты (кроме резервов) и опционы на акции для сотрудников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FF4AB6" w:rsidTr="00B36DE8">
        <w:trPr>
          <w:trHeight w:val="414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1011D6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Прочие инвестиции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8 251,0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8 333,4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11 342,5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14 200,2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14 201,4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14 439,7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15 039,8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15 732,1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15 727,5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17 041,7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17 096,5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18 479,0</w:t>
            </w:r>
          </w:p>
        </w:tc>
      </w:tr>
      <w:tr w:rsidR="00310351" w:rsidRPr="00FF4AB6" w:rsidTr="00310351">
        <w:trPr>
          <w:trHeight w:val="414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Прочие инструменты участия в капитале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</w:t>
            </w:r>
          </w:p>
        </w:tc>
      </w:tr>
      <w:tr w:rsidR="00310351" w:rsidRPr="00FF4AB6" w:rsidTr="00310351">
        <w:trPr>
          <w:trHeight w:val="414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Долговые инструменты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8 251,0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8 333,4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11 342,5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14 200,2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14 201,4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14 439,7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15 039,8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15 732,1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15 727,5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17 041,7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17 096,2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18 478,7</w:t>
            </w:r>
          </w:p>
        </w:tc>
      </w:tr>
      <w:tr w:rsidR="00310351" w:rsidRPr="00FF4AB6" w:rsidTr="00310351">
        <w:trPr>
          <w:trHeight w:val="414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A13AD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Центральный банк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FF4AB6" w:rsidTr="00310351">
        <w:trPr>
          <w:trHeight w:val="414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A13AD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Депозитные организации, за исключением центрального банка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2 186,5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1 882,3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2 535,1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2 934,0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2 733,5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2 484,5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2 467,4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2 161,5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2 118,9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2 506,6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2 070,2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2 102,9</w:t>
            </w:r>
          </w:p>
        </w:tc>
      </w:tr>
      <w:tr w:rsidR="00310351" w:rsidRPr="00FF4AB6" w:rsidTr="00310351">
        <w:trPr>
          <w:trHeight w:val="414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A13AD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Сектор государственного управления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2,4</w:t>
            </w:r>
          </w:p>
        </w:tc>
      </w:tr>
      <w:tr w:rsidR="00310351" w:rsidRPr="00FF4AB6" w:rsidTr="00310351">
        <w:trPr>
          <w:trHeight w:val="414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A13AD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Прочие сектора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6 052,5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6 447,6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8 804,4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11 262,0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11 463,9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11 951,1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12 568,5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13 566,6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13 605,6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14 531,4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15 021,5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16 373,3</w:t>
            </w:r>
          </w:p>
        </w:tc>
      </w:tr>
      <w:tr w:rsidR="00310351" w:rsidRPr="00FF4AB6" w:rsidTr="00310351">
        <w:trPr>
          <w:trHeight w:val="414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A13ADA">
            <w:pPr>
              <w:ind w:left="306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Прочие финансовые организации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0,6</w:t>
            </w:r>
          </w:p>
        </w:tc>
      </w:tr>
      <w:tr w:rsidR="00310351" w:rsidRPr="00FF4AB6" w:rsidTr="00A13ADA">
        <w:trPr>
          <w:trHeight w:val="414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1011D6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Резервные активы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24 139,6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24 306,8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26 428,8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28 076,9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28 494,0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27 660,4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26 407,3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27 081,4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27 637,2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27 742,7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27 982,9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29 172,1</w:t>
            </w:r>
          </w:p>
        </w:tc>
      </w:tr>
      <w:tr w:rsidR="00310351" w:rsidRPr="00FF4AB6" w:rsidTr="00310351">
        <w:trPr>
          <w:trHeight w:val="414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A13AD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Монетарное золото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10 592,9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10 640,7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12 256,6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14 034,1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13 976,8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13 842,2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13 953,0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14 640,7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14 413,6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15 910,6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15 890,3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16 329,2</w:t>
            </w:r>
          </w:p>
        </w:tc>
      </w:tr>
      <w:tr w:rsidR="00310351" w:rsidRPr="00FF4AB6" w:rsidTr="00310351">
        <w:trPr>
          <w:trHeight w:val="414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A13AD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Специальные права заимствования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357,7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378,9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369,4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362,8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368,0</w:t>
            </w:r>
          </w:p>
        </w:tc>
      </w:tr>
      <w:tr w:rsidR="00310351" w:rsidRPr="00FF4AB6" w:rsidTr="00310351">
        <w:trPr>
          <w:trHeight w:val="414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A13AD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Резервная позиция в МВФ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FF4AB6" w:rsidTr="00310351">
        <w:trPr>
          <w:trHeight w:val="414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A13ADA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Прочие резервные активы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13 161,3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13 297,4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13 814,5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13 663,9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14 130,3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13 444,0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12 083,1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12 070,6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12 854,2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11 462,2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11 729,8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12 474,9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FF4AB6" w:rsidRDefault="00310351" w:rsidP="0031035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lastRenderedPageBreak/>
              <w:t>Обязательства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17 570,1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19 888,9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22 669,9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25 962,9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26 356,0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26 607,7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27 116,3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27 204,5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28 748,2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31 230,5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31 708,1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35 521,4</w:t>
            </w:r>
          </w:p>
        </w:tc>
      </w:tr>
      <w:tr w:rsidR="00310351" w:rsidRPr="00FF4AB6" w:rsidTr="00B36DE8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1011D6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Прямые инвестиции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6 171,2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7 134,7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8 660,2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10 043,9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10 320,1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10 304,6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10 227,5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8 992,3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8 168,8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8 785,6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8 553,4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9 504,1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172583">
            <w:pPr>
              <w:ind w:left="22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Инструменты участия в капитале и паи/акции инвестиционных фондов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5 232,2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6 226,0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7 218,5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8 741,4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9 107,2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9 164,7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9 057,7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8 270,7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7 431,2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7 998,7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7 713,7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8 616,0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172583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Инвестиции прямого инвестора в предприятия прямого инвестирования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5 232,2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6 226,0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7 218,5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8 741,4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9 107,2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9 164,7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9 057,7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8 270,7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7 431,2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7 998,7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7 713,7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8 616,0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172583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Инвестиции предприятий прямого инвестирования в прямого инвестора (обратное инвестирование)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172583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Инвестиции между сестринскими предприятиями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Долговые инструменты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1 441,7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1 302,5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1 213,0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1 139,9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1 169,8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839,7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888,1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172583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Инвестиции прямого инвестора в предприятия прямого инвестирования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1 441,7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1 230,0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1 139,7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1 066,3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1 096,7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815,7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172583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Инвестиции предприятий прямого инвестирования в прямого инвестора (обратное инвестирование)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172583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Инвестиции между сестринскими предприятиями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72,4</w:t>
            </w:r>
          </w:p>
        </w:tc>
      </w:tr>
      <w:tr w:rsidR="00310351" w:rsidRPr="00FF4AB6" w:rsidTr="00B36DE8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1011D6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Портфельные инвестиции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1 052,1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1 153,8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1 112,6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1 466,4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Инструменты участия в капитале и паи/акции инвестиционных фондов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52,1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172583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Центральный банк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172583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Депозитные организации, за исключением центрального банка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15,7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172583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Сектор государственного управления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172583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Прочие сектора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36,4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172583">
            <w:pPr>
              <w:ind w:left="306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Прочие финансовые организации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1,0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Долговые ценные бумаги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1 001,7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1 077,3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1 083,4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1 414,4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172583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Центральный банк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172583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lastRenderedPageBreak/>
              <w:t>Депозитные организации, за исключением центрального банка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307,4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172583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Сектор государственного управления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1 001,7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1 077,3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1 083,4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1 107,0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172583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Прочие сектора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172583">
            <w:pPr>
              <w:ind w:left="306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Прочие финансовые организации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FF4AB6" w:rsidTr="00A13ADA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1011D6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Производные финансовые инструменты (кроме резервов) и опционы на акции для сотрудников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3,8</w:t>
            </w:r>
          </w:p>
        </w:tc>
      </w:tr>
      <w:tr w:rsidR="00310351" w:rsidRPr="00FF4AB6" w:rsidTr="00B36DE8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1011D6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Прочие инвестиции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11 390,1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12 746,2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14 000,3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15 909,9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16 009,8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16 267,9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16 851,6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18 163,9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19 522,0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21 287,2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22 036,7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2F2F2" w:themeFill="background1" w:themeFillShade="F2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24 547,1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Прочие инструменты участия в капитале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Специальные права заимствования (Чистое принятие обязательств)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364,2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367,2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366,1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358,8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363,9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310351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Прочие долговые инструменты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11 009,3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12 382,0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13 646,9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15 535,2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15 627,2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15 897,7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16 484,3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17 797,8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19 156,5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20 921,1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21 677,9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24 183,2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541DF7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Центральный банк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541DF7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Депозитные организации, за исключением центрального банка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447,4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795,4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854,6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1 085,6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1 354,1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1 501,3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1 918,0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2 710,2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541DF7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Сектор государственного управления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4 718,4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5 580,0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6 474,9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7 929,2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8 079,2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8 730,5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10 086,4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10 744,0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12 161,5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12 675,7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14 679,0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541DF7">
            <w:pPr>
              <w:ind w:left="164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Прочие сектора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5 889,7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6 354,6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6 687,7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7 233,7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6 902,6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6 964,0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6 889,8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6 625,7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7 058,5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7 258,4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7 084,2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6 794,0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1011D6" w:rsidRDefault="00310351" w:rsidP="00541DF7">
            <w:pPr>
              <w:ind w:left="306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1011D6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Прочие финансовые организации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310351" w:rsidRPr="00FF4AB6" w:rsidRDefault="00310351" w:rsidP="0031035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21,7</w:t>
            </w:r>
          </w:p>
        </w:tc>
      </w:tr>
      <w:tr w:rsidR="00310351" w:rsidRPr="00FF4AB6" w:rsidTr="00310351">
        <w:trPr>
          <w:trHeight w:val="397"/>
        </w:trPr>
        <w:tc>
          <w:tcPr>
            <w:tcW w:w="262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FF4AB6" w:rsidRDefault="00310351" w:rsidP="0031035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F4AB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Чистая международная инвестиционная позиция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14 988,8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310351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31035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12 924,0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15 280,3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16 502,3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16 527,7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15 681,0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14 520,7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15 799,5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14 807,8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13 746,0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13 563,9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BDD6EE" w:themeFill="accent1" w:themeFillTint="66"/>
            <w:vAlign w:val="center"/>
            <w:hideMark/>
          </w:tcPr>
          <w:p w:rsidR="00310351" w:rsidRPr="00280077" w:rsidRDefault="00310351" w:rsidP="0031035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8007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12 322,9</w:t>
            </w:r>
          </w:p>
        </w:tc>
      </w:tr>
    </w:tbl>
    <w:p w:rsidR="00DB4D33" w:rsidRPr="006F08D3" w:rsidRDefault="00DB4D33" w:rsidP="002219DE">
      <w:pPr>
        <w:sectPr w:rsidR="00DB4D33" w:rsidRPr="006F08D3" w:rsidSect="00406CB9">
          <w:footerReference w:type="default" r:id="rId45"/>
          <w:footerReference w:type="first" r:id="rId46"/>
          <w:pgSz w:w="16838" w:h="11906" w:orient="landscape" w:code="9"/>
          <w:pgMar w:top="1134" w:right="1134" w:bottom="851" w:left="851" w:header="709" w:footer="279" w:gutter="0"/>
          <w:cols w:space="708"/>
          <w:titlePg/>
          <w:docGrid w:linePitch="360"/>
        </w:sectPr>
      </w:pPr>
    </w:p>
    <w:p w:rsidR="005000DF" w:rsidRPr="001011D6" w:rsidRDefault="005000DF" w:rsidP="005000DF">
      <w:pPr>
        <w:jc w:val="right"/>
        <w:rPr>
          <w:i/>
          <w:sz w:val="22"/>
          <w:szCs w:val="22"/>
        </w:rPr>
      </w:pPr>
      <w:bookmarkStart w:id="23" w:name="_Toc12521834"/>
      <w:r w:rsidRPr="001011D6">
        <w:rPr>
          <w:i/>
          <w:sz w:val="22"/>
          <w:szCs w:val="22"/>
        </w:rPr>
        <w:lastRenderedPageBreak/>
        <w:t>Приложение 3</w:t>
      </w:r>
    </w:p>
    <w:p w:rsidR="005000DF" w:rsidRPr="001011D6" w:rsidRDefault="005000DF" w:rsidP="005000DF">
      <w:pPr>
        <w:pStyle w:val="1"/>
        <w:ind w:left="0"/>
        <w:jc w:val="center"/>
        <w:rPr>
          <w:rFonts w:ascii="Calibri" w:hAnsi="Calibri"/>
          <w:sz w:val="24"/>
          <w:szCs w:val="24"/>
          <w:lang w:val="ru-RU"/>
        </w:rPr>
      </w:pPr>
      <w:bookmarkStart w:id="24" w:name="_Toc35458620"/>
      <w:bookmarkEnd w:id="23"/>
      <w:r w:rsidRPr="001011D6">
        <w:rPr>
          <w:rFonts w:ascii="Calibri" w:hAnsi="Calibri"/>
          <w:sz w:val="24"/>
          <w:szCs w:val="24"/>
        </w:rPr>
        <w:t>ВНЕШНЕТОРГОВЫЙ ОБОРОТ</w:t>
      </w:r>
      <w:r w:rsidR="00AE5724">
        <w:rPr>
          <w:rFonts w:ascii="Calibri" w:hAnsi="Calibri"/>
          <w:sz w:val="24"/>
          <w:szCs w:val="24"/>
          <w:lang w:val="ru-RU"/>
        </w:rPr>
        <w:t xml:space="preserve"> ТОВАРОВ</w:t>
      </w:r>
      <w:r w:rsidRPr="001011D6">
        <w:rPr>
          <w:rFonts w:ascii="Calibri" w:hAnsi="Calibri"/>
          <w:sz w:val="24"/>
          <w:szCs w:val="24"/>
        </w:rPr>
        <w:t xml:space="preserve"> ЗА </w:t>
      </w:r>
      <w:r w:rsidRPr="001011D6">
        <w:rPr>
          <w:rFonts w:ascii="Calibri" w:hAnsi="Calibri"/>
          <w:sz w:val="24"/>
          <w:szCs w:val="24"/>
          <w:lang w:val="ru-RU"/>
        </w:rPr>
        <w:t>201</w:t>
      </w:r>
      <w:r w:rsidR="001F6CA2" w:rsidRPr="001011D6">
        <w:rPr>
          <w:rFonts w:ascii="Calibri" w:hAnsi="Calibri"/>
          <w:sz w:val="24"/>
          <w:szCs w:val="24"/>
          <w:lang w:val="ru-RU"/>
        </w:rPr>
        <w:t>4 - </w:t>
      </w:r>
      <w:r w:rsidRPr="001011D6">
        <w:rPr>
          <w:rFonts w:ascii="Calibri" w:hAnsi="Calibri"/>
          <w:sz w:val="24"/>
          <w:szCs w:val="24"/>
        </w:rPr>
        <w:t xml:space="preserve">2019 </w:t>
      </w:r>
      <w:r w:rsidR="00A00BB4">
        <w:rPr>
          <w:rFonts w:ascii="Calibri" w:hAnsi="Calibri"/>
          <w:sz w:val="24"/>
          <w:szCs w:val="24"/>
          <w:lang w:val="ru-RU" w:eastAsia="ru-RU"/>
        </w:rPr>
        <w:t>ГГ.</w:t>
      </w:r>
      <w:bookmarkEnd w:id="24"/>
    </w:p>
    <w:p w:rsidR="005000DF" w:rsidRPr="00343190" w:rsidRDefault="005000DF" w:rsidP="005000DF">
      <w:pPr>
        <w:ind w:right="-31"/>
        <w:jc w:val="right"/>
        <w:rPr>
          <w:rFonts w:cs="Calibri"/>
          <w:i/>
          <w:sz w:val="20"/>
          <w:szCs w:val="20"/>
        </w:rPr>
      </w:pPr>
      <w:r w:rsidRPr="006F08D3">
        <w:rPr>
          <w:i/>
          <w:sz w:val="20"/>
          <w:szCs w:val="20"/>
        </w:rPr>
        <w:t xml:space="preserve"> </w:t>
      </w:r>
      <w:r w:rsidRPr="00343190">
        <w:rPr>
          <w:i/>
          <w:sz w:val="20"/>
          <w:szCs w:val="20"/>
        </w:rPr>
        <w:t>(млн. долл.)</w:t>
      </w:r>
    </w:p>
    <w:tbl>
      <w:tblPr>
        <w:tblW w:w="14657" w:type="dxa"/>
        <w:tblLook w:val="04A0"/>
      </w:tblPr>
      <w:tblGrid>
        <w:gridCol w:w="2378"/>
        <w:gridCol w:w="870"/>
        <w:gridCol w:w="870"/>
        <w:gridCol w:w="870"/>
        <w:gridCol w:w="870"/>
        <w:gridCol w:w="870"/>
        <w:gridCol w:w="870"/>
        <w:gridCol w:w="870"/>
        <w:gridCol w:w="870"/>
        <w:gridCol w:w="874"/>
        <w:gridCol w:w="930"/>
        <w:gridCol w:w="862"/>
        <w:gridCol w:w="872"/>
        <w:gridCol w:w="872"/>
        <w:gridCol w:w="909"/>
      </w:tblGrid>
      <w:tr w:rsidR="00A03DC7" w:rsidRPr="00A03DC7" w:rsidTr="00A03DC7">
        <w:trPr>
          <w:trHeight w:val="302"/>
        </w:trPr>
        <w:tc>
          <w:tcPr>
            <w:tcW w:w="2378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03DC7" w:rsidRPr="00A03DC7" w:rsidRDefault="00A03DC7" w:rsidP="00A03DC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03DC7" w:rsidRPr="00A03DC7" w:rsidRDefault="00A03DC7" w:rsidP="00A03DC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03DC7" w:rsidRPr="00A03DC7" w:rsidRDefault="00A03DC7" w:rsidP="00A03DC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03DC7" w:rsidRPr="00A03DC7" w:rsidRDefault="00A03DC7" w:rsidP="00A03DC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03DC7" w:rsidRPr="00A03DC7" w:rsidRDefault="00A03DC7" w:rsidP="00A03DC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03DC7" w:rsidRPr="00A03DC7" w:rsidRDefault="00A03DC7" w:rsidP="00A03DC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484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03DC7" w:rsidRPr="00A03DC7" w:rsidRDefault="00A03DC7" w:rsidP="00A03DC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A03DC7" w:rsidRPr="00A03DC7" w:rsidRDefault="00A03DC7" w:rsidP="00A03DC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515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A03DC7" w:rsidRPr="00A03DC7" w:rsidRDefault="00A03DC7" w:rsidP="00A03DC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2019</w:t>
            </w:r>
          </w:p>
        </w:tc>
      </w:tr>
      <w:tr w:rsidR="00A03DC7" w:rsidRPr="00A03DC7" w:rsidTr="00A03DC7">
        <w:trPr>
          <w:trHeight w:val="382"/>
        </w:trPr>
        <w:tc>
          <w:tcPr>
            <w:tcW w:w="237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A03DC7" w:rsidRPr="00A03DC7" w:rsidRDefault="00A03DC7" w:rsidP="00A03DC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A03DC7" w:rsidRPr="00A03DC7" w:rsidRDefault="00A03DC7" w:rsidP="00A03DC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A03DC7" w:rsidRPr="00A03DC7" w:rsidRDefault="00A03DC7" w:rsidP="00A03DC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A03DC7" w:rsidRPr="00A03DC7" w:rsidRDefault="00A03DC7" w:rsidP="00A03DC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A03DC7" w:rsidRPr="00A03DC7" w:rsidRDefault="00A03DC7" w:rsidP="00A03DC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A03DC7" w:rsidRPr="00A03DC7" w:rsidRDefault="00A03DC7" w:rsidP="00A03DC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03DC7" w:rsidRPr="00A03DC7" w:rsidRDefault="00A03DC7" w:rsidP="00A03DC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 кв.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03DC7" w:rsidRPr="00A03DC7" w:rsidRDefault="00A03DC7" w:rsidP="00A03DC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II кв.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03DC7" w:rsidRPr="00A03DC7" w:rsidRDefault="00A03DC7" w:rsidP="00A03DC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III кв.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03DC7" w:rsidRPr="00A03DC7" w:rsidRDefault="00A03DC7" w:rsidP="00A03DC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IV кв.</w:t>
            </w:r>
          </w:p>
        </w:tc>
        <w:tc>
          <w:tcPr>
            <w:tcW w:w="930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A03DC7" w:rsidRPr="00A03DC7" w:rsidRDefault="00A03DC7" w:rsidP="00A03DC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03DC7" w:rsidRPr="00A03DC7" w:rsidRDefault="00A03DC7" w:rsidP="00A03DC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 кв.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03DC7" w:rsidRPr="00A03DC7" w:rsidRDefault="00A03DC7" w:rsidP="00A03DC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II кв.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03DC7" w:rsidRPr="00A03DC7" w:rsidRDefault="00A03DC7" w:rsidP="00A03DC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III кв.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03DC7" w:rsidRPr="00A03DC7" w:rsidRDefault="00A03DC7" w:rsidP="00A03DC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IV кв.</w:t>
            </w:r>
          </w:p>
        </w:tc>
      </w:tr>
      <w:tr w:rsidR="00A03DC7" w:rsidRPr="00A03DC7" w:rsidTr="00280077">
        <w:trPr>
          <w:trHeight w:val="351"/>
        </w:trPr>
        <w:tc>
          <w:tcPr>
            <w:tcW w:w="237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Внешнеторговый оборот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24 070,3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21 057,4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19 682,4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22 538,9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29 638,0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6 684,8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6 870,5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6 465,4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9 617,3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35 105,3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7 792,0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8 708,9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9 681,9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8 922,5</w:t>
            </w:r>
          </w:p>
        </w:tc>
      </w:tr>
      <w:tr w:rsidR="00A03DC7" w:rsidRPr="00A03DC7" w:rsidTr="00862B8A">
        <w:trPr>
          <w:trHeight w:val="351"/>
        </w:trPr>
        <w:tc>
          <w:tcPr>
            <w:tcW w:w="237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Официальная торговля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23 096,5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20 683,6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19 927,5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22 859,0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29 996,2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6 804,9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6 777,5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6 550,0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9 863,8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36 168,5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8 049,1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8 905,5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9 937,3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9 276,7</w:t>
            </w:r>
          </w:p>
        </w:tc>
      </w:tr>
      <w:tr w:rsidR="00A03DC7" w:rsidRPr="00A03DC7" w:rsidTr="00862B8A">
        <w:trPr>
          <w:trHeight w:val="351"/>
        </w:trPr>
        <w:tc>
          <w:tcPr>
            <w:tcW w:w="237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Челночная торговля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2 019,2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1 317,6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1 085,7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243,8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363,9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290,1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187,9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474,8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99,0</w:t>
            </w:r>
          </w:p>
        </w:tc>
      </w:tr>
      <w:tr w:rsidR="00A03DC7" w:rsidRPr="00A03DC7" w:rsidTr="00862B8A">
        <w:trPr>
          <w:trHeight w:val="351"/>
        </w:trPr>
        <w:tc>
          <w:tcPr>
            <w:tcW w:w="2378" w:type="dxa"/>
            <w:tcBorders>
              <w:top w:val="nil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03DC7" w:rsidRPr="00A03DC7" w:rsidTr="00862B8A">
        <w:trPr>
          <w:trHeight w:val="351"/>
        </w:trPr>
        <w:tc>
          <w:tcPr>
            <w:tcW w:w="237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Экспорт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10 556,2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9 481,5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8 645,2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10 161,5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11 385,6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2 957,0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2 350,8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1 976,5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4 101,3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13 898,6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3 045,0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3 414,1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4 146,6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3 292,9</w:t>
            </w:r>
          </w:p>
        </w:tc>
      </w:tr>
      <w:tr w:rsidR="00A03DC7" w:rsidRPr="00A03DC7" w:rsidTr="00862B8A">
        <w:trPr>
          <w:trHeight w:val="351"/>
        </w:trPr>
        <w:tc>
          <w:tcPr>
            <w:tcW w:w="237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Экспорт FOB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8 992,2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7 300,5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5 636,8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6 663,5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8 185,9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1 628,1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2 000,2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1 882,7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2 674,9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8 746,3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1 771,0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2 491,0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2 178,3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2 306,0</w:t>
            </w:r>
          </w:p>
        </w:tc>
      </w:tr>
      <w:tr w:rsidR="00A03DC7" w:rsidRPr="00A03DC7" w:rsidTr="00862B8A">
        <w:trPr>
          <w:trHeight w:val="351"/>
        </w:trPr>
        <w:tc>
          <w:tcPr>
            <w:tcW w:w="237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Челночная торговля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238,3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213,2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157,5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31,1</w:t>
            </w:r>
          </w:p>
        </w:tc>
      </w:tr>
      <w:tr w:rsidR="00A03DC7" w:rsidRPr="00A03DC7" w:rsidTr="00862B8A">
        <w:trPr>
          <w:trHeight w:val="351"/>
        </w:trPr>
        <w:tc>
          <w:tcPr>
            <w:tcW w:w="237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Товары в воздушных портах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20,6</w:t>
            </w:r>
          </w:p>
        </w:tc>
      </w:tr>
      <w:tr w:rsidR="00A03DC7" w:rsidRPr="00A03DC7" w:rsidTr="00862B8A">
        <w:trPr>
          <w:trHeight w:val="351"/>
        </w:trPr>
        <w:tc>
          <w:tcPr>
            <w:tcW w:w="237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Немонетарное золото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1 240,2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1 920,6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2 807,6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3 259,9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2 909,5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1 280,9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277,2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1 351,4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4 918,3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1 231,4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863,2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1 888,4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935,2</w:t>
            </w:r>
          </w:p>
        </w:tc>
      </w:tr>
      <w:tr w:rsidR="00A03DC7" w:rsidRPr="00A03DC7" w:rsidTr="00862B8A">
        <w:trPr>
          <w:trHeight w:val="351"/>
        </w:trPr>
        <w:tc>
          <w:tcPr>
            <w:tcW w:w="237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03DC7" w:rsidRPr="00A03DC7" w:rsidTr="00280077">
        <w:trPr>
          <w:trHeight w:val="351"/>
        </w:trPr>
        <w:tc>
          <w:tcPr>
            <w:tcW w:w="237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Импорт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13 514,1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11 576,0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11 037,3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12 377,3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18 252,4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3 727,9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4 519,7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4 488,9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5 516,0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21 206,6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4 747,0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5 294,7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5 535,3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5 629,6</w:t>
            </w:r>
          </w:p>
        </w:tc>
      </w:tr>
      <w:tr w:rsidR="00A03DC7" w:rsidRPr="00A03DC7" w:rsidTr="00862B8A">
        <w:trPr>
          <w:trHeight w:val="351"/>
        </w:trPr>
        <w:tc>
          <w:tcPr>
            <w:tcW w:w="237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Импорт CIF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12 864,1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11 462,5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11 483,1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12 931,0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18 888,8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3 893,2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4 500,1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4 666,8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5 828,7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22 488,3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5 042,4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5 548,3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5 863,9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6 033,7</w:t>
            </w:r>
          </w:p>
        </w:tc>
      </w:tr>
      <w:tr w:rsidR="00A03DC7" w:rsidRPr="00A03DC7" w:rsidTr="00862B8A">
        <w:trPr>
          <w:trHeight w:val="351"/>
        </w:trPr>
        <w:tc>
          <w:tcPr>
            <w:tcW w:w="237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Челночная торговля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1 781,0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1 126,8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522,4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596,6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307,3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218,1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317,3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67,9</w:t>
            </w:r>
          </w:p>
        </w:tc>
      </w:tr>
      <w:tr w:rsidR="00A03DC7" w:rsidRPr="00A03DC7" w:rsidTr="00862B8A">
        <w:trPr>
          <w:trHeight w:val="351"/>
        </w:trPr>
        <w:tc>
          <w:tcPr>
            <w:tcW w:w="237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Товары в воздушных портах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28,6</w:t>
            </w:r>
          </w:p>
        </w:tc>
      </w:tr>
      <w:tr w:rsidR="00A03DC7" w:rsidRPr="00A03DC7" w:rsidTr="00862B8A">
        <w:trPr>
          <w:trHeight w:val="351"/>
        </w:trPr>
        <w:tc>
          <w:tcPr>
            <w:tcW w:w="237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Фрахт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-1 199,9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-1 074,1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-1 030,3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-1 224,6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-1 593,7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-397,1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-309,9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-424,4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-462,2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-1 725,2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-395,6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-381,4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-445,8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- 502,4</w:t>
            </w:r>
          </w:p>
        </w:tc>
      </w:tr>
      <w:tr w:rsidR="00A03DC7" w:rsidRPr="00A03DC7" w:rsidTr="00862B8A">
        <w:trPr>
          <w:trHeight w:val="351"/>
        </w:trPr>
        <w:tc>
          <w:tcPr>
            <w:tcW w:w="237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Немонетарное золото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1,8</w:t>
            </w:r>
          </w:p>
        </w:tc>
      </w:tr>
      <w:tr w:rsidR="00A03DC7" w:rsidRPr="00A03DC7" w:rsidTr="00862B8A">
        <w:trPr>
          <w:trHeight w:val="351"/>
        </w:trPr>
        <w:tc>
          <w:tcPr>
            <w:tcW w:w="2378" w:type="dxa"/>
            <w:tcBorders>
              <w:top w:val="nil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03DC7" w:rsidRPr="00A03DC7" w:rsidTr="00862B8A">
        <w:trPr>
          <w:trHeight w:val="351"/>
        </w:trPr>
        <w:tc>
          <w:tcPr>
            <w:tcW w:w="237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Сальдо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-2 957,9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-2 094,5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-2 392,1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-2 215,8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-6 866,9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-770,9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-2 168,9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-2 512,4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-1 414,7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-7 308,0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-1 701,9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-1 880,6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-1 388,7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-2 336,7</w:t>
            </w:r>
          </w:p>
        </w:tc>
      </w:tr>
      <w:tr w:rsidR="00A03DC7" w:rsidRPr="00A03DC7" w:rsidTr="00862B8A">
        <w:trPr>
          <w:trHeight w:val="351"/>
        </w:trPr>
        <w:tc>
          <w:tcPr>
            <w:tcW w:w="237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Официальная торговля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sz w:val="18"/>
                <w:szCs w:val="18"/>
              </w:rPr>
              <w:t>-2 631,7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sz w:val="18"/>
                <w:szCs w:val="18"/>
              </w:rPr>
              <w:t>-2 241,4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sz w:val="18"/>
                <w:szCs w:val="18"/>
              </w:rPr>
              <w:t>-3 038,8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sz w:val="18"/>
                <w:szCs w:val="18"/>
              </w:rPr>
              <w:t>-3 012,0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sz w:val="18"/>
                <w:szCs w:val="18"/>
              </w:rPr>
              <w:t>-7 805,4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sz w:val="18"/>
                <w:szCs w:val="18"/>
              </w:rPr>
              <w:t>-986,9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sz w:val="18"/>
                <w:szCs w:val="18"/>
              </w:rPr>
              <w:t>-2 222,8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sz w:val="18"/>
                <w:szCs w:val="18"/>
              </w:rPr>
              <w:t>-2 784,6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sz w:val="18"/>
                <w:szCs w:val="18"/>
              </w:rPr>
              <w:t>-1 811,2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sz w:val="18"/>
                <w:szCs w:val="18"/>
              </w:rPr>
              <w:t>-8 839,4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sz w:val="18"/>
                <w:szCs w:val="18"/>
              </w:rPr>
              <w:t>-2 044,1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sz w:val="18"/>
                <w:szCs w:val="18"/>
              </w:rPr>
              <w:t>-2 197,2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sz w:val="18"/>
                <w:szCs w:val="18"/>
              </w:rPr>
              <w:t>-1 803,8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sz w:val="18"/>
                <w:szCs w:val="18"/>
              </w:rPr>
              <w:t>-2 794,2</w:t>
            </w:r>
          </w:p>
        </w:tc>
      </w:tr>
      <w:tr w:rsidR="00A03DC7" w:rsidRPr="00A03DC7" w:rsidTr="00862B8A">
        <w:trPr>
          <w:trHeight w:val="351"/>
        </w:trPr>
        <w:tc>
          <w:tcPr>
            <w:tcW w:w="237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Челночная торговля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-1 542,7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-936,0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-375,0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-421,6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-629,7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-181,1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-250,7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-146,1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-51,8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-159,8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-43,4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-55,8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-23,7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03DC7" w:rsidRPr="00A03DC7" w:rsidRDefault="00A03DC7" w:rsidP="00A03DC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3D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-36,8</w:t>
            </w:r>
          </w:p>
        </w:tc>
      </w:tr>
    </w:tbl>
    <w:p w:rsidR="00A03DC7" w:rsidRDefault="00A03DC7">
      <w:r>
        <w:br w:type="page"/>
      </w:r>
    </w:p>
    <w:p w:rsidR="002A7953" w:rsidRPr="002A7953" w:rsidRDefault="002A7953" w:rsidP="006171CD">
      <w:pPr>
        <w:spacing w:before="120"/>
        <w:jc w:val="right"/>
        <w:rPr>
          <w:i/>
          <w:sz w:val="10"/>
          <w:szCs w:val="10"/>
        </w:rPr>
      </w:pPr>
    </w:p>
    <w:p w:rsidR="009B676C" w:rsidRPr="001011D6" w:rsidRDefault="009B676C" w:rsidP="006171CD">
      <w:pPr>
        <w:spacing w:before="120"/>
        <w:jc w:val="right"/>
        <w:rPr>
          <w:i/>
          <w:sz w:val="22"/>
          <w:szCs w:val="22"/>
        </w:rPr>
      </w:pPr>
      <w:r w:rsidRPr="001011D6">
        <w:rPr>
          <w:i/>
          <w:sz w:val="22"/>
          <w:szCs w:val="22"/>
        </w:rPr>
        <w:t>Приложение 4</w:t>
      </w:r>
    </w:p>
    <w:p w:rsidR="009B676C" w:rsidRPr="006F08D3" w:rsidRDefault="009B676C" w:rsidP="009B676C">
      <w:pPr>
        <w:tabs>
          <w:tab w:val="left" w:pos="1428"/>
        </w:tabs>
        <w:jc w:val="right"/>
      </w:pPr>
    </w:p>
    <w:p w:rsidR="00F63B63" w:rsidRPr="004F5BF2" w:rsidRDefault="00F63B63" w:rsidP="002A7953">
      <w:pPr>
        <w:pStyle w:val="1"/>
        <w:tabs>
          <w:tab w:val="left" w:pos="5529"/>
        </w:tabs>
        <w:ind w:left="0"/>
        <w:jc w:val="center"/>
        <w:rPr>
          <w:rFonts w:ascii="Calibri" w:hAnsi="Calibri"/>
          <w:sz w:val="24"/>
          <w:szCs w:val="24"/>
          <w:lang w:val="ru-RU"/>
        </w:rPr>
      </w:pPr>
      <w:bookmarkStart w:id="25" w:name="_Toc35458621"/>
      <w:r w:rsidRPr="001011D6">
        <w:rPr>
          <w:rFonts w:ascii="Calibri" w:hAnsi="Calibri"/>
          <w:sz w:val="24"/>
          <w:szCs w:val="24"/>
        </w:rPr>
        <w:t>СТРУКТУРА ЭКСПОРТА И ИМПОРТА ТОВАРО</w:t>
      </w:r>
      <w:r w:rsidR="00FB5104" w:rsidRPr="001011D6">
        <w:rPr>
          <w:rFonts w:ascii="Calibri" w:hAnsi="Calibri"/>
          <w:sz w:val="24"/>
          <w:szCs w:val="24"/>
        </w:rPr>
        <w:t>В ЗА</w:t>
      </w:r>
      <w:r w:rsidRPr="001011D6">
        <w:rPr>
          <w:rFonts w:ascii="Calibri" w:hAnsi="Calibri"/>
          <w:sz w:val="24"/>
          <w:szCs w:val="24"/>
        </w:rPr>
        <w:t xml:space="preserve"> 201</w:t>
      </w:r>
      <w:r w:rsidR="00FB5104" w:rsidRPr="001011D6">
        <w:rPr>
          <w:rFonts w:ascii="Calibri" w:hAnsi="Calibri"/>
          <w:sz w:val="24"/>
          <w:szCs w:val="24"/>
          <w:lang w:val="ru-RU"/>
        </w:rPr>
        <w:t>6</w:t>
      </w:r>
      <w:r w:rsidRPr="001011D6">
        <w:rPr>
          <w:rFonts w:ascii="Calibri" w:hAnsi="Calibri"/>
          <w:sz w:val="24"/>
          <w:szCs w:val="24"/>
        </w:rPr>
        <w:t xml:space="preserve"> - 2019 </w:t>
      </w:r>
      <w:r w:rsidR="00A00BB4">
        <w:rPr>
          <w:rFonts w:ascii="Calibri" w:hAnsi="Calibri"/>
          <w:sz w:val="24"/>
          <w:szCs w:val="24"/>
          <w:lang w:val="ru-RU" w:eastAsia="ru-RU"/>
        </w:rPr>
        <w:t>ГГ.</w:t>
      </w:r>
      <w:bookmarkEnd w:id="25"/>
    </w:p>
    <w:p w:rsidR="00F57C1B" w:rsidRPr="00343190" w:rsidRDefault="00F63B63" w:rsidP="00F63B63">
      <w:pPr>
        <w:tabs>
          <w:tab w:val="left" w:pos="1428"/>
        </w:tabs>
        <w:ind w:right="-172"/>
        <w:jc w:val="right"/>
        <w:rPr>
          <w:rFonts w:cs="Calibri"/>
          <w:i/>
          <w:sz w:val="20"/>
          <w:szCs w:val="20"/>
        </w:rPr>
      </w:pPr>
      <w:r w:rsidRPr="00343190">
        <w:rPr>
          <w:rFonts w:cs="Calibri"/>
          <w:i/>
          <w:sz w:val="20"/>
          <w:szCs w:val="20"/>
        </w:rPr>
        <w:t xml:space="preserve"> </w:t>
      </w:r>
      <w:r w:rsidR="00F57C1B" w:rsidRPr="00343190">
        <w:rPr>
          <w:rFonts w:cs="Calibri"/>
          <w:i/>
          <w:sz w:val="20"/>
          <w:szCs w:val="20"/>
        </w:rPr>
        <w:t>(млн. долл</w:t>
      </w:r>
      <w:r w:rsidR="000107AE" w:rsidRPr="00343190">
        <w:rPr>
          <w:rFonts w:cs="Calibri"/>
          <w:i/>
          <w:sz w:val="20"/>
          <w:szCs w:val="20"/>
        </w:rPr>
        <w:t>.</w:t>
      </w:r>
      <w:r w:rsidR="00F57C1B" w:rsidRPr="00343190">
        <w:rPr>
          <w:rFonts w:cs="Calibri"/>
          <w:i/>
          <w:sz w:val="20"/>
          <w:szCs w:val="20"/>
        </w:rPr>
        <w:t>)</w:t>
      </w:r>
    </w:p>
    <w:tbl>
      <w:tblPr>
        <w:tblW w:w="15021" w:type="dxa"/>
        <w:tblInd w:w="-147" w:type="dxa"/>
        <w:tblLayout w:type="fixed"/>
        <w:tblLook w:val="04A0"/>
      </w:tblPr>
      <w:tblGrid>
        <w:gridCol w:w="520"/>
        <w:gridCol w:w="3161"/>
        <w:gridCol w:w="708"/>
        <w:gridCol w:w="624"/>
        <w:gridCol w:w="794"/>
        <w:gridCol w:w="709"/>
        <w:gridCol w:w="709"/>
        <w:gridCol w:w="625"/>
        <w:gridCol w:w="789"/>
        <w:gridCol w:w="712"/>
        <w:gridCol w:w="706"/>
        <w:gridCol w:w="625"/>
        <w:gridCol w:w="789"/>
        <w:gridCol w:w="715"/>
        <w:gridCol w:w="702"/>
        <w:gridCol w:w="660"/>
        <w:gridCol w:w="754"/>
        <w:gridCol w:w="719"/>
      </w:tblGrid>
      <w:tr w:rsidR="001F7096" w:rsidRPr="002A7953" w:rsidTr="00862B8A">
        <w:trPr>
          <w:trHeight w:val="295"/>
          <w:tblHeader/>
        </w:trPr>
        <w:tc>
          <w:tcPr>
            <w:tcW w:w="52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3161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2A7953" w:rsidRPr="002A7953" w:rsidRDefault="002A7953" w:rsidP="002A7953">
            <w:pPr>
              <w:tabs>
                <w:tab w:val="left" w:pos="4705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Наименование групп товаров</w:t>
            </w:r>
          </w:p>
        </w:tc>
        <w:tc>
          <w:tcPr>
            <w:tcW w:w="2835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835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835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35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1F7096" w:rsidRPr="002A7953" w:rsidTr="00862B8A">
        <w:trPr>
          <w:trHeight w:val="271"/>
          <w:tblHeader/>
        </w:trPr>
        <w:tc>
          <w:tcPr>
            <w:tcW w:w="520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2A7953" w:rsidRPr="002A7953" w:rsidRDefault="002A7953" w:rsidP="002A7953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2A7953" w:rsidRPr="002A7953" w:rsidRDefault="002A7953" w:rsidP="002A7953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2A7953" w:rsidRPr="002A7953" w:rsidRDefault="002A7953" w:rsidP="001F7096">
            <w:pPr>
              <w:ind w:left="-9" w:right="-11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экспорт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2A7953" w:rsidRPr="002A7953" w:rsidRDefault="002A7953" w:rsidP="001F7096">
            <w:pPr>
              <w:ind w:left="-165" w:right="-11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импорт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2A7953" w:rsidRPr="002A7953" w:rsidRDefault="002A7953" w:rsidP="001F7096">
            <w:pPr>
              <w:ind w:left="-35"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экспорт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2A7953" w:rsidRPr="002A7953" w:rsidRDefault="002A7953" w:rsidP="001F7096">
            <w:pPr>
              <w:ind w:left="-172" w:right="-10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импорт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2A7953" w:rsidRPr="002A7953" w:rsidRDefault="002A7953" w:rsidP="001F7096">
            <w:pPr>
              <w:ind w:left="-108" w:right="-10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экспорт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2A7953" w:rsidRPr="002A7953" w:rsidRDefault="002A7953" w:rsidP="001F7096">
            <w:pPr>
              <w:ind w:left="-169" w:right="-10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импорт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2A7953" w:rsidRPr="002A7953" w:rsidRDefault="002A7953" w:rsidP="001F7096">
            <w:pPr>
              <w:ind w:left="-77" w:right="-10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экспорт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2A7953" w:rsidRPr="002A7953" w:rsidRDefault="002A7953" w:rsidP="001F7096">
            <w:pPr>
              <w:ind w:left="-70" w:right="-11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импорт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1F7096" w:rsidRPr="002A7953" w:rsidTr="00862B8A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7953" w:rsidRPr="002A7953" w:rsidRDefault="002A7953" w:rsidP="002A7953">
            <w:pPr>
              <w:tabs>
                <w:tab w:val="left" w:pos="5726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Коэффицент концентрации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75,2%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37,2%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74,2%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37,3%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76,0%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33,0%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74,7%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32,3%</w:t>
            </w:r>
          </w:p>
        </w:tc>
      </w:tr>
      <w:tr w:rsidR="001F7096" w:rsidRPr="002A7953" w:rsidTr="00862B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Живые животные и продукция животноводства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0,7%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1,0%</w:t>
            </w:r>
          </w:p>
        </w:tc>
      </w:tr>
      <w:tr w:rsidR="001F7096" w:rsidRPr="002A7953" w:rsidTr="00862B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Продукты растительного происхождения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7,7%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4,7%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7,5%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8,9%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3,7%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1 371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3,6%</w:t>
            </w:r>
          </w:p>
        </w:tc>
      </w:tr>
      <w:tr w:rsidR="001F7096" w:rsidRPr="002A7953" w:rsidTr="00862B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Жиры и масла животного или растительного происхождения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1,6%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1,3%</w:t>
            </w:r>
          </w:p>
        </w:tc>
      </w:tr>
      <w:tr w:rsidR="001F7096" w:rsidRPr="002A7953" w:rsidTr="00862B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IV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Продукты пищевой промышленности, алкоголь, табак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4,6%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0,9%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3,6%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3,2%</w:t>
            </w:r>
          </w:p>
        </w:tc>
      </w:tr>
      <w:tr w:rsidR="001F7096" w:rsidRPr="002A7953" w:rsidTr="00862B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Минеральные продукты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17,2%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4,7%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1 853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18,7%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5,8%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3 082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27,8%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1 103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5,8%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2 482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18,2%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1 482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6,6%</w:t>
            </w:r>
          </w:p>
        </w:tc>
      </w:tr>
      <w:tr w:rsidR="001F7096" w:rsidRPr="002A7953" w:rsidTr="00862B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Продукция химической промышленности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5,0%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13,0%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4,4%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1 536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11,9%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3,9%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1 655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8,8%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3,3%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2 088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9,3%</w:t>
            </w:r>
          </w:p>
        </w:tc>
      </w:tr>
      <w:tr w:rsidR="001F7096" w:rsidRPr="002A7953" w:rsidTr="00862B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VII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Пластмассы и изделия из них: каучук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4,8%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5,7%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4,5%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6,2%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4,1%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5,4%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3,0%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1 220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5,4%</w:t>
            </w:r>
          </w:p>
        </w:tc>
      </w:tr>
      <w:tr w:rsidR="001F7096" w:rsidRPr="002A7953" w:rsidTr="00862B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Кожсырьё, кожа, меховое сырьё </w:t>
            </w:r>
            <w:r w:rsidR="001F709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 изделия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1,1%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1,1%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F7096" w:rsidRPr="002A7953" w:rsidTr="00862B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IX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Древесина и изделия из древесины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3,2%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3,4%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3,3%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2,8%</w:t>
            </w:r>
          </w:p>
        </w:tc>
      </w:tr>
      <w:tr w:rsidR="001F7096" w:rsidRPr="002A7953" w:rsidTr="00862B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Бумажная масса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1,7%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1,3%</w:t>
            </w:r>
          </w:p>
        </w:tc>
      </w:tr>
      <w:tr w:rsidR="001F7096" w:rsidRPr="002A7953" w:rsidTr="00862B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XI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Текстиль и текстильные изделия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18,8%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1 632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16,5%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2,0%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1 679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15,1%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1,6%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1 984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14,5%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1,6%</w:t>
            </w:r>
          </w:p>
        </w:tc>
      </w:tr>
      <w:tr w:rsidR="001F7096" w:rsidRPr="002A7953" w:rsidTr="00862B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XII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Обувь и головные уборы, зонты, трости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0,1%</w:t>
            </w:r>
          </w:p>
        </w:tc>
      </w:tr>
      <w:tr w:rsidR="001F7096" w:rsidRPr="002A7953" w:rsidTr="00862B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XIII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Изделия из камня, гипса, цемента, асбеста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1,0%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0,9%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1,2%</w:t>
            </w:r>
          </w:p>
        </w:tc>
      </w:tr>
      <w:tr w:rsidR="001F7096" w:rsidRPr="002A7953" w:rsidTr="00862B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7953" w:rsidRPr="002A7953" w:rsidRDefault="002A7953" w:rsidP="002A795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Драгоценные металлы, драгоценные </w:t>
            </w: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или полудрагоценные камни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34,0%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3 468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34,9%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3 037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27,4%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5 100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37,3%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522CAA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522C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</w:t>
            </w:r>
            <w:r w:rsidR="00522CA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</w:t>
            </w: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%</w:t>
            </w:r>
          </w:p>
        </w:tc>
      </w:tr>
      <w:tr w:rsidR="001F7096" w:rsidRPr="002A7953" w:rsidTr="00862B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XV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Недрагоценные металлы и изделия </w:t>
            </w:r>
            <w:r w:rsidR="001F709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6,1%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10,6%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6,6%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1 715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13,3%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7,2%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2 423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12,8%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1 094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8,0%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2 895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12,9%</w:t>
            </w:r>
          </w:p>
        </w:tc>
      </w:tr>
      <w:tr w:rsidR="001F7096" w:rsidRPr="002A7953" w:rsidTr="00862B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A7953" w:rsidRPr="002A7953" w:rsidRDefault="002A7953" w:rsidP="002A795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Машины, оборудование, механизмы; </w:t>
            </w: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электротехническое оборудование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1,7%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30,8%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1,7%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3 790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29,3%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1,5%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6 249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33,1%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1,6%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7 057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31,4%</w:t>
            </w:r>
          </w:p>
        </w:tc>
      </w:tr>
      <w:tr w:rsidR="001F7096" w:rsidRPr="002A7953" w:rsidTr="00862B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Средства наземного, воздушного </w:t>
            </w:r>
            <w:r w:rsidR="001F709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 водного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0,9%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10,7%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1,7%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1 318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10,2%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1,0%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2 615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13,8%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1,5%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2 799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12,4%</w:t>
            </w:r>
          </w:p>
        </w:tc>
      </w:tr>
      <w:tr w:rsidR="001F7096" w:rsidRPr="002A7953" w:rsidTr="00862B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XVIII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Инструменты и аппараты оптические, фотографические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3,2%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2,7%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1,9%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2,8%</w:t>
            </w:r>
          </w:p>
        </w:tc>
      </w:tr>
      <w:tr w:rsidR="001F7096" w:rsidRPr="002A7953" w:rsidTr="00862B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XX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Разные промышленные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1,7%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2,9%</w:t>
            </w:r>
          </w:p>
        </w:tc>
      </w:tr>
      <w:tr w:rsidR="001F7096" w:rsidRPr="002A7953" w:rsidTr="00862B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XXI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Произведения искусства, антиквариат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0,0%</w:t>
            </w:r>
          </w:p>
        </w:tc>
      </w:tr>
      <w:tr w:rsidR="001F7096" w:rsidRPr="002A7953" w:rsidTr="00862B8A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8 444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A7953" w:rsidRPr="002A7953" w:rsidRDefault="002A7953" w:rsidP="001F7096">
            <w:pPr>
              <w:ind w:left="-163" w:right="-10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11 483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9 923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A7953" w:rsidRPr="002A7953" w:rsidRDefault="002A7953" w:rsidP="001F7096">
            <w:pPr>
              <w:ind w:left="-169" w:right="-10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12 935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11 095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A7953" w:rsidRPr="002A7953" w:rsidRDefault="002A7953" w:rsidP="001F7096">
            <w:pPr>
              <w:ind w:left="-30" w:right="-2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18 901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13 665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A7953" w:rsidRPr="002A7953" w:rsidRDefault="002A7953" w:rsidP="00522CAA">
            <w:pPr>
              <w:ind w:left="-67" w:right="-1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22 </w:t>
            </w:r>
            <w:r w:rsidR="00522CA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A7953" w:rsidRPr="002A7953" w:rsidRDefault="002A7953" w:rsidP="002A795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A795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100%</w:t>
            </w:r>
          </w:p>
        </w:tc>
      </w:tr>
    </w:tbl>
    <w:p w:rsidR="009B676C" w:rsidRPr="006F08D3" w:rsidRDefault="009B676C" w:rsidP="009B676C">
      <w:pPr>
        <w:tabs>
          <w:tab w:val="left" w:pos="1428"/>
        </w:tabs>
        <w:rPr>
          <w:i/>
          <w:sz w:val="20"/>
          <w:szCs w:val="20"/>
        </w:rPr>
      </w:pPr>
      <w:r w:rsidRPr="006F08D3">
        <w:rPr>
          <w:i/>
          <w:sz w:val="20"/>
          <w:szCs w:val="20"/>
        </w:rPr>
        <w:t>*</w:t>
      </w:r>
      <w:r w:rsidR="0015199B" w:rsidRPr="006F08D3">
        <w:rPr>
          <w:i/>
          <w:sz w:val="20"/>
          <w:szCs w:val="20"/>
        </w:rPr>
        <w:t>коэффициент</w:t>
      </w:r>
      <w:r w:rsidRPr="006F08D3">
        <w:rPr>
          <w:i/>
          <w:sz w:val="20"/>
          <w:szCs w:val="20"/>
        </w:rPr>
        <w:t xml:space="preserve"> концентрации </w:t>
      </w:r>
      <w:r w:rsidR="0012232B" w:rsidRPr="006F08D3">
        <w:rPr>
          <w:i/>
          <w:sz w:val="20"/>
          <w:szCs w:val="20"/>
        </w:rPr>
        <w:t>рассчитывается</w:t>
      </w:r>
      <w:r w:rsidRPr="006F08D3">
        <w:rPr>
          <w:i/>
          <w:sz w:val="20"/>
          <w:szCs w:val="20"/>
        </w:rPr>
        <w:t xml:space="preserve"> как квадратный корень суммы квадратов отношений экспорта/импорта отдельных групп товаров к совокупному их объёму. Увеличение </w:t>
      </w:r>
      <w:r w:rsidR="00074F94" w:rsidRPr="006F08D3">
        <w:rPr>
          <w:i/>
          <w:sz w:val="20"/>
          <w:szCs w:val="20"/>
        </w:rPr>
        <w:t>коэффициента</w:t>
      </w:r>
      <w:r w:rsidRPr="006F08D3">
        <w:rPr>
          <w:i/>
          <w:sz w:val="20"/>
          <w:szCs w:val="20"/>
        </w:rPr>
        <w:t xml:space="preserve"> означает увеличение некоторых групп товаров в общем объёме.</w:t>
      </w:r>
    </w:p>
    <w:p w:rsidR="007D34F7" w:rsidRPr="006F08D3" w:rsidRDefault="007D34F7" w:rsidP="00AE3756">
      <w:pPr>
        <w:jc w:val="right"/>
        <w:rPr>
          <w:rFonts w:cs="Arial"/>
        </w:rPr>
        <w:sectPr w:rsidR="007D34F7" w:rsidRPr="006F08D3" w:rsidSect="00EC001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F3AD6" w:rsidRPr="001011D6" w:rsidRDefault="002F3AD6" w:rsidP="006171CD">
      <w:pPr>
        <w:spacing w:before="120"/>
        <w:jc w:val="right"/>
        <w:rPr>
          <w:i/>
          <w:sz w:val="22"/>
          <w:szCs w:val="22"/>
        </w:rPr>
      </w:pPr>
      <w:r w:rsidRPr="001011D6">
        <w:rPr>
          <w:i/>
          <w:sz w:val="22"/>
          <w:szCs w:val="22"/>
        </w:rPr>
        <w:lastRenderedPageBreak/>
        <w:t>Приложение 5</w:t>
      </w:r>
      <w:r w:rsidR="00AE3756" w:rsidRPr="001011D6">
        <w:rPr>
          <w:i/>
          <w:sz w:val="22"/>
          <w:szCs w:val="22"/>
        </w:rPr>
        <w:t>.1</w:t>
      </w:r>
    </w:p>
    <w:p w:rsidR="002F3AD6" w:rsidRPr="0041463F" w:rsidRDefault="002F3AD6" w:rsidP="002F3AD6">
      <w:pPr>
        <w:tabs>
          <w:tab w:val="left" w:pos="1428"/>
        </w:tabs>
      </w:pPr>
    </w:p>
    <w:p w:rsidR="00AE3756" w:rsidRPr="001011D6" w:rsidRDefault="002E0F0B" w:rsidP="00AE3756">
      <w:pPr>
        <w:pStyle w:val="1"/>
        <w:ind w:left="0"/>
        <w:jc w:val="center"/>
        <w:rPr>
          <w:rFonts w:ascii="Calibri" w:hAnsi="Calibri"/>
          <w:sz w:val="24"/>
          <w:szCs w:val="24"/>
        </w:rPr>
      </w:pPr>
      <w:bookmarkStart w:id="26" w:name="_Toc35458622"/>
      <w:r w:rsidRPr="001011D6">
        <w:rPr>
          <w:rFonts w:ascii="Calibri" w:hAnsi="Calibri"/>
          <w:sz w:val="24"/>
          <w:szCs w:val="24"/>
        </w:rPr>
        <w:t xml:space="preserve">ЭКСПОРТИРОВАННЫЕ ТОВАРЫ С ВЫСОКИМ КОЭФФИЦИЕНТОМ ТОВАРНОЙ </w:t>
      </w:r>
      <w:r w:rsidRPr="001011D6">
        <w:rPr>
          <w:rFonts w:ascii="Calibri" w:hAnsi="Calibri"/>
          <w:sz w:val="24"/>
          <w:szCs w:val="24"/>
        </w:rPr>
        <w:br/>
        <w:t>КОНЦЕНТРАЦИИ ЗА 201</w:t>
      </w:r>
      <w:r w:rsidR="00F93EE7" w:rsidRPr="001011D6">
        <w:rPr>
          <w:rFonts w:ascii="Calibri" w:hAnsi="Calibri"/>
          <w:sz w:val="24"/>
          <w:szCs w:val="24"/>
          <w:lang w:val="ru-RU"/>
        </w:rPr>
        <w:t>6</w:t>
      </w:r>
      <w:r w:rsidRPr="001011D6">
        <w:rPr>
          <w:rFonts w:ascii="Calibri" w:hAnsi="Calibri"/>
          <w:sz w:val="24"/>
          <w:szCs w:val="24"/>
        </w:rPr>
        <w:t xml:space="preserve"> - 2019 ГГ.</w:t>
      </w:r>
      <w:bookmarkEnd w:id="26"/>
    </w:p>
    <w:p w:rsidR="00AE3756" w:rsidRPr="00343190" w:rsidRDefault="00585EBB" w:rsidP="00AE3756">
      <w:pPr>
        <w:tabs>
          <w:tab w:val="left" w:pos="1428"/>
        </w:tabs>
        <w:ind w:right="-2"/>
        <w:jc w:val="right"/>
        <w:rPr>
          <w:i/>
          <w:sz w:val="20"/>
          <w:szCs w:val="20"/>
        </w:rPr>
      </w:pPr>
      <w:r w:rsidRPr="00343190">
        <w:rPr>
          <w:i/>
          <w:sz w:val="20"/>
          <w:szCs w:val="20"/>
        </w:rPr>
        <w:t>(</w:t>
      </w:r>
      <w:r w:rsidR="00AE3756" w:rsidRPr="00343190">
        <w:rPr>
          <w:i/>
          <w:sz w:val="20"/>
          <w:szCs w:val="20"/>
        </w:rPr>
        <w:t>млн. долл.</w:t>
      </w:r>
      <w:r w:rsidRPr="00343190">
        <w:rPr>
          <w:i/>
          <w:sz w:val="20"/>
          <w:szCs w:val="20"/>
        </w:rPr>
        <w:t>)</w:t>
      </w:r>
    </w:p>
    <w:tbl>
      <w:tblPr>
        <w:tblW w:w="14893" w:type="dxa"/>
        <w:tblLook w:val="04A0"/>
      </w:tblPr>
      <w:tblGrid>
        <w:gridCol w:w="734"/>
        <w:gridCol w:w="6500"/>
        <w:gridCol w:w="957"/>
        <w:gridCol w:w="957"/>
        <w:gridCol w:w="957"/>
        <w:gridCol w:w="957"/>
        <w:gridCol w:w="957"/>
        <w:gridCol w:w="957"/>
        <w:gridCol w:w="957"/>
        <w:gridCol w:w="960"/>
      </w:tblGrid>
      <w:tr w:rsidR="003D348E" w:rsidRPr="003D348E" w:rsidTr="007A3F54">
        <w:trPr>
          <w:trHeight w:val="263"/>
          <w:tblHeader/>
        </w:trPr>
        <w:tc>
          <w:tcPr>
            <w:tcW w:w="734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650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Наименование групп товаров</w:t>
            </w:r>
          </w:p>
        </w:tc>
        <w:tc>
          <w:tcPr>
            <w:tcW w:w="957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57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57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57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831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7A3F54" w:rsidRPr="003D348E" w:rsidTr="007A3F54">
        <w:trPr>
          <w:trHeight w:val="278"/>
          <w:tblHeader/>
        </w:trPr>
        <w:tc>
          <w:tcPr>
            <w:tcW w:w="734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0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 кв.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 кв.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III кв.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IV кв.</w:t>
            </w:r>
          </w:p>
        </w:tc>
      </w:tr>
      <w:tr w:rsidR="003D348E" w:rsidRPr="007A3F54" w:rsidTr="00B07643">
        <w:trPr>
          <w:trHeight w:val="312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ind w:left="143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Всего экспорт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8 444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9 923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11 095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0E3BB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="000E3B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3D34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E3B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0E3BB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3 </w:t>
            </w:r>
            <w:r w:rsidR="000E3B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0E3BB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3 </w:t>
            </w:r>
            <w:r w:rsidR="000E3B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0E3BB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4 </w:t>
            </w:r>
            <w:r w:rsidR="000E3B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</w:t>
            </w:r>
            <w:r w:rsidRPr="003D34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</w:t>
            </w:r>
            <w:r w:rsidR="000E3B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0E3BB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3 </w:t>
            </w:r>
            <w:r w:rsidR="000E3B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241</w:t>
            </w:r>
          </w:p>
        </w:tc>
      </w:tr>
      <w:tr w:rsidR="003D348E" w:rsidRPr="007A3F54" w:rsidTr="00B07643">
        <w:trPr>
          <w:trHeight w:val="312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4F5BF2" w:rsidP="003D348E">
            <w:pPr>
              <w:ind w:left="14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Основная экспортная номенк</w:t>
            </w:r>
            <w:r w:rsidR="003D348E"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7 419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8 614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9 724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11 727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2 607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2 880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3 546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2 694</w:t>
            </w:r>
          </w:p>
        </w:tc>
      </w:tr>
      <w:tr w:rsidR="003D348E" w:rsidRPr="007A3F54" w:rsidTr="00B07643">
        <w:trPr>
          <w:trHeight w:val="312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ind w:left="14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Продукты растительного происхождения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3F54" w:rsidRPr="003D348E" w:rsidTr="007A3F54">
        <w:trPr>
          <w:trHeight w:val="263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753C11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  <w:r w:rsidR="003D348E"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Томаты свежие или охлажденные: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7A3F54" w:rsidRPr="003D348E" w:rsidTr="007A3F54">
        <w:trPr>
          <w:trHeight w:val="526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753C11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  <w:r w:rsidR="003D348E"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703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Лук репчатый, лук-шалот [шарлот], лук-порей, чеснок и прочие луковичные овощи, свежие или охлажденные: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7A3F54" w:rsidRPr="003D348E" w:rsidTr="007A3F54">
        <w:trPr>
          <w:trHeight w:val="457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753C11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  <w:r w:rsidR="003D348E"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704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Капуста кочанная, капуста цветная, кольраби, капуста листовая и аналогичные съедобные овощи из рода Brassica, свежие или охлажденные: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7A3F54" w:rsidRPr="003D348E" w:rsidTr="007A3F54">
        <w:trPr>
          <w:trHeight w:val="263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753C11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  <w:r w:rsidR="003D348E"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709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Овощи прочие, свежие или охлажденные: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7A3F54" w:rsidRPr="003D348E" w:rsidTr="007A3F54">
        <w:trPr>
          <w:trHeight w:val="526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753C11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  <w:r w:rsidR="003D348E"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713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Овощи бобовые сушеные, лущеные, очищенные от семенной кожуры или неочищенные, колотые или неколотые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53</w:t>
            </w:r>
          </w:p>
        </w:tc>
      </w:tr>
      <w:tr w:rsidR="007A3F54" w:rsidRPr="003D348E" w:rsidTr="007A3F54">
        <w:trPr>
          <w:trHeight w:val="340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753C11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  <w:r w:rsidR="003D348E"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806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Виноград, свежий или сушеный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66</w:t>
            </w:r>
          </w:p>
        </w:tc>
      </w:tr>
      <w:tr w:rsidR="007A3F54" w:rsidRPr="003D348E" w:rsidTr="007A3F54">
        <w:trPr>
          <w:trHeight w:val="382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753C11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  <w:r w:rsidR="003D348E"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809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Абрикосы, вишня и черешня, персики (включая нектарины), сливы и терн, свежие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7A3F54" w:rsidRPr="003D348E" w:rsidTr="007A3F54">
        <w:trPr>
          <w:trHeight w:val="526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753C11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  <w:r w:rsidR="003D348E"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813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Фрукты сушеные, кроме плодов товарных позиций 0801 – 0806; смеси орехов или сушеных плодов данной группы: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</w:t>
            </w:r>
          </w:p>
        </w:tc>
      </w:tr>
      <w:tr w:rsidR="007A3F54" w:rsidRPr="003D348E" w:rsidTr="007A3F54">
        <w:trPr>
          <w:trHeight w:val="439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753C11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  <w:r w:rsidR="003D348E"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904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Перец рода Piper ; плоды рода Capsicum или рода Pimenta , сушеные, дробленые или молотые: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</w:t>
            </w:r>
          </w:p>
        </w:tc>
      </w:tr>
      <w:tr w:rsidR="007A3F54" w:rsidRPr="003D348E" w:rsidTr="007A3F54">
        <w:trPr>
          <w:trHeight w:val="275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Пшеница и меслин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14</w:t>
            </w:r>
          </w:p>
        </w:tc>
      </w:tr>
      <w:tr w:rsidR="003D348E" w:rsidRPr="007A3F54" w:rsidTr="007A3F54">
        <w:trPr>
          <w:trHeight w:val="263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ind w:left="14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Минеральные продукты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3F54" w:rsidRPr="003D348E" w:rsidTr="007A3F54">
        <w:trPr>
          <w:trHeight w:val="953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Нефть и нефтепродукты, полученные из битуминозных пород, кроме сырых; продукты, в другом месте не поименованные или не включенные, содержащие 70 мас.% или более нефти или нефтепродуктов, полученных из битуминозных пород, причем эти нефтепродукты являются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13</w:t>
            </w:r>
          </w:p>
        </w:tc>
      </w:tr>
      <w:tr w:rsidR="007A3F54" w:rsidRPr="003D348E" w:rsidTr="007A3F54">
        <w:trPr>
          <w:trHeight w:val="263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2711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Газы нефтяные и углеводороды газообразные прочие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1 293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1 720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2 808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2 261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668</w:t>
            </w:r>
          </w:p>
        </w:tc>
      </w:tr>
      <w:tr w:rsidR="007A3F54" w:rsidRPr="003D348E" w:rsidTr="007A3F54">
        <w:trPr>
          <w:trHeight w:val="263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2716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35</w:t>
            </w:r>
          </w:p>
        </w:tc>
      </w:tr>
      <w:tr w:rsidR="003D348E" w:rsidRPr="007A3F54" w:rsidTr="007A3F54">
        <w:trPr>
          <w:trHeight w:val="263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VI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ind w:left="14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Продукция химической промышленности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3F54" w:rsidRPr="003D348E" w:rsidTr="007A3F54">
        <w:trPr>
          <w:trHeight w:val="727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2844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Элементы химические радиоактивные и изотопы радиоактивные (включая делящиеся или воспроизводящиеся химические элементы и изотопы) и их соединения; смеси и остатки, содержащие эти продукты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55</w:t>
            </w:r>
          </w:p>
        </w:tc>
      </w:tr>
      <w:tr w:rsidR="007A3F54" w:rsidRPr="003D348E" w:rsidTr="007A3F54">
        <w:trPr>
          <w:trHeight w:val="263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3102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Удобрения минеральные или химические, азотные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16</w:t>
            </w:r>
          </w:p>
        </w:tc>
      </w:tr>
      <w:tr w:rsidR="003D348E" w:rsidRPr="007A3F54" w:rsidTr="007A3F54">
        <w:trPr>
          <w:trHeight w:val="263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ind w:left="14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Пластмассы и изделия из них каучук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3F54" w:rsidRPr="003D348E" w:rsidTr="007A3F54">
        <w:trPr>
          <w:trHeight w:val="263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3901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Полимеры этилена в первичных формах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85</w:t>
            </w:r>
          </w:p>
        </w:tc>
      </w:tr>
      <w:tr w:rsidR="003D348E" w:rsidRPr="007A3F54" w:rsidTr="007A3F54">
        <w:trPr>
          <w:trHeight w:val="263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ind w:left="14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Кожсырьё, кожа, меховое сырьё и изделия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3F54" w:rsidRPr="003D348E" w:rsidTr="00FA183D">
        <w:trPr>
          <w:trHeight w:val="734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4104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Дубленая кожа или кожевенныйкраст из шкур крупного рогатого скота (включая буйволов) или животных семейства лошадиных, без волосяного покрова, двоеные или недвоеные, но без дальнейшей обработки: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3D348E" w:rsidRPr="007A3F54" w:rsidTr="007A3F54">
        <w:trPr>
          <w:trHeight w:val="263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XI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ind w:left="14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Текстиль и текстильные изделия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3F54" w:rsidRPr="003D348E" w:rsidTr="007A3F54">
        <w:trPr>
          <w:trHeight w:val="263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Волокно хлопковое, не подвергнутое кардо- или гребнечесанию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59</w:t>
            </w:r>
          </w:p>
        </w:tc>
      </w:tr>
      <w:tr w:rsidR="007A3F54" w:rsidRPr="003D348E" w:rsidTr="007A3F54">
        <w:trPr>
          <w:trHeight w:val="526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5205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Пряжа хлопчатобумажная (кроме швейных ниток), содержащая хлопковых волокон 85 мас.% или более, не расфасованная для розничной продажи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263</w:t>
            </w:r>
          </w:p>
        </w:tc>
      </w:tr>
      <w:tr w:rsidR="007A3F54" w:rsidRPr="003D348E" w:rsidTr="007A3F54">
        <w:trPr>
          <w:trHeight w:val="526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5208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Ткани хлопчатобумажные, содержащие 85 мас.% или более хлопковых волокон, с поверхностной плотностью не более 200 г/м: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17</w:t>
            </w:r>
          </w:p>
        </w:tc>
      </w:tr>
      <w:tr w:rsidR="007A3F54" w:rsidRPr="003D348E" w:rsidTr="007A3F54">
        <w:trPr>
          <w:trHeight w:val="263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Трикотажные полотна машинного или ручного вязания прочие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14</w:t>
            </w:r>
          </w:p>
        </w:tc>
      </w:tr>
      <w:tr w:rsidR="007A3F54" w:rsidRPr="003D348E" w:rsidTr="007A3F54">
        <w:trPr>
          <w:trHeight w:val="732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6104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Костюмы, комплекты, жакеты, блайзеpы, платья, юбки, юбки-брюки, брюки, комбинезоны с нагрудниками и лямками, бриджи и шорты (кроме купальников) трикотажные, машинного или pучного вязания, женские или для девочек: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7A3F54" w:rsidRPr="003D348E" w:rsidTr="007A3F54">
        <w:trPr>
          <w:trHeight w:val="488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6109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Майки, фуфайки с рукавами и прочие нательные фуфайки трикотажные машинного или ручного вязания: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24</w:t>
            </w:r>
          </w:p>
        </w:tc>
      </w:tr>
      <w:tr w:rsidR="003D348E" w:rsidRPr="007A3F54" w:rsidTr="007A3F54">
        <w:trPr>
          <w:trHeight w:val="464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XIV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ind w:left="14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Драгоценные металлы, драгоценные </w:t>
            </w: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или полудрагоценные камни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3F54" w:rsidRPr="003D348E" w:rsidTr="00FA183D">
        <w:trPr>
          <w:trHeight w:val="357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7108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Золото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2 808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3 260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2 910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4 918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1 231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1 888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935</w:t>
            </w:r>
          </w:p>
        </w:tc>
      </w:tr>
      <w:tr w:rsidR="003D348E" w:rsidRPr="007A3F54" w:rsidTr="007A3F54">
        <w:trPr>
          <w:trHeight w:val="263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XV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ind w:left="14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Недрагоценные металлы и изделия из них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3F54" w:rsidRPr="003D348E" w:rsidTr="007A3F54">
        <w:trPr>
          <w:trHeight w:val="705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7214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Прутки из железа или нелегированной стали, без дальнейшей обработки, кроме ковки, горячей прокатки, горячего волочения или горячего экструдирования, включая прутки, скрученные после прокатки, прочие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</w:t>
            </w:r>
          </w:p>
        </w:tc>
      </w:tr>
      <w:tr w:rsidR="007A3F54" w:rsidRPr="003D348E" w:rsidTr="00FA183D">
        <w:trPr>
          <w:trHeight w:val="307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7403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Медь рафинированная и сплавы медные необработанные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145</w:t>
            </w:r>
          </w:p>
        </w:tc>
      </w:tr>
      <w:tr w:rsidR="007A3F54" w:rsidRPr="003D348E" w:rsidTr="00FA183D">
        <w:trPr>
          <w:trHeight w:val="325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7408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Проволока медная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37</w:t>
            </w:r>
          </w:p>
        </w:tc>
      </w:tr>
      <w:tr w:rsidR="007A3F54" w:rsidRPr="003D348E" w:rsidTr="007A3F54">
        <w:trPr>
          <w:trHeight w:val="263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7901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Цинк необработанный: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41</w:t>
            </w:r>
          </w:p>
        </w:tc>
      </w:tr>
      <w:tr w:rsidR="003D348E" w:rsidRPr="007A3F54" w:rsidTr="007A3F54">
        <w:trPr>
          <w:trHeight w:val="305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XVI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ind w:left="14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Машины, оборудование, механизмы; электротехническое оборудование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3F54" w:rsidRPr="003D348E" w:rsidTr="007A3F54">
        <w:trPr>
          <w:trHeight w:val="483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8432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Машины сельскохозяйственные, садовые или лесохозяйственные для подготовки и обработки почвы; катки для газонов или спортплощадок: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7A3F54" w:rsidRPr="003D348E" w:rsidTr="007A3F54">
        <w:trPr>
          <w:trHeight w:val="675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8481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Краны, клапаны, вентили и аналогичная арматура для трубопроводов, котлов, резервуаров, цистерн, баков или аналогичных емкостей, включая редукционные и терморегулирующие клапаны: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7A3F54" w:rsidRPr="003D348E" w:rsidTr="007A3F54">
        <w:trPr>
          <w:trHeight w:val="702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8504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Трансформаторы электрические, статические электрические преобразователи (например, выпрямители), катушки индуктивности и дроссели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</w:t>
            </w:r>
          </w:p>
        </w:tc>
      </w:tr>
      <w:tr w:rsidR="007A3F54" w:rsidRPr="003D348E" w:rsidTr="007A3F54">
        <w:trPr>
          <w:trHeight w:val="943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8528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7A3F54" w:rsidRPr="003D348E" w:rsidTr="007A3F54">
        <w:trPr>
          <w:trHeight w:val="1018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8535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Аппаратура электрическая для коммутации или защиты электрических цепей или для подсоединений к электрическим цепям или в электрических цепях (например, выключатели, переключатели, прерыватели, плавкие предохранители, молниеотводы, ограничители напряжения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7A3F54" w:rsidRPr="003D348E" w:rsidTr="007A3F54">
        <w:trPr>
          <w:trHeight w:val="839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8544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Провода изолированные (включая эмалированные или анодированные), кабели (включая коаксиальные кабели) и другие изолированные электрические проводники с соединительными приспособлениями или без них; кабели волоконно-оптические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</w:t>
            </w:r>
          </w:p>
        </w:tc>
      </w:tr>
      <w:tr w:rsidR="003D348E" w:rsidRPr="007A3F54" w:rsidTr="007A3F54">
        <w:trPr>
          <w:trHeight w:val="331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XVII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ind w:left="143"/>
              <w:rPr>
                <w:rFonts w:asciiTheme="minorHAnsi" w:hAnsiTheme="minorHAnsi" w:cstheme="minorHAnsi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sz w:val="18"/>
                <w:szCs w:val="18"/>
              </w:rPr>
              <w:t>Средства наземного, воздушного и водного транспорта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3F54" w:rsidRPr="003D348E" w:rsidTr="007A3F54">
        <w:trPr>
          <w:trHeight w:val="563"/>
        </w:trPr>
        <w:tc>
          <w:tcPr>
            <w:tcW w:w="73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8703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D348E" w:rsidRPr="003D348E" w:rsidRDefault="003D348E" w:rsidP="003D348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D348E" w:rsidRPr="003D348E" w:rsidRDefault="003D348E" w:rsidP="003D348E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D348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50</w:t>
            </w:r>
          </w:p>
        </w:tc>
      </w:tr>
    </w:tbl>
    <w:p w:rsidR="002F3AD6" w:rsidRPr="006F08D3" w:rsidRDefault="002F3AD6" w:rsidP="00AE3756">
      <w:pPr>
        <w:rPr>
          <w:rFonts w:cs="Arial"/>
        </w:rPr>
      </w:pPr>
    </w:p>
    <w:p w:rsidR="002F3AD6" w:rsidRPr="001011D6" w:rsidRDefault="005C6E0F" w:rsidP="006171CD">
      <w:pPr>
        <w:spacing w:before="120"/>
        <w:jc w:val="right"/>
        <w:rPr>
          <w:i/>
          <w:sz w:val="22"/>
          <w:szCs w:val="22"/>
        </w:rPr>
      </w:pPr>
      <w:r w:rsidRPr="006F08D3">
        <w:rPr>
          <w:rFonts w:cs="Arial"/>
          <w:i/>
        </w:rPr>
        <w:br w:type="page"/>
      </w:r>
      <w:r w:rsidR="002F3AD6" w:rsidRPr="001011D6">
        <w:rPr>
          <w:i/>
          <w:sz w:val="22"/>
          <w:szCs w:val="22"/>
        </w:rPr>
        <w:lastRenderedPageBreak/>
        <w:t>Приложение 5.</w:t>
      </w:r>
      <w:r w:rsidR="00637FAA" w:rsidRPr="001011D6">
        <w:rPr>
          <w:i/>
          <w:sz w:val="22"/>
          <w:szCs w:val="22"/>
        </w:rPr>
        <w:t>2</w:t>
      </w:r>
    </w:p>
    <w:p w:rsidR="00637FAA" w:rsidRPr="001011D6" w:rsidRDefault="002E0F0B" w:rsidP="00585EBB">
      <w:pPr>
        <w:pStyle w:val="1"/>
        <w:ind w:left="0"/>
        <w:jc w:val="center"/>
        <w:rPr>
          <w:rFonts w:ascii="Calibri" w:hAnsi="Calibri"/>
          <w:sz w:val="24"/>
          <w:szCs w:val="24"/>
        </w:rPr>
      </w:pPr>
      <w:bookmarkStart w:id="27" w:name="_Toc35458623"/>
      <w:r w:rsidRPr="001011D6">
        <w:rPr>
          <w:rFonts w:ascii="Calibri" w:hAnsi="Calibri"/>
          <w:sz w:val="24"/>
          <w:szCs w:val="24"/>
        </w:rPr>
        <w:t>ИМПОРТИРОВАННЫЕ ТОВАРЫ С ВЫСОКИМ КОЭФФИЦИЕНТОМ ТОВАРНОЙ КОНЦЕНТРАЦИИ ЗА 201</w:t>
      </w:r>
      <w:r w:rsidR="000B5222" w:rsidRPr="001011D6">
        <w:rPr>
          <w:rFonts w:ascii="Calibri" w:hAnsi="Calibri"/>
          <w:sz w:val="24"/>
          <w:szCs w:val="24"/>
          <w:lang w:val="uz-Cyrl-UZ"/>
        </w:rPr>
        <w:t>6</w:t>
      </w:r>
      <w:r w:rsidRPr="001011D6">
        <w:rPr>
          <w:rFonts w:ascii="Calibri" w:hAnsi="Calibri"/>
          <w:sz w:val="24"/>
          <w:szCs w:val="24"/>
        </w:rPr>
        <w:t xml:space="preserve"> - 2019 ГГ.</w:t>
      </w:r>
      <w:bookmarkEnd w:id="27"/>
    </w:p>
    <w:p w:rsidR="00000FD5" w:rsidRPr="0041463F" w:rsidRDefault="00000FD5" w:rsidP="00637FAA">
      <w:pPr>
        <w:ind w:right="140"/>
        <w:jc w:val="right"/>
        <w:rPr>
          <w:i/>
          <w:sz w:val="10"/>
          <w:szCs w:val="10"/>
        </w:rPr>
      </w:pPr>
    </w:p>
    <w:p w:rsidR="00637FAA" w:rsidRPr="00343190" w:rsidRDefault="00585EBB" w:rsidP="00637FAA">
      <w:pPr>
        <w:ind w:right="140"/>
        <w:jc w:val="right"/>
        <w:rPr>
          <w:i/>
          <w:sz w:val="20"/>
          <w:szCs w:val="20"/>
        </w:rPr>
      </w:pPr>
      <w:r w:rsidRPr="00343190">
        <w:rPr>
          <w:i/>
          <w:sz w:val="20"/>
          <w:szCs w:val="20"/>
        </w:rPr>
        <w:t>(</w:t>
      </w:r>
      <w:r w:rsidR="00637FAA" w:rsidRPr="00343190">
        <w:rPr>
          <w:i/>
          <w:sz w:val="20"/>
          <w:szCs w:val="20"/>
        </w:rPr>
        <w:t>млн. долл.</w:t>
      </w:r>
      <w:r w:rsidRPr="00343190">
        <w:rPr>
          <w:i/>
          <w:sz w:val="20"/>
          <w:szCs w:val="20"/>
        </w:rPr>
        <w:t>)</w:t>
      </w:r>
    </w:p>
    <w:tbl>
      <w:tblPr>
        <w:tblW w:w="14728" w:type="dxa"/>
        <w:tblLook w:val="04A0"/>
      </w:tblPr>
      <w:tblGrid>
        <w:gridCol w:w="813"/>
        <w:gridCol w:w="5849"/>
        <w:gridCol w:w="990"/>
        <w:gridCol w:w="991"/>
        <w:gridCol w:w="991"/>
        <w:gridCol w:w="991"/>
        <w:gridCol w:w="1023"/>
        <w:gridCol w:w="1023"/>
        <w:gridCol w:w="1023"/>
        <w:gridCol w:w="1034"/>
      </w:tblGrid>
      <w:tr w:rsidR="007A3F54" w:rsidRPr="00FB5F2F" w:rsidTr="004F5BF2">
        <w:trPr>
          <w:trHeight w:val="283"/>
          <w:tblHeader/>
        </w:trPr>
        <w:tc>
          <w:tcPr>
            <w:tcW w:w="813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849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Наименование групп товаров</w:t>
            </w:r>
          </w:p>
        </w:tc>
        <w:tc>
          <w:tcPr>
            <w:tcW w:w="99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1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1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1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103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7A3F54" w:rsidRPr="00FB5F2F" w:rsidTr="00FB5F2F">
        <w:trPr>
          <w:trHeight w:val="314"/>
          <w:tblHeader/>
        </w:trPr>
        <w:tc>
          <w:tcPr>
            <w:tcW w:w="813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 кв.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 кв.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III кв.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IV кв.</w:t>
            </w:r>
          </w:p>
        </w:tc>
      </w:tr>
      <w:tr w:rsidR="007A3F54" w:rsidRPr="00FB5F2F" w:rsidTr="00280077">
        <w:trPr>
          <w:trHeight w:val="312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7A3F54" w:rsidRPr="00FB5F2F" w:rsidRDefault="007A3F54" w:rsidP="00525C6A">
            <w:pPr>
              <w:ind w:firstLineChars="100" w:firstLine="181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Всего импорт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11 483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12 935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18 901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22 504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5 047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5 551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5 871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6 036</w:t>
            </w:r>
          </w:p>
        </w:tc>
      </w:tr>
      <w:tr w:rsidR="007A3F54" w:rsidRPr="00FB5F2F" w:rsidTr="00280077">
        <w:trPr>
          <w:trHeight w:val="312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7A3F54" w:rsidRPr="00FB5F2F" w:rsidRDefault="007A3F54" w:rsidP="007A3F54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Основная товарная номенкулатура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5 804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6 532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9 334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10 270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2 398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2 510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2 493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2 869</w:t>
            </w:r>
          </w:p>
        </w:tc>
      </w:tr>
      <w:tr w:rsidR="007A3F54" w:rsidRPr="00FB5F2F" w:rsidTr="00280077">
        <w:trPr>
          <w:trHeight w:val="312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A3F54" w:rsidRPr="00FB5F2F" w:rsidRDefault="007A3F54" w:rsidP="007A3F54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Продукты растительного происхождения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3F54" w:rsidRPr="00FB5F2F" w:rsidTr="00FB5F2F">
        <w:trPr>
          <w:trHeight w:val="283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Пшеница и меслин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105</w:t>
            </w:r>
          </w:p>
        </w:tc>
      </w:tr>
      <w:tr w:rsidR="007A3F54" w:rsidRPr="00FB5F2F" w:rsidTr="00FB5F2F">
        <w:trPr>
          <w:trHeight w:val="283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Мука пшеничная или пшенично-ржаная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28</w:t>
            </w:r>
          </w:p>
        </w:tc>
      </w:tr>
      <w:tr w:rsidR="007A3F54" w:rsidRPr="00FB5F2F" w:rsidTr="00280077">
        <w:trPr>
          <w:trHeight w:val="283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A3F54" w:rsidRPr="00FB5F2F" w:rsidRDefault="007A3F54" w:rsidP="007A3F54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Жиры и масла животного или растительного происхождения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3F54" w:rsidRPr="00FB5F2F" w:rsidTr="00FB5F2F">
        <w:trPr>
          <w:trHeight w:val="533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Масло подсолнечное, сафлоровое или хлопковое и их фракции, нерафинированные или рафинированные, но без изменения их химического состава: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49</w:t>
            </w:r>
          </w:p>
        </w:tc>
      </w:tr>
      <w:tr w:rsidR="007A3F54" w:rsidRPr="00FB5F2F" w:rsidTr="00FB5F2F">
        <w:trPr>
          <w:trHeight w:val="283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IV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Продукты пищевой промышленности, алкоголь, табак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3F54" w:rsidRPr="00FB5F2F" w:rsidTr="00FB5F2F">
        <w:trPr>
          <w:trHeight w:val="394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Сахар тростниковый или свекловичный и химически чистая сахароза, в твердом состоянии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82</w:t>
            </w:r>
          </w:p>
        </w:tc>
      </w:tr>
      <w:tr w:rsidR="007A3F54" w:rsidRPr="00FB5F2F" w:rsidTr="00FB5F2F">
        <w:trPr>
          <w:trHeight w:val="283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Минеральные продукты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3F54" w:rsidRPr="00FB5F2F" w:rsidTr="00FB5F2F">
        <w:trPr>
          <w:trHeight w:val="420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2709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Нефть сырая и нефтепродукты сырые, полученные из битуминозных пород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43</w:t>
            </w:r>
          </w:p>
        </w:tc>
      </w:tr>
      <w:tr w:rsidR="007A3F54" w:rsidRPr="00FB5F2F" w:rsidTr="00FB5F2F">
        <w:trPr>
          <w:trHeight w:val="805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Нефть и нефтепродукты, полученные из битуминозных пород, кроме сырых; продукты, в другом месте не поименованные или не включенные, содержащие 70 мас.% или более нефти или нефтепродуктов, полученных из битуминозных пород, причем эти нефтепродукты являются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203</w:t>
            </w:r>
          </w:p>
        </w:tc>
      </w:tr>
      <w:tr w:rsidR="007A3F54" w:rsidRPr="00FB5F2F" w:rsidTr="00FB5F2F">
        <w:trPr>
          <w:trHeight w:val="749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2523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Портландцемент, цемент глиноземистый, цемент шлаковый, цемент суперсульфатный и аналогичные гидравлические цементы, неокрашенные или окрашенные, готовые или в форме клинкеров: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23</w:t>
            </w:r>
          </w:p>
        </w:tc>
      </w:tr>
      <w:tr w:rsidR="007A3F54" w:rsidRPr="00FB5F2F" w:rsidTr="00FB5F2F">
        <w:trPr>
          <w:trHeight w:val="283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Продукция химической промышленности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3F54" w:rsidRPr="00FB5F2F" w:rsidTr="00FB5F2F">
        <w:trPr>
          <w:trHeight w:val="1222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3004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235</w:t>
            </w:r>
          </w:p>
        </w:tc>
      </w:tr>
      <w:tr w:rsidR="007A3F54" w:rsidRPr="00FB5F2F" w:rsidTr="00FB5F2F">
        <w:trPr>
          <w:trHeight w:val="283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VII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Пластмассы и изделия из них каучук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3F54" w:rsidRPr="00FB5F2F" w:rsidTr="00FB5F2F">
        <w:trPr>
          <w:trHeight w:val="283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3902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Полимеры пропилена или прочих олефинов в первичных формах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20</w:t>
            </w:r>
          </w:p>
        </w:tc>
      </w:tr>
      <w:tr w:rsidR="007A3F54" w:rsidRPr="00FB5F2F" w:rsidTr="00FB5F2F">
        <w:trPr>
          <w:trHeight w:val="568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3904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Полимеры винилхлорида или прочих галогенированных олефинов, в первичных формах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26</w:t>
            </w:r>
          </w:p>
        </w:tc>
      </w:tr>
      <w:tr w:rsidR="007A3F54" w:rsidRPr="00FB5F2F" w:rsidTr="00FB5F2F">
        <w:trPr>
          <w:trHeight w:val="609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3907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Полиацетали, полиэфиры простые прочие и смолы эпоксидные в первичных формах; поликарбонаты, смолы алкидные, сложные полиаллильные эфиры и прочие сложные полиэфиры в первичных формах: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35</w:t>
            </w:r>
          </w:p>
        </w:tc>
      </w:tr>
      <w:tr w:rsidR="007A3F54" w:rsidRPr="00FB5F2F" w:rsidTr="00FB5F2F">
        <w:trPr>
          <w:trHeight w:val="423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3912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Целлюлоза и ее химические производные, в первичных формах, в другом месте не поименованные или не включенные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42</w:t>
            </w:r>
          </w:p>
        </w:tc>
      </w:tr>
      <w:tr w:rsidR="007A3F54" w:rsidRPr="00FB5F2F" w:rsidTr="00FB5F2F">
        <w:trPr>
          <w:trHeight w:val="283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4011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Шины и покрышки пневматические резиновые новые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47</w:t>
            </w:r>
          </w:p>
        </w:tc>
      </w:tr>
      <w:tr w:rsidR="007A3F54" w:rsidRPr="00FB5F2F" w:rsidTr="00FB5F2F">
        <w:trPr>
          <w:trHeight w:val="283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IX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Древесина и изделия из древесины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3F54" w:rsidRPr="00FB5F2F" w:rsidTr="00FB5F2F">
        <w:trPr>
          <w:trHeight w:val="679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4407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Лесоматериалы, полученные распиловкой или расщеплением вдоль, строганием или лущением, не обработанные или обработанные строганием, шлифованием, имеющие или не имеющие торцевые соединения, толщиной более 6 мм: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67</w:t>
            </w:r>
          </w:p>
        </w:tc>
      </w:tr>
      <w:tr w:rsidR="007A3F54" w:rsidRPr="00FB5F2F" w:rsidTr="00FB5F2F">
        <w:trPr>
          <w:trHeight w:val="352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4411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Плиты древесно-волокнистые из древесины или других одревесневших материалов с добавлением или без добавления смол или других органических веществ: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28</w:t>
            </w:r>
          </w:p>
        </w:tc>
      </w:tr>
      <w:tr w:rsidR="007A3F54" w:rsidRPr="00FB5F2F" w:rsidTr="00FB5F2F">
        <w:trPr>
          <w:trHeight w:val="283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XV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Недрагоценные металлы и изделия из них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3F54" w:rsidRPr="00FB5F2F" w:rsidTr="00FB5F2F">
        <w:trPr>
          <w:trHeight w:val="283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7207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Полуфабрикаты из железа или нелегированной стали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35</w:t>
            </w:r>
          </w:p>
        </w:tc>
      </w:tr>
      <w:tr w:rsidR="007A3F54" w:rsidRPr="00FB5F2F" w:rsidTr="00FB5F2F">
        <w:trPr>
          <w:trHeight w:val="683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7208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Прокат плоский из железа или нелегированной стали шириной 600 мм или более, горячекатаный, неплакированный, без гальванического или другого покрытия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53</w:t>
            </w:r>
          </w:p>
        </w:tc>
      </w:tr>
      <w:tr w:rsidR="007A3F54" w:rsidRPr="00FB5F2F" w:rsidTr="00FB5F2F">
        <w:trPr>
          <w:trHeight w:val="692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7209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Прокат плоский из железа или нелегированной стали шириной 600 мм или более, холоднокатаный (обжатый в холодном состоянии), неплакированный, без гальванического или другого покрытия: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50</w:t>
            </w:r>
          </w:p>
        </w:tc>
      </w:tr>
      <w:tr w:rsidR="007A3F54" w:rsidRPr="00FB5F2F" w:rsidTr="00FB5F2F">
        <w:trPr>
          <w:trHeight w:val="420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7304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Трубы, трубки и профили полые, бесшовные, из черных металлов (кроме чугунного литья)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79</w:t>
            </w:r>
          </w:p>
        </w:tc>
      </w:tr>
      <w:tr w:rsidR="007A3F54" w:rsidRPr="00FB5F2F" w:rsidTr="00FB5F2F">
        <w:trPr>
          <w:trHeight w:val="83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7308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Металлоконструкции из черных металлов (кроме сборных строительных конструкций товарной позиции 9406) и их части (например, мосты и их секции, ворота шлюзов, башни, решетчатые мачты, перекрытия для крыш, строительные фермы, двери и окна и их рамы, порогид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38</w:t>
            </w:r>
          </w:p>
        </w:tc>
      </w:tr>
      <w:tr w:rsidR="007A3F54" w:rsidRPr="00FB5F2F" w:rsidTr="00FB5F2F">
        <w:trPr>
          <w:trHeight w:val="650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7210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Прокат плоский из железа или нелегированной стали шириной 600 мм или более, плакированный, с гальваническим или другим покрытием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110</w:t>
            </w:r>
          </w:p>
        </w:tc>
      </w:tr>
      <w:tr w:rsidR="007A3F54" w:rsidRPr="00FB5F2F" w:rsidTr="00FB5F2F">
        <w:trPr>
          <w:trHeight w:val="509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XVI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7A3F54" w:rsidRPr="00FB5F2F" w:rsidRDefault="007A3F54" w:rsidP="00FB5F2F">
            <w:pPr>
              <w:ind w:left="20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Машины, оборудование, механизмы; </w:t>
            </w: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электротехническое оборудование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3F54" w:rsidRPr="00FB5F2F" w:rsidTr="00FB5F2F">
        <w:trPr>
          <w:trHeight w:val="543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8402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Котлы паровые или другие паропроизводящие котлы (кроме водяных котлов центрального отопления, способных также производить пар низкого давления); котлы перегретой воды: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7A3F54" w:rsidRPr="00FB5F2F" w:rsidTr="00FB5F2F">
        <w:trPr>
          <w:trHeight w:val="737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8418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33</w:t>
            </w:r>
          </w:p>
        </w:tc>
      </w:tr>
      <w:tr w:rsidR="007A3F54" w:rsidRPr="00FB5F2F" w:rsidTr="00FB5F2F">
        <w:trPr>
          <w:trHeight w:val="848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8414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Насосы воздушные или вакуумные, воздушные или газовые компрессоры и вентиляторы; вентиляционные или рециркуляционные вытяжные колпаки или шкафы с вентилятором, с фильтрами или без фильтров: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68</w:t>
            </w:r>
          </w:p>
        </w:tc>
      </w:tr>
      <w:tr w:rsidR="007A3F54" w:rsidRPr="00FB5F2F" w:rsidTr="00FB5F2F">
        <w:trPr>
          <w:trHeight w:val="933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8419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Машины, оборудование промышленное или лабораторное с электрическим или неэлектрическим нагревом (исключая печи, камеры и другое оборудование товарной позиции 8514) для обработки материалов в процессе с изменением температуры, таком как нагрев, варка, жар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51</w:t>
            </w:r>
          </w:p>
        </w:tc>
      </w:tr>
      <w:tr w:rsidR="007A3F54" w:rsidRPr="00FB5F2F" w:rsidTr="00FB5F2F">
        <w:trPr>
          <w:trHeight w:val="537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8421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Центрифуги, включая центробежные сушилки; оборудование и устройства для фильтрования или очистки жидкостей или газов: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42</w:t>
            </w:r>
          </w:p>
        </w:tc>
      </w:tr>
      <w:tr w:rsidR="007A3F54" w:rsidRPr="00FB5F2F" w:rsidTr="00FB5F2F">
        <w:trPr>
          <w:trHeight w:val="701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8429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Бульдозеры с неповоротным и поворотным отвалом, грейдеры, планировщики, скреперы, механические лопаты, экскаваторы, одноковшовые погрузчики, трамбовочные машины и дорожные катки, самоходные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86</w:t>
            </w:r>
          </w:p>
        </w:tc>
      </w:tr>
      <w:tr w:rsidR="007A3F54" w:rsidRPr="00FB5F2F" w:rsidTr="00FB5F2F">
        <w:trPr>
          <w:trHeight w:val="954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8445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Машины для подготовки текстильных волокон; прядильные, тростильные или крутильные машины и другое оборудование для изготовления текстильной пряжи; кокономотальные или мотальные (включая уточномотальные) текстильные машины и машины, подготавливающие текст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59</w:t>
            </w:r>
          </w:p>
        </w:tc>
      </w:tr>
      <w:tr w:rsidR="007A3F54" w:rsidRPr="00FB5F2F" w:rsidTr="00FB5F2F">
        <w:trPr>
          <w:trHeight w:val="828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8471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62</w:t>
            </w:r>
          </w:p>
        </w:tc>
      </w:tr>
      <w:tr w:rsidR="007A3F54" w:rsidRPr="00FB5F2F" w:rsidTr="00FB5F2F">
        <w:trPr>
          <w:trHeight w:val="650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8474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Оборудование для сортировки, грохочения, сепарации, промывки, измельчения, размалывания, смешивания или перемешивания грунта, камня, руд или других минеральных ископаемых в твердом (в том числе порошкообразном или пастообразном) состоянии; оборудование 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179</w:t>
            </w:r>
          </w:p>
        </w:tc>
      </w:tr>
      <w:tr w:rsidR="007A3F54" w:rsidRPr="00FB5F2F" w:rsidTr="00FB5F2F">
        <w:trPr>
          <w:trHeight w:val="650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8477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Оборудование для обработки резины или пластмасс или для производства продукции из этих материалов, в другом месте данной группы не поименованное или не включенное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54</w:t>
            </w:r>
          </w:p>
        </w:tc>
      </w:tr>
      <w:tr w:rsidR="007A3F54" w:rsidRPr="00FB5F2F" w:rsidTr="00FB5F2F">
        <w:trPr>
          <w:trHeight w:val="647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8479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Машины и механические устройства, имеющие индивидуальные функции, в другом месте данной группы не поименованные или не включенные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68</w:t>
            </w:r>
          </w:p>
        </w:tc>
      </w:tr>
      <w:tr w:rsidR="007A3F54" w:rsidRPr="00FB5F2F" w:rsidTr="00FB5F2F">
        <w:trPr>
          <w:trHeight w:val="838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8481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Краны, клапаны, вентили и аналогичная арматура для трубопроводов, котлов, резервуаров, цистерн, баков или аналогичных емкостей, включая редукционные и терморегулируемые клапаны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48</w:t>
            </w:r>
          </w:p>
        </w:tc>
      </w:tr>
      <w:tr w:rsidR="007A3F54" w:rsidRPr="00FB5F2F" w:rsidTr="00FB5F2F">
        <w:trPr>
          <w:trHeight w:val="864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8517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Аппараты электрические телефонные или телеграфные для проводной связи, включая телефонные аппараты с беспpоводной тpубкой и аппаpаты для систем проводной связи на несущей частоте или для цифpовых пpоводных систем связи; видеофоны: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118</w:t>
            </w:r>
          </w:p>
        </w:tc>
      </w:tr>
      <w:tr w:rsidR="007A3F54" w:rsidRPr="00FB5F2F" w:rsidTr="00FB5F2F">
        <w:trPr>
          <w:trHeight w:val="976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8537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Пульты, панели, консоли, столы, распределительные щиты и основания для электрической аппаратуры прочие, оборудованные двумя или более устройствами товарной позиции 8535 или 8536, для управления или распределения электрического тока, в том числе включающи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31</w:t>
            </w:r>
          </w:p>
        </w:tc>
      </w:tr>
      <w:tr w:rsidR="007A3F54" w:rsidRPr="00FB5F2F" w:rsidTr="00FB5F2F">
        <w:trPr>
          <w:trHeight w:val="337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XVII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ind w:firstLineChars="100" w:firstLine="1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Средства наземного, воздушного и водного транспорта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3F54" w:rsidRPr="00FB5F2F" w:rsidTr="00FB5F2F">
        <w:trPr>
          <w:trHeight w:val="378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8704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Моторные транспортные средства для перевозки грузов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44</w:t>
            </w:r>
          </w:p>
        </w:tc>
      </w:tr>
      <w:tr w:rsidR="007A3F54" w:rsidRPr="00FB5F2F" w:rsidTr="00FB5F2F">
        <w:trPr>
          <w:trHeight w:val="832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8703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231</w:t>
            </w:r>
          </w:p>
        </w:tc>
      </w:tr>
      <w:tr w:rsidR="007A3F54" w:rsidRPr="00FB5F2F" w:rsidTr="00FB5F2F">
        <w:trPr>
          <w:trHeight w:val="568"/>
        </w:trPr>
        <w:tc>
          <w:tcPr>
            <w:tcW w:w="8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8708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7A3F54" w:rsidRPr="00FB5F2F" w:rsidRDefault="007A3F54" w:rsidP="007A3F54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Части и принадлежности моторных транспортных средств товарных позиций 8701 – 8705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7A3F54" w:rsidRPr="00FB5F2F" w:rsidRDefault="007A3F54" w:rsidP="007A3F54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FB5F2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287</w:t>
            </w:r>
          </w:p>
        </w:tc>
      </w:tr>
    </w:tbl>
    <w:p w:rsidR="002F3AD6" w:rsidRPr="006F08D3" w:rsidRDefault="002F3AD6" w:rsidP="008E63FA">
      <w:pPr>
        <w:rPr>
          <w:rFonts w:cs="Arial"/>
        </w:rPr>
        <w:sectPr w:rsidR="002F3AD6" w:rsidRPr="006F08D3" w:rsidSect="00491771">
          <w:pgSz w:w="16838" w:h="11906" w:orient="landscape"/>
          <w:pgMar w:top="1134" w:right="1021" w:bottom="709" w:left="1134" w:header="709" w:footer="709" w:gutter="0"/>
          <w:cols w:space="708"/>
          <w:docGrid w:linePitch="360"/>
        </w:sectPr>
      </w:pPr>
    </w:p>
    <w:p w:rsidR="00951B5C" w:rsidRPr="001011D6" w:rsidRDefault="00951B5C" w:rsidP="0038132F">
      <w:pPr>
        <w:ind w:right="-31"/>
        <w:jc w:val="right"/>
        <w:rPr>
          <w:i/>
          <w:sz w:val="22"/>
          <w:szCs w:val="22"/>
        </w:rPr>
      </w:pPr>
      <w:r w:rsidRPr="001011D6">
        <w:rPr>
          <w:i/>
          <w:sz w:val="22"/>
          <w:szCs w:val="22"/>
        </w:rPr>
        <w:lastRenderedPageBreak/>
        <w:t>Приложение 6</w:t>
      </w:r>
    </w:p>
    <w:p w:rsidR="008E63FA" w:rsidRPr="001011D6" w:rsidRDefault="002E0F0B" w:rsidP="008E63FA">
      <w:pPr>
        <w:pStyle w:val="1"/>
        <w:ind w:left="0"/>
        <w:jc w:val="center"/>
        <w:rPr>
          <w:rFonts w:ascii="Calibri" w:hAnsi="Calibri"/>
          <w:sz w:val="24"/>
          <w:szCs w:val="24"/>
        </w:rPr>
      </w:pPr>
      <w:bookmarkStart w:id="28" w:name="_Toc35458624"/>
      <w:r w:rsidRPr="001011D6">
        <w:rPr>
          <w:rFonts w:ascii="Calibri" w:hAnsi="Calibri"/>
          <w:sz w:val="24"/>
          <w:szCs w:val="24"/>
        </w:rPr>
        <w:t>ГЕОГРАФИЧЕСКАЯ СТРУКТУРА ВНЕШНЕЙ ТОРГОВЛИ ТОВАРАМИ ЗА 201</w:t>
      </w:r>
      <w:r w:rsidR="006206A6" w:rsidRPr="001011D6">
        <w:rPr>
          <w:rFonts w:ascii="Calibri" w:hAnsi="Calibri"/>
          <w:sz w:val="24"/>
          <w:szCs w:val="24"/>
          <w:lang w:val="ru-RU"/>
        </w:rPr>
        <w:t>6</w:t>
      </w:r>
      <w:r w:rsidRPr="001011D6">
        <w:rPr>
          <w:rFonts w:ascii="Calibri" w:hAnsi="Calibri"/>
          <w:sz w:val="24"/>
          <w:szCs w:val="24"/>
        </w:rPr>
        <w:t xml:space="preserve"> - 2019 ГГ.</w:t>
      </w:r>
      <w:bookmarkEnd w:id="28"/>
    </w:p>
    <w:p w:rsidR="008E63FA" w:rsidRPr="007A25B6" w:rsidRDefault="008E63FA" w:rsidP="008E63FA">
      <w:pPr>
        <w:ind w:right="253"/>
        <w:jc w:val="right"/>
        <w:rPr>
          <w:i/>
          <w:sz w:val="10"/>
          <w:szCs w:val="10"/>
        </w:rPr>
      </w:pPr>
    </w:p>
    <w:p w:rsidR="008E63FA" w:rsidRPr="00343190" w:rsidRDefault="00585EBB" w:rsidP="0038132F">
      <w:pPr>
        <w:ind w:right="-31"/>
        <w:contextualSpacing/>
        <w:jc w:val="right"/>
        <w:rPr>
          <w:i/>
          <w:sz w:val="20"/>
          <w:szCs w:val="20"/>
        </w:rPr>
      </w:pPr>
      <w:r w:rsidRPr="00343190">
        <w:rPr>
          <w:i/>
          <w:sz w:val="20"/>
          <w:szCs w:val="20"/>
        </w:rPr>
        <w:t>(</w:t>
      </w:r>
      <w:r w:rsidR="008E63FA" w:rsidRPr="00343190">
        <w:rPr>
          <w:i/>
          <w:sz w:val="20"/>
          <w:szCs w:val="20"/>
        </w:rPr>
        <w:t>млн. долл.</w:t>
      </w:r>
      <w:r w:rsidRPr="00343190">
        <w:rPr>
          <w:i/>
          <w:sz w:val="20"/>
          <w:szCs w:val="20"/>
        </w:rPr>
        <w:t>)</w:t>
      </w:r>
    </w:p>
    <w:tbl>
      <w:tblPr>
        <w:tblW w:w="14778" w:type="dxa"/>
        <w:tblLook w:val="04A0"/>
      </w:tblPr>
      <w:tblGrid>
        <w:gridCol w:w="2727"/>
        <w:gridCol w:w="830"/>
        <w:gridCol w:w="673"/>
        <w:gridCol w:w="816"/>
        <w:gridCol w:w="675"/>
        <w:gridCol w:w="830"/>
        <w:gridCol w:w="673"/>
        <w:gridCol w:w="816"/>
        <w:gridCol w:w="675"/>
        <w:gridCol w:w="830"/>
        <w:gridCol w:w="673"/>
        <w:gridCol w:w="816"/>
        <w:gridCol w:w="750"/>
        <w:gridCol w:w="830"/>
        <w:gridCol w:w="673"/>
        <w:gridCol w:w="816"/>
        <w:gridCol w:w="675"/>
      </w:tblGrid>
      <w:tr w:rsidR="00D75923" w:rsidRPr="00D75923" w:rsidTr="00D75923">
        <w:trPr>
          <w:trHeight w:val="283"/>
          <w:tblHeader/>
        </w:trPr>
        <w:tc>
          <w:tcPr>
            <w:tcW w:w="2727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Регион/Страна</w:t>
            </w:r>
          </w:p>
        </w:tc>
        <w:tc>
          <w:tcPr>
            <w:tcW w:w="2994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994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69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94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2019</w:t>
            </w:r>
          </w:p>
        </w:tc>
      </w:tr>
      <w:tr w:rsidR="00D75923" w:rsidRPr="00D75923" w:rsidTr="00D75923">
        <w:trPr>
          <w:trHeight w:val="283"/>
          <w:tblHeader/>
        </w:trPr>
        <w:tc>
          <w:tcPr>
            <w:tcW w:w="2727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экспорт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импорт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экспорт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импорт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экспорт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импорт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экспорт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импорт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nil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8 444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11 483</w:t>
            </w: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9 922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522C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12 93</w:t>
            </w:r>
            <w:r w:rsidR="00522C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11 095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522C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18 </w:t>
            </w:r>
            <w:r w:rsidR="00522C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13 664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4B66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22 50</w:t>
            </w:r>
            <w:r w:rsidR="004B66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СНГ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2 364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28,0%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3 421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29,8%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2 925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29,5%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3 951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30,6%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3 783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34,1%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5 957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31,5%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4 356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31,9%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7 405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32,9%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1 238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14,7%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2 108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18,4%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1 553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15,7%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2 528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19,5%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1 852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3 416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18,1%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2 031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14,9%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4 160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18,5%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КАЗАХСТАН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7,6%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9,4%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7,4%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1 346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1 640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8,7%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1 234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2 108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9,4%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КЫРГЫЗСТАН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1,4%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1,7%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2,3%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0,6%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УКРАИНА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1,3%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1,3%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1,7%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1,2%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БЕЛОРУССИЯ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0,8%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ТУРКМЕНИЯ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0,6%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1,7%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ТАДЖИКИСТАН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1,4%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0,5%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АЗЕРБАЙДЖАН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nil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АРМЕНИЯ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АЗИЯ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2 240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26,5%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4 103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35,7%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2 392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24,1%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4 932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38,1%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3 195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28,8%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7 591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40,2%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2 724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19,9%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9 176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40,8%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КИТАЙ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1 231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14,6%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2 015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17,6%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1 523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15,3%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2 898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22,4%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2 341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21,1%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3 763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19,9%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1 829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13,4%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5 024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22,3%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КОРЕЯ (РЕСПУБЛИКА КОРЕЯ)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1 173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10,2%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1 258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9,7%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2 113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11,2%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2 726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12,1%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ЯПОНИЯ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0,9%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4,4%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АФГАНИСТАН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3,7%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3,9%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3,2%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ИРАН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4,3%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2,6%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0,6%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1,5%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1,6%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1,1%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ОБЪЕД. АРАБСКИЕ ЭМИРАТЫ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2,5%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1,4%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ИНДИЯ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1,3%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1,4%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ПАКИСТАН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ВЬЕТНАМ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МАЛАЙЗИЯ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0,6%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0,4%</w:t>
            </w:r>
          </w:p>
        </w:tc>
      </w:tr>
      <w:tr w:rsidR="00D75923" w:rsidRPr="00D75923" w:rsidTr="00FE100F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БАНГЛАДЕШ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</w:tr>
      <w:tr w:rsidR="00D75923" w:rsidRPr="00D75923" w:rsidTr="00482425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ИНДОНЕЗИЯ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</w:tr>
      <w:tr w:rsidR="00D75923" w:rsidRPr="00D75923" w:rsidTr="00482425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ИЗРАИЛЬ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</w:tr>
      <w:tr w:rsidR="00D75923" w:rsidRPr="00D75923" w:rsidTr="00482425">
        <w:trPr>
          <w:trHeight w:val="283"/>
        </w:trPr>
        <w:tc>
          <w:tcPr>
            <w:tcW w:w="2727" w:type="dxa"/>
            <w:tcBorders>
              <w:top w:val="single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ТАЙВАНЬ</w:t>
            </w:r>
          </w:p>
        </w:tc>
        <w:tc>
          <w:tcPr>
            <w:tcW w:w="830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4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4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ТАИЛАНД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ИРАК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СИНГАПУР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САУДОВСКАЯ АРАВИЯ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ФИЛИППИНЫ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nil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ИОРДАНИЯ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МЬЯНМА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МОНГОЛИЯ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ЛИВАН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СИРИЯ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ОМАН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КАТАР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ЕВРОПА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3 785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44,8%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3 277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28,5%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4 572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46,1%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522C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3 59</w:t>
            </w:r>
            <w:r w:rsidR="00522C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27,8%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4 093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36,9%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522C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4 7</w:t>
            </w:r>
            <w:r w:rsidR="00522C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25,3%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6 550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47,9%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4B66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5 08</w:t>
            </w:r>
            <w:r w:rsidR="004B66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22,6%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Еврозона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2,5%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2 250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19,6%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2,6%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2 424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18,7%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2,6%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3 038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16,1%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325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2,4%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2 938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13,1%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ГЕРМАНИЯ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4,3%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4,6%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3,6%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ЛИТВА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4,8%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ЛАТВИЯ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0,6%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5,5%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4,2%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2,4%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1,5%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nil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ИТАЛИЯ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1,4%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1,4%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1,7%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1,6%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ФРАНЦИЯ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0,9%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0,6%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1,5%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1,3%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0,5%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НИДЕРЛАНДЫ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0,7%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nil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АВСТРИЯ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0,6%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БЕЛЬГИЯ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0,4%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ЭСТОНИЯ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0,4%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ИСПАНИЯ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СЛОВЕНИЯ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</w:tr>
      <w:tr w:rsidR="00D75923" w:rsidRPr="00D75923" w:rsidTr="00FE100F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ИРЛАНДИЯ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</w:tr>
      <w:tr w:rsidR="00D75923" w:rsidRPr="00D75923" w:rsidTr="00482425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ФИНЛЯНДИЯ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</w:tr>
      <w:tr w:rsidR="00D75923" w:rsidRPr="00D75923" w:rsidTr="00482425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СЛОВАКИЯ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482425">
        <w:trPr>
          <w:trHeight w:val="283"/>
        </w:trPr>
        <w:tc>
          <w:tcPr>
            <w:tcW w:w="2727" w:type="dxa"/>
            <w:tcBorders>
              <w:top w:val="single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ГРЕЦИЯ</w:t>
            </w:r>
          </w:p>
        </w:tc>
        <w:tc>
          <w:tcPr>
            <w:tcW w:w="830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9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ПОРТУГАЛИЯ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ЛЮКСЕМБУРГ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КИПР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МАЛЬТА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Страны вне еврозоны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3 570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42,3%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1 027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8,9%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4 314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43,5%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522C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1 1</w:t>
            </w:r>
            <w:r w:rsidR="00522C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522C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9,</w:t>
            </w:r>
            <w:r w:rsidR="00522CA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</w:t>
            </w: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3 808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34,3%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522C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1 7</w:t>
            </w:r>
            <w:r w:rsidR="00522C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522C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9,</w:t>
            </w:r>
            <w:r w:rsidR="00522CA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</w:t>
            </w: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6 225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45,6%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4B66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2 14</w:t>
            </w:r>
            <w:r w:rsidR="004B66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4B6686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9,</w:t>
            </w:r>
            <w:r w:rsidR="004B668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</w:t>
            </w: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ШВЕЙЦАРИЯ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2 885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34,2%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1,3%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3 469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35,0%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522C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522C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0,9%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2 941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26,5%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522C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522CA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522CA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</w:t>
            </w:r>
            <w:r w:rsidR="00522CA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9</w:t>
            </w: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2 719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19,9%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4B668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  <w:r w:rsidR="004B66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0,7%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ТУРЦИЯ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7,3%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7,2%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1 123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5,9%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1 087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1 323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5,9%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ПОЛЬША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0,6%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0,6%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ГРУЗИЯ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0,6%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0,5%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ЧЕХИЯ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0,6%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0,8%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ВЕНГРИЯ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СОЕДИНЕННОЕ КОРОЛЕВСТВО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2 344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17,2%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РУМЫНИЯ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БОЛГАРИЯ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МОЛДАВИЯ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ДАНИЯ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ШВЕЦИЯ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СЕРБИЯ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БОСНИЯ И ГЕРЦЕГОВИНА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ЛИХТЕНШТЕЙН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НОРВЕГИЯ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ХОРВАТИЯ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nil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САН - МАРИНО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МОНАКО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ДРУГИЕ СТРАНЫ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0,6%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682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5,9%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456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3,5%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563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835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000000" w:fill="BDD7EE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3,7%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США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2,5%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2,3%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2,1%</w:t>
            </w:r>
          </w:p>
        </w:tc>
      </w:tr>
      <w:tr w:rsidR="00D75923" w:rsidRPr="00D75923" w:rsidTr="00FE100F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БРАЗИЛИЯ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2,4%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0,5%</w:t>
            </w:r>
          </w:p>
        </w:tc>
      </w:tr>
      <w:tr w:rsidR="00D75923" w:rsidRPr="00D75923" w:rsidTr="00482425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ГОНКОНГ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</w:tr>
      <w:tr w:rsidR="00D75923" w:rsidRPr="00D75923" w:rsidTr="00482425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МЕКСИКА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0,4%</w:t>
            </w:r>
          </w:p>
        </w:tc>
      </w:tr>
      <w:tr w:rsidR="00D75923" w:rsidRPr="00D75923" w:rsidTr="00482425">
        <w:trPr>
          <w:trHeight w:val="283"/>
        </w:trPr>
        <w:tc>
          <w:tcPr>
            <w:tcW w:w="2727" w:type="dxa"/>
            <w:tcBorders>
              <w:top w:val="single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КУБА</w:t>
            </w:r>
          </w:p>
        </w:tc>
        <w:tc>
          <w:tcPr>
            <w:tcW w:w="830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4" w:type="dxa"/>
            <w:tcBorders>
              <w:top w:val="single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ЭКВАДОР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ЕГИПЕТ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КАНАДА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КЕНИЯ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НОВАЯ ЗЕЛАНДИЯ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АРГЕНТИНА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ЮЖНАЯ АФРИКА (ЮАР)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АВСТРАЛИЯ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АНГИЛЬЯ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ШРИ-ЛАНКА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ТУНИС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КОЛУМБИЯ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КАМЕРУН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ЧИЛИ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ПЕРУ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ДОМИНИКА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КОТ - Д'ИВУАР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СЕНЕГАЛ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КОСТА-РИКА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УГАНДА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МАРОККО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МАКЕДОНИЯ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АЛЖИР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dotted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  <w:tr w:rsidR="00D75923" w:rsidRPr="00D75923" w:rsidTr="00D75923">
        <w:trPr>
          <w:trHeight w:val="283"/>
        </w:trPr>
        <w:tc>
          <w:tcPr>
            <w:tcW w:w="2727" w:type="dxa"/>
            <w:tcBorders>
              <w:top w:val="dotted" w:sz="4" w:space="0" w:color="5B9BD5" w:themeColor="accent1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ВЕНЕСУЭЛА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dotted" w:sz="4" w:space="0" w:color="5B9BD5" w:themeColor="accent1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30" w:type="dxa"/>
            <w:tcBorders>
              <w:top w:val="dotted" w:sz="4" w:space="0" w:color="5B9BD5" w:themeColor="accent1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dotted" w:sz="4" w:space="0" w:color="5B9BD5" w:themeColor="accent1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16" w:type="dxa"/>
            <w:tcBorders>
              <w:top w:val="dotted" w:sz="4" w:space="0" w:color="5B9BD5" w:themeColor="accent1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dotted" w:sz="4" w:space="0" w:color="5B9BD5" w:themeColor="accent1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D75923" w:rsidRPr="00D75923" w:rsidRDefault="00D75923" w:rsidP="00D75923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75923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0,0%</w:t>
            </w:r>
          </w:p>
        </w:tc>
      </w:tr>
    </w:tbl>
    <w:p w:rsidR="00951B5C" w:rsidRPr="006F08D3" w:rsidRDefault="008E63FA" w:rsidP="00BA5B0B">
      <w:pPr>
        <w:tabs>
          <w:tab w:val="left" w:pos="1428"/>
        </w:tabs>
        <w:contextualSpacing/>
        <w:rPr>
          <w:i/>
          <w:sz w:val="20"/>
          <w:szCs w:val="20"/>
        </w:rPr>
      </w:pPr>
      <w:r w:rsidRPr="006F08D3">
        <w:rPr>
          <w:i/>
          <w:iCs/>
          <w:color w:val="000000"/>
          <w:sz w:val="20"/>
          <w:szCs w:val="20"/>
        </w:rPr>
        <w:t xml:space="preserve">*без учёта корректировки CIP/FOB, челночного экспорта/импорта и </w:t>
      </w:r>
      <w:r w:rsidR="007A25B6" w:rsidRPr="006F08D3">
        <w:rPr>
          <w:i/>
          <w:iCs/>
          <w:color w:val="000000"/>
          <w:sz w:val="20"/>
          <w:szCs w:val="20"/>
        </w:rPr>
        <w:t>товаров,</w:t>
      </w:r>
      <w:r w:rsidRPr="006F08D3">
        <w:rPr>
          <w:i/>
          <w:iCs/>
          <w:color w:val="000000"/>
          <w:sz w:val="20"/>
          <w:szCs w:val="20"/>
        </w:rPr>
        <w:t xml:space="preserve"> приобретенных в портах</w:t>
      </w:r>
    </w:p>
    <w:p w:rsidR="00951B5C" w:rsidRPr="006F08D3" w:rsidRDefault="00951B5C" w:rsidP="00D455DD">
      <w:pPr>
        <w:jc w:val="right"/>
        <w:rPr>
          <w:rFonts w:cs="Arial"/>
          <w:i/>
        </w:rPr>
      </w:pPr>
    </w:p>
    <w:p w:rsidR="008C3B97" w:rsidRPr="006F08D3" w:rsidRDefault="008C3B97" w:rsidP="008E63FA">
      <w:pPr>
        <w:shd w:val="clear" w:color="auto" w:fill="FFFF00"/>
        <w:jc w:val="right"/>
        <w:rPr>
          <w:rFonts w:cs="Arial"/>
        </w:rPr>
        <w:sectPr w:rsidR="008C3B97" w:rsidRPr="006F08D3" w:rsidSect="00097A78">
          <w:pgSz w:w="16838" w:h="11906" w:orient="landscape"/>
          <w:pgMar w:top="1134" w:right="1134" w:bottom="707" w:left="1134" w:header="709" w:footer="709" w:gutter="0"/>
          <w:cols w:space="708"/>
          <w:docGrid w:linePitch="360"/>
        </w:sectPr>
      </w:pPr>
    </w:p>
    <w:p w:rsidR="00951B5C" w:rsidRPr="001011D6" w:rsidRDefault="00951B5C" w:rsidP="00F11B6E">
      <w:pPr>
        <w:jc w:val="right"/>
        <w:rPr>
          <w:i/>
          <w:sz w:val="22"/>
          <w:szCs w:val="22"/>
        </w:rPr>
      </w:pPr>
      <w:r w:rsidRPr="001011D6">
        <w:rPr>
          <w:i/>
          <w:sz w:val="22"/>
          <w:szCs w:val="22"/>
        </w:rPr>
        <w:lastRenderedPageBreak/>
        <w:t>Приложение 7</w:t>
      </w:r>
    </w:p>
    <w:p w:rsidR="00F11B6E" w:rsidRPr="001011D6" w:rsidRDefault="002E0F0B" w:rsidP="00D856AF">
      <w:pPr>
        <w:pStyle w:val="1"/>
        <w:ind w:left="0"/>
        <w:jc w:val="center"/>
        <w:rPr>
          <w:rFonts w:ascii="Calibri" w:hAnsi="Calibri"/>
          <w:sz w:val="24"/>
          <w:szCs w:val="24"/>
        </w:rPr>
      </w:pPr>
      <w:bookmarkStart w:id="29" w:name="_Toc35458625"/>
      <w:r w:rsidRPr="001011D6">
        <w:rPr>
          <w:rFonts w:ascii="Calibri" w:hAnsi="Calibri"/>
          <w:sz w:val="24"/>
          <w:szCs w:val="24"/>
        </w:rPr>
        <w:t>БАЛАНС МЕЖДУНАРОДНЫХ УСЛУГ ПО РАСШИРЕННОЙ КЛАССИФИКАЦИИ ЗА 201</w:t>
      </w:r>
      <w:r w:rsidR="0038132F" w:rsidRPr="001011D6">
        <w:rPr>
          <w:rFonts w:ascii="Calibri" w:hAnsi="Calibri"/>
          <w:sz w:val="24"/>
          <w:szCs w:val="24"/>
          <w:lang w:val="ru-RU"/>
        </w:rPr>
        <w:t>4</w:t>
      </w:r>
      <w:r w:rsidRPr="001011D6">
        <w:rPr>
          <w:rFonts w:ascii="Calibri" w:hAnsi="Calibri"/>
          <w:sz w:val="24"/>
          <w:szCs w:val="24"/>
        </w:rPr>
        <w:t xml:space="preserve"> - 2019 ГГ.</w:t>
      </w:r>
      <w:bookmarkEnd w:id="29"/>
    </w:p>
    <w:p w:rsidR="00F11B6E" w:rsidRPr="00343190" w:rsidRDefault="00585EBB" w:rsidP="001823B6">
      <w:pPr>
        <w:tabs>
          <w:tab w:val="left" w:pos="1428"/>
        </w:tabs>
        <w:ind w:right="-172"/>
        <w:jc w:val="right"/>
        <w:rPr>
          <w:i/>
          <w:sz w:val="20"/>
          <w:szCs w:val="20"/>
        </w:rPr>
      </w:pPr>
      <w:r w:rsidRPr="00343190">
        <w:rPr>
          <w:i/>
          <w:sz w:val="20"/>
          <w:szCs w:val="20"/>
        </w:rPr>
        <w:t>(</w:t>
      </w:r>
      <w:r w:rsidR="00F11B6E" w:rsidRPr="00343190">
        <w:rPr>
          <w:i/>
          <w:sz w:val="20"/>
          <w:szCs w:val="20"/>
        </w:rPr>
        <w:t>млн. долл.</w:t>
      </w:r>
      <w:r w:rsidRPr="00343190">
        <w:rPr>
          <w:i/>
          <w:sz w:val="20"/>
          <w:szCs w:val="20"/>
        </w:rPr>
        <w:t>)</w:t>
      </w:r>
    </w:p>
    <w:tbl>
      <w:tblPr>
        <w:tblW w:w="14899" w:type="dxa"/>
        <w:tblLook w:val="04A0"/>
      </w:tblPr>
      <w:tblGrid>
        <w:gridCol w:w="3590"/>
        <w:gridCol w:w="769"/>
        <w:gridCol w:w="853"/>
        <w:gridCol w:w="853"/>
        <w:gridCol w:w="853"/>
        <w:gridCol w:w="853"/>
        <w:gridCol w:w="775"/>
        <w:gridCol w:w="775"/>
        <w:gridCol w:w="775"/>
        <w:gridCol w:w="781"/>
        <w:gridCol w:w="916"/>
        <w:gridCol w:w="775"/>
        <w:gridCol w:w="775"/>
        <w:gridCol w:w="775"/>
        <w:gridCol w:w="781"/>
      </w:tblGrid>
      <w:tr w:rsidR="00AE479B" w:rsidRPr="00AE479B" w:rsidTr="001950A3">
        <w:trPr>
          <w:trHeight w:val="256"/>
          <w:tblHeader/>
        </w:trPr>
        <w:tc>
          <w:tcPr>
            <w:tcW w:w="359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9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3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3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3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3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106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16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106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2019</w:t>
            </w:r>
          </w:p>
        </w:tc>
      </w:tr>
      <w:tr w:rsidR="00AE479B" w:rsidRPr="00AE479B" w:rsidTr="005D659F">
        <w:trPr>
          <w:trHeight w:val="317"/>
          <w:tblHeader/>
        </w:trPr>
        <w:tc>
          <w:tcPr>
            <w:tcW w:w="3590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AE479B" w:rsidRPr="00AE479B" w:rsidRDefault="00AE479B" w:rsidP="00AE479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AE479B" w:rsidRPr="00AE479B" w:rsidRDefault="00AE479B" w:rsidP="00AE479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AE479B" w:rsidRPr="00AE479B" w:rsidRDefault="00AE479B" w:rsidP="00AE479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AE479B" w:rsidRPr="00AE479B" w:rsidRDefault="00AE479B" w:rsidP="00AE479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AE479B" w:rsidRPr="00AE479B" w:rsidRDefault="00AE479B" w:rsidP="00AE479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AE479B" w:rsidRPr="00AE479B" w:rsidRDefault="00AE479B" w:rsidP="00AE479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 кв.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II кв.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III кв.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IV кв.</w:t>
            </w:r>
          </w:p>
        </w:tc>
        <w:tc>
          <w:tcPr>
            <w:tcW w:w="916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AE479B" w:rsidRPr="00AE479B" w:rsidRDefault="00AE479B" w:rsidP="00AE479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 кв.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II кв.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III кв.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IV кв.</w:t>
            </w:r>
          </w:p>
        </w:tc>
      </w:tr>
      <w:tr w:rsidR="005D659F" w:rsidRPr="00AE479B" w:rsidTr="00CA303B">
        <w:trPr>
          <w:trHeight w:val="454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5D659F" w:rsidRPr="00AE479B" w:rsidRDefault="005D659F" w:rsidP="005D659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Баланс международных услуг, всего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-527,8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-735,8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-1 539,0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-1 842,1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-2 441,6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-569,8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-561,7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-666,6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-643,5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-2 264,0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-554,0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-522,4</w:t>
            </w:r>
          </w:p>
        </w:tc>
        <w:tc>
          <w:tcPr>
            <w:tcW w:w="7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-607,3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-582,0</w:t>
            </w:r>
          </w:p>
        </w:tc>
      </w:tr>
      <w:tr w:rsidR="005D659F" w:rsidRPr="00AE479B" w:rsidTr="00CA303B">
        <w:trPr>
          <w:trHeight w:val="454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5D659F" w:rsidRPr="00AE479B" w:rsidRDefault="005D659F" w:rsidP="005D659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Экспорт услуг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2 360,8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2 357,4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1 904,7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2 250,7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2 749,5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572,8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687,5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750,8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738,5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3 096,9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636,1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788,6</w:t>
            </w:r>
          </w:p>
        </w:tc>
        <w:tc>
          <w:tcPr>
            <w:tcW w:w="7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849,6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820,8</w:t>
            </w:r>
          </w:p>
        </w:tc>
      </w:tr>
      <w:tr w:rsidR="005D659F" w:rsidRPr="00AE479B" w:rsidTr="005D659F">
        <w:trPr>
          <w:trHeight w:val="801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5D659F" w:rsidRPr="00AE479B" w:rsidRDefault="005D659F" w:rsidP="005D659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Услуги по обработке материальных ресурсов, принадлежащих другим сторонам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</w:t>
            </w:r>
          </w:p>
        </w:tc>
      </w:tr>
      <w:tr w:rsidR="005D659F" w:rsidRPr="00AE479B" w:rsidTr="005D659F">
        <w:trPr>
          <w:trHeight w:val="63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5D659F" w:rsidRPr="00AE479B" w:rsidRDefault="005D659F" w:rsidP="005D659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Услуги по ремонту и техническому облуживанию, не отнесенные к другим категориям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4,9</w:t>
            </w:r>
          </w:p>
        </w:tc>
      </w:tr>
      <w:tr w:rsidR="005D659F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5D659F" w:rsidRPr="00AE479B" w:rsidRDefault="005D659F" w:rsidP="005D659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1 368,3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1 366,4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1 066,5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1 190,0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1 254,2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307,1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299,9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344,6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1 253,6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307,0</w:t>
            </w:r>
          </w:p>
        </w:tc>
        <w:tc>
          <w:tcPr>
            <w:tcW w:w="7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296,0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355,9</w:t>
            </w:r>
          </w:p>
        </w:tc>
      </w:tr>
      <w:tr w:rsidR="005D659F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659F" w:rsidRPr="00AE479B" w:rsidRDefault="005D659F" w:rsidP="005D659F">
            <w:pPr>
              <w:ind w:firstLineChars="500" w:firstLine="9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Пассажирский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166,6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7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43,4</w:t>
            </w:r>
          </w:p>
        </w:tc>
      </w:tr>
      <w:tr w:rsidR="005D659F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659F" w:rsidRPr="00AE479B" w:rsidRDefault="005D659F" w:rsidP="005D659F">
            <w:pPr>
              <w:ind w:firstLineChars="500" w:firstLine="9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Грузовой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218,6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227,1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173,9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198,6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235,6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7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62,2</w:t>
            </w:r>
          </w:p>
        </w:tc>
      </w:tr>
      <w:tr w:rsidR="005D659F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659F" w:rsidRPr="00AE479B" w:rsidRDefault="005D659F" w:rsidP="005D659F">
            <w:pPr>
              <w:ind w:firstLineChars="500" w:firstLine="9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991,1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972,7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771,3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845,8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848,4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218,2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215,5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197,1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217,6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210,5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200,7</w:t>
            </w:r>
          </w:p>
        </w:tc>
        <w:tc>
          <w:tcPr>
            <w:tcW w:w="7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190,5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250,3</w:t>
            </w:r>
          </w:p>
        </w:tc>
      </w:tr>
      <w:tr w:rsidR="005D659F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659F" w:rsidRPr="00AE479B" w:rsidRDefault="005D659F" w:rsidP="005D659F">
            <w:pPr>
              <w:ind w:firstLineChars="300" w:firstLine="5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Морской транспорт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5D659F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659F" w:rsidRPr="00AE479B" w:rsidRDefault="005D659F" w:rsidP="005D659F">
            <w:pPr>
              <w:ind w:firstLineChars="500" w:firstLine="9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Пассажирский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5D659F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659F" w:rsidRPr="00AE479B" w:rsidRDefault="005D659F" w:rsidP="005D659F">
            <w:pPr>
              <w:ind w:firstLineChars="500" w:firstLine="9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Грузовой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5D659F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659F" w:rsidRPr="00AE479B" w:rsidRDefault="005D659F" w:rsidP="005D659F">
            <w:pPr>
              <w:ind w:firstLineChars="500" w:firstLine="9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5D659F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659F" w:rsidRPr="00AE479B" w:rsidRDefault="005D659F" w:rsidP="005D659F">
            <w:pPr>
              <w:ind w:firstLineChars="300" w:firstLine="5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Воздушный транспорт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283,9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293,9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219,2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256,8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307,7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351,3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7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84,6</w:t>
            </w:r>
          </w:p>
        </w:tc>
      </w:tr>
      <w:tr w:rsidR="005D659F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659F" w:rsidRPr="00AE479B" w:rsidRDefault="005D659F" w:rsidP="005D659F">
            <w:pPr>
              <w:ind w:firstLineChars="500" w:firstLine="9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Пассажирский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152,5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157,3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116,6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163,4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194,6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7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42,9</w:t>
            </w:r>
          </w:p>
        </w:tc>
      </w:tr>
      <w:tr w:rsidR="005D659F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659F" w:rsidRPr="00AE479B" w:rsidRDefault="005D659F" w:rsidP="005D659F">
            <w:pPr>
              <w:ind w:firstLineChars="500" w:firstLine="9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Грузовой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7,1</w:t>
            </w:r>
          </w:p>
        </w:tc>
      </w:tr>
      <w:tr w:rsidR="005D659F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659F" w:rsidRPr="00AE479B" w:rsidRDefault="005D659F" w:rsidP="005D659F">
            <w:pPr>
              <w:ind w:firstLineChars="500" w:firstLine="9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7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34,5</w:t>
            </w:r>
          </w:p>
        </w:tc>
      </w:tr>
      <w:tr w:rsidR="005D659F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659F" w:rsidRPr="00AE479B" w:rsidRDefault="005D659F" w:rsidP="005D659F">
            <w:pPr>
              <w:ind w:firstLineChars="300" w:firstLine="5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Другие виды транспорта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1 080,0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1 068,1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843,8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929,4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942,7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251,2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229,9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206,1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255,5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897,9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219,4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207,9</w:t>
            </w:r>
          </w:p>
        </w:tc>
        <w:tc>
          <w:tcPr>
            <w:tcW w:w="775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198,5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270,2</w:t>
            </w:r>
          </w:p>
        </w:tc>
      </w:tr>
      <w:tr w:rsidR="005D659F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659F" w:rsidRPr="00AE479B" w:rsidRDefault="005D659F" w:rsidP="005D659F">
            <w:pPr>
              <w:ind w:firstLineChars="500" w:firstLine="9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Пассажирский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75" w:type="dxa"/>
            <w:tcBorders>
              <w:top w:val="nil"/>
              <w:left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8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</w:tr>
      <w:tr w:rsidR="005D659F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659F" w:rsidRPr="00AE479B" w:rsidRDefault="005D659F" w:rsidP="005D659F">
            <w:pPr>
              <w:ind w:firstLineChars="500" w:firstLine="9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Грузовой</w:t>
            </w:r>
          </w:p>
        </w:tc>
        <w:tc>
          <w:tcPr>
            <w:tcW w:w="769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201,5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208,8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160,1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182,7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214,6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78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916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775" w:type="dxa"/>
            <w:tcBorders>
              <w:top w:val="nil"/>
              <w:left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781" w:type="dxa"/>
            <w:tcBorders>
              <w:top w:val="nil"/>
              <w:left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55,1</w:t>
            </w:r>
          </w:p>
        </w:tc>
      </w:tr>
      <w:tr w:rsidR="005D659F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5D659F" w:rsidRPr="00AE479B" w:rsidRDefault="005D659F" w:rsidP="005D659F">
            <w:pPr>
              <w:ind w:firstLineChars="500" w:firstLine="9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872,4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738,6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721,4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190,5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186,7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708,5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176,1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5D659F" w:rsidRPr="00AE479B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775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153,9</w:t>
            </w:r>
          </w:p>
        </w:tc>
        <w:tc>
          <w:tcPr>
            <w:tcW w:w="781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5D659F" w:rsidRPr="005D659F" w:rsidRDefault="005D659F" w:rsidP="005D65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D65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214,6</w:t>
            </w:r>
          </w:p>
        </w:tc>
      </w:tr>
      <w:tr w:rsidR="00AE479B" w:rsidRPr="00AE479B" w:rsidTr="005D659F">
        <w:trPr>
          <w:trHeight w:val="405"/>
        </w:trPr>
        <w:tc>
          <w:tcPr>
            <w:tcW w:w="3590" w:type="dxa"/>
            <w:tcBorders>
              <w:top w:val="single" w:sz="4" w:space="0" w:color="5B9BD5" w:themeColor="accent1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AE479B" w:rsidRPr="00AE479B" w:rsidRDefault="00AE479B" w:rsidP="00F70E30">
            <w:pPr>
              <w:ind w:left="317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lastRenderedPageBreak/>
              <w:t>Расширенная классификация видов транспорта</w:t>
            </w:r>
          </w:p>
        </w:tc>
        <w:tc>
          <w:tcPr>
            <w:tcW w:w="769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479B" w:rsidRPr="00AE479B" w:rsidTr="005D659F">
        <w:trPr>
          <w:trHeight w:val="254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AE479B" w:rsidRPr="00AE479B" w:rsidRDefault="00AE479B" w:rsidP="00D27BD6">
            <w:pPr>
              <w:ind w:left="6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204,6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211,9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162,5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185,3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221,9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174,9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51,7</w:t>
            </w:r>
          </w:p>
        </w:tc>
      </w:tr>
      <w:tr w:rsidR="00AE479B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AE479B" w:rsidRPr="00AE479B" w:rsidRDefault="00AE479B" w:rsidP="00500E40">
            <w:pPr>
              <w:ind w:firstLineChars="489" w:firstLine="8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Пассажирский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</w:t>
            </w:r>
          </w:p>
        </w:tc>
      </w:tr>
      <w:tr w:rsidR="00AE479B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AE479B" w:rsidRPr="00AE479B" w:rsidRDefault="00AE479B" w:rsidP="00500E40">
            <w:pPr>
              <w:ind w:firstLineChars="489" w:firstLine="8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Грузовой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194,5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203,9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154,8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178,4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212,4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165,7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50,7</w:t>
            </w:r>
          </w:p>
        </w:tc>
      </w:tr>
      <w:tr w:rsidR="00AE479B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AE479B" w:rsidRPr="00AE479B" w:rsidRDefault="00AE479B" w:rsidP="00500E40">
            <w:pPr>
              <w:ind w:firstLineChars="489" w:firstLine="8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</w:p>
        </w:tc>
      </w:tr>
      <w:tr w:rsidR="00AE479B" w:rsidRPr="00AE479B" w:rsidTr="005D659F">
        <w:trPr>
          <w:trHeight w:val="171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AE479B" w:rsidRPr="00AE479B" w:rsidRDefault="00AE479B" w:rsidP="00D27BD6">
            <w:pPr>
              <w:ind w:left="6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Автотранспортный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5,2</w:t>
            </w:r>
          </w:p>
        </w:tc>
      </w:tr>
      <w:tr w:rsidR="00AE479B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AE479B" w:rsidRPr="00AE479B" w:rsidRDefault="00AE479B" w:rsidP="00500E40">
            <w:pPr>
              <w:ind w:firstLineChars="489" w:firstLine="8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Пассажирский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</w:tr>
      <w:tr w:rsidR="00AE479B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AE479B" w:rsidRPr="00AE479B" w:rsidRDefault="00AE479B" w:rsidP="00500E40">
            <w:pPr>
              <w:ind w:firstLineChars="489" w:firstLine="8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Грузовой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4,4</w:t>
            </w:r>
          </w:p>
        </w:tc>
      </w:tr>
      <w:tr w:rsidR="00AE479B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AE479B" w:rsidRPr="00AE479B" w:rsidRDefault="00AE479B" w:rsidP="00500E40">
            <w:pPr>
              <w:ind w:firstLineChars="489" w:firstLine="8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</w:t>
            </w:r>
          </w:p>
        </w:tc>
      </w:tr>
      <w:tr w:rsidR="00AE479B" w:rsidRPr="00AE479B" w:rsidTr="005D659F">
        <w:trPr>
          <w:trHeight w:val="146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AE479B" w:rsidRPr="00AE479B" w:rsidRDefault="00AE479B" w:rsidP="00D27BD6">
            <w:pPr>
              <w:ind w:left="6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701,8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696,2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604,2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647,5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149,7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650,6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159,7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140,8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199,8</w:t>
            </w:r>
          </w:p>
        </w:tc>
      </w:tr>
      <w:tr w:rsidR="00AE479B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AE479B" w:rsidRPr="00AE479B" w:rsidRDefault="00AE479B" w:rsidP="00D27BD6">
            <w:pPr>
              <w:ind w:left="6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Прочие виды транспорта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AE479B" w:rsidRPr="00AE479B" w:rsidRDefault="00AE479B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13,4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</w:tcPr>
          <w:p w:rsidR="001950A3" w:rsidRPr="00AE479B" w:rsidRDefault="001950A3" w:rsidP="00D27BD6">
            <w:pPr>
              <w:ind w:left="6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7B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Грузовой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1950A3" w:rsidRPr="00AE479B" w:rsidTr="005D659F">
        <w:trPr>
          <w:trHeight w:val="555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D27BD6">
            <w:pPr>
              <w:ind w:left="6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Прочий: сопутствующие и вспомогательные услуги транспорта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13,4</w:t>
            </w:r>
          </w:p>
        </w:tc>
      </w:tr>
      <w:tr w:rsidR="001950A3" w:rsidRPr="00AE479B" w:rsidTr="005D659F">
        <w:trPr>
          <w:trHeight w:val="323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D27BD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Почтовые услуги и услуги курьерской связи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1,1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1950A3" w:rsidRPr="00AE479B" w:rsidRDefault="001950A3" w:rsidP="00D27BD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Поездки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520,7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458,2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688,6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1 144,4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294,9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359,7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305,9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1 480,9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384,1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450,5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371,3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D27BD6">
            <w:pPr>
              <w:ind w:left="17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Деловые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9,6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D27BD6">
            <w:pPr>
              <w:ind w:left="17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Личные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486,7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513,5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445,9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679,2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1 132,1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181,3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356,6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1 456,8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379,8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443,4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361,6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D27BD6">
            <w:pPr>
              <w:tabs>
                <w:tab w:val="left" w:pos="2499"/>
              </w:tabs>
              <w:ind w:left="6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 связи с лечением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1,1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D27BD6">
            <w:pPr>
              <w:ind w:left="6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 связи с обучением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3,2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D27BD6">
            <w:pPr>
              <w:ind w:left="6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Прочее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510,2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441,1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674,9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1 125,8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290,5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355,2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299,7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1 442,6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268,1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377,1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357,4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1950A3" w:rsidRPr="00AE479B" w:rsidRDefault="001950A3" w:rsidP="00D27BD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9,4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D27BD6">
            <w:pPr>
              <w:ind w:left="17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Строительство за рубежом</w:t>
            </w:r>
            <w:r w:rsidRPr="00AE479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(кредит)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D27BD6">
            <w:pPr>
              <w:ind w:left="17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Строительство в Узбекистане</w:t>
            </w:r>
            <w:r w:rsidRPr="00AE479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(кредит)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9,4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1950A3" w:rsidRPr="00AE479B" w:rsidRDefault="001950A3" w:rsidP="00D27BD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Услуги в области страхования и пенсионного обеспечения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2,2</w:t>
            </w:r>
          </w:p>
        </w:tc>
      </w:tr>
      <w:tr w:rsidR="001950A3" w:rsidRPr="00AE479B" w:rsidTr="005D659F">
        <w:trPr>
          <w:trHeight w:val="263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D27BD6">
            <w:pPr>
              <w:ind w:left="17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Прямое страхование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1,7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D27BD6">
            <w:pPr>
              <w:ind w:left="17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Перестрахование</w:t>
            </w:r>
          </w:p>
        </w:tc>
        <w:tc>
          <w:tcPr>
            <w:tcW w:w="769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</w:tr>
      <w:tr w:rsidR="001950A3" w:rsidRPr="00AE479B" w:rsidTr="005D659F">
        <w:trPr>
          <w:trHeight w:val="83"/>
        </w:trPr>
        <w:tc>
          <w:tcPr>
            <w:tcW w:w="3590" w:type="dxa"/>
            <w:tcBorders>
              <w:top w:val="nil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D27BD6">
            <w:pPr>
              <w:ind w:left="17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Вспомогательные услуги страхования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1950A3" w:rsidRPr="00AE479B" w:rsidTr="005D659F">
        <w:trPr>
          <w:trHeight w:val="263"/>
        </w:trPr>
        <w:tc>
          <w:tcPr>
            <w:tcW w:w="3590" w:type="dxa"/>
            <w:tcBorders>
              <w:top w:val="single" w:sz="4" w:space="0" w:color="5B9BD5" w:themeColor="accent1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1950A3" w:rsidRPr="00AE479B" w:rsidRDefault="001950A3" w:rsidP="00D27BD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Финансовые услуги</w:t>
            </w:r>
          </w:p>
        </w:tc>
        <w:tc>
          <w:tcPr>
            <w:tcW w:w="769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853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853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853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853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75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75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75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8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16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775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75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75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8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7,6</w:t>
            </w:r>
          </w:p>
        </w:tc>
      </w:tr>
      <w:tr w:rsidR="001950A3" w:rsidRPr="00AE479B" w:rsidTr="005D659F">
        <w:trPr>
          <w:trHeight w:val="564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1950A3" w:rsidRPr="00AE479B" w:rsidRDefault="001950A3" w:rsidP="00D27BD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Плата за пользование интеллектуальной собственностью, не отнесенная к другим категориям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</w:tr>
      <w:tr w:rsidR="001950A3" w:rsidRPr="00AE479B" w:rsidTr="00236564">
        <w:trPr>
          <w:trHeight w:val="56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1950A3" w:rsidRPr="00AE479B" w:rsidRDefault="001950A3" w:rsidP="00D27BD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Телекоммуникационные, компьютерные и информационные услуги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238,7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206,6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165,4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44,3</w:t>
            </w:r>
          </w:p>
        </w:tc>
      </w:tr>
      <w:tr w:rsidR="001950A3" w:rsidRPr="00AE479B" w:rsidTr="005D659F">
        <w:trPr>
          <w:trHeight w:val="281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D27BD6">
            <w:pPr>
              <w:ind w:left="17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Телекоммуникационные услуги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226,4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196,5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41,8</w:t>
            </w:r>
          </w:p>
        </w:tc>
      </w:tr>
      <w:tr w:rsidR="001950A3" w:rsidRPr="00AE479B" w:rsidTr="005D659F">
        <w:trPr>
          <w:trHeight w:val="285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D27BD6">
            <w:pPr>
              <w:ind w:left="17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Компьютерные услуги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2,0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D27BD6">
            <w:pPr>
              <w:ind w:left="17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Информационные услуги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1950A3" w:rsidRPr="00AE479B" w:rsidRDefault="001950A3" w:rsidP="00D27BD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Прочие деловые услуги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18,5</w:t>
            </w:r>
          </w:p>
        </w:tc>
      </w:tr>
      <w:tr w:rsidR="001950A3" w:rsidRPr="00AE479B" w:rsidTr="005D659F">
        <w:trPr>
          <w:trHeight w:val="49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D27BD6">
            <w:pPr>
              <w:ind w:left="17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Научно-исследовательские и опытно-конструкторские работы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1,8</w:t>
            </w:r>
          </w:p>
        </w:tc>
      </w:tr>
      <w:tr w:rsidR="001950A3" w:rsidRPr="00AE479B" w:rsidTr="005D659F">
        <w:trPr>
          <w:trHeight w:val="489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D27BD6">
            <w:pPr>
              <w:ind w:left="17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Профессиональные услуги и услуги в области управления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5,3</w:t>
            </w:r>
          </w:p>
        </w:tc>
      </w:tr>
      <w:tr w:rsidR="001950A3" w:rsidRPr="00AE479B" w:rsidTr="005D659F">
        <w:trPr>
          <w:trHeight w:val="525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D27BD6">
            <w:pPr>
              <w:ind w:left="17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Технические, связанные с торговлей и прочие деловые услуги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11,4</w:t>
            </w:r>
          </w:p>
        </w:tc>
      </w:tr>
      <w:tr w:rsidR="001950A3" w:rsidRPr="00AE479B" w:rsidTr="005D659F">
        <w:trPr>
          <w:trHeight w:val="54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1950A3" w:rsidRPr="00AE479B" w:rsidRDefault="001950A3" w:rsidP="00D27BD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Услуги частным лицам в сфере культуры и отдыха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</w:tr>
      <w:tr w:rsidR="001950A3" w:rsidRPr="00AE479B" w:rsidTr="00236564">
        <w:trPr>
          <w:trHeight w:val="56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D27BD6">
            <w:pPr>
              <w:ind w:left="17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Аудиовизуальные и связанные с ними услуги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</w:tr>
      <w:tr w:rsidR="001950A3" w:rsidRPr="00AE479B" w:rsidTr="00236564">
        <w:trPr>
          <w:trHeight w:val="56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D27BD6">
            <w:pPr>
              <w:ind w:left="17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Прочие услуги частным лицам и услуги в сфере культуры и отдыха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</w:tr>
      <w:tr w:rsidR="001950A3" w:rsidRPr="00AE479B" w:rsidTr="005D659F">
        <w:trPr>
          <w:trHeight w:val="56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1950A3" w:rsidRPr="00AE479B" w:rsidRDefault="001950A3" w:rsidP="00D27BD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Государственные товары и услуги, не отнесенные к другим категориям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5,2</w:t>
            </w:r>
          </w:p>
        </w:tc>
      </w:tr>
      <w:tr w:rsidR="001950A3" w:rsidRPr="00AE479B" w:rsidTr="005D659F">
        <w:trPr>
          <w:trHeight w:val="281"/>
        </w:trPr>
        <w:tc>
          <w:tcPr>
            <w:tcW w:w="359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vAlign w:val="center"/>
            <w:hideMark/>
          </w:tcPr>
          <w:p w:rsidR="001950A3" w:rsidRPr="00AE479B" w:rsidRDefault="001950A3" w:rsidP="00525C6A">
            <w:pPr>
              <w:ind w:firstLineChars="100" w:firstLine="181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950A3" w:rsidRPr="00AE479B" w:rsidTr="005D659F">
        <w:trPr>
          <w:trHeight w:val="302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1950A3" w:rsidRPr="00AE479B" w:rsidRDefault="001950A3" w:rsidP="00AE479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Импорт услуг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2 888,5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3 093,3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3 443,7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4 092,8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5 191,1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1 142,6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1 249,2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1 417,3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1 382,0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5 360,9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1 190,2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1 311,0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1 456,9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1 402,7</w:t>
            </w:r>
          </w:p>
        </w:tc>
      </w:tr>
      <w:tr w:rsidR="001950A3" w:rsidRPr="00AE479B" w:rsidTr="005D659F">
        <w:trPr>
          <w:trHeight w:val="738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1950A3" w:rsidRPr="00AE479B" w:rsidRDefault="001950A3" w:rsidP="00D27BD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Услуги по обработке материальных ресурсов, принадлежащих другим сторонам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</w:tr>
      <w:tr w:rsidR="001950A3" w:rsidRPr="00AE479B" w:rsidTr="005D659F">
        <w:trPr>
          <w:trHeight w:val="781"/>
        </w:trPr>
        <w:tc>
          <w:tcPr>
            <w:tcW w:w="3590" w:type="dxa"/>
            <w:tcBorders>
              <w:top w:val="nil"/>
              <w:left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1950A3" w:rsidRPr="00AE479B" w:rsidRDefault="001950A3" w:rsidP="00D27BD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Услуги по ремонту и техническому облуживанию, не отнесенные к другим категориям</w:t>
            </w:r>
          </w:p>
        </w:tc>
        <w:tc>
          <w:tcPr>
            <w:tcW w:w="769" w:type="dxa"/>
            <w:tcBorders>
              <w:top w:val="nil"/>
              <w:left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81" w:type="dxa"/>
            <w:tcBorders>
              <w:top w:val="nil"/>
              <w:left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16" w:type="dxa"/>
            <w:tcBorders>
              <w:top w:val="nil"/>
              <w:left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81" w:type="dxa"/>
            <w:tcBorders>
              <w:top w:val="nil"/>
              <w:left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7,2</w:t>
            </w:r>
          </w:p>
        </w:tc>
      </w:tr>
      <w:tr w:rsidR="001950A3" w:rsidRPr="00AE479B" w:rsidTr="00236564">
        <w:trPr>
          <w:trHeight w:val="441"/>
        </w:trPr>
        <w:tc>
          <w:tcPr>
            <w:tcW w:w="3590" w:type="dxa"/>
            <w:tcBorders>
              <w:top w:val="nil"/>
              <w:left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1950A3" w:rsidRPr="00AE479B" w:rsidRDefault="001950A3" w:rsidP="00D27BD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Транспортные услуги</w:t>
            </w:r>
          </w:p>
        </w:tc>
        <w:tc>
          <w:tcPr>
            <w:tcW w:w="769" w:type="dxa"/>
            <w:tcBorders>
              <w:top w:val="nil"/>
              <w:left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1 572,8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1 293,6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1 788,1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1 990,7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2 412,6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546,7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498,3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653,0</w:t>
            </w:r>
          </w:p>
        </w:tc>
        <w:tc>
          <w:tcPr>
            <w:tcW w:w="781" w:type="dxa"/>
            <w:tcBorders>
              <w:top w:val="nil"/>
              <w:left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714,5</w:t>
            </w:r>
          </w:p>
        </w:tc>
        <w:tc>
          <w:tcPr>
            <w:tcW w:w="916" w:type="dxa"/>
            <w:tcBorders>
              <w:top w:val="nil"/>
              <w:left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2 517,1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584,6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595,1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634,9</w:t>
            </w:r>
          </w:p>
        </w:tc>
        <w:tc>
          <w:tcPr>
            <w:tcW w:w="781" w:type="dxa"/>
            <w:tcBorders>
              <w:top w:val="nil"/>
              <w:left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702,5</w:t>
            </w:r>
          </w:p>
        </w:tc>
      </w:tr>
      <w:tr w:rsidR="001950A3" w:rsidRPr="00AE479B" w:rsidTr="00236564">
        <w:trPr>
          <w:trHeight w:val="317"/>
        </w:trPr>
        <w:tc>
          <w:tcPr>
            <w:tcW w:w="3590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950A3" w:rsidRPr="00AE479B" w:rsidRDefault="001950A3" w:rsidP="00482425">
            <w:pPr>
              <w:ind w:left="873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Пассажирский</w:t>
            </w:r>
          </w:p>
        </w:tc>
        <w:tc>
          <w:tcPr>
            <w:tcW w:w="769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394,8</w:t>
            </w:r>
          </w:p>
        </w:tc>
        <w:tc>
          <w:tcPr>
            <w:tcW w:w="853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308,3</w:t>
            </w:r>
          </w:p>
        </w:tc>
        <w:tc>
          <w:tcPr>
            <w:tcW w:w="853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449,6</w:t>
            </w:r>
          </w:p>
        </w:tc>
        <w:tc>
          <w:tcPr>
            <w:tcW w:w="853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476,4</w:t>
            </w:r>
          </w:p>
        </w:tc>
        <w:tc>
          <w:tcPr>
            <w:tcW w:w="853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479,5</w:t>
            </w:r>
          </w:p>
        </w:tc>
        <w:tc>
          <w:tcPr>
            <w:tcW w:w="775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775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113,4</w:t>
            </w:r>
          </w:p>
        </w:tc>
        <w:tc>
          <w:tcPr>
            <w:tcW w:w="775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135,2</w:t>
            </w:r>
          </w:p>
        </w:tc>
        <w:tc>
          <w:tcPr>
            <w:tcW w:w="781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916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440,4</w:t>
            </w:r>
          </w:p>
        </w:tc>
        <w:tc>
          <w:tcPr>
            <w:tcW w:w="775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775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775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116,6</w:t>
            </w:r>
          </w:p>
        </w:tc>
        <w:tc>
          <w:tcPr>
            <w:tcW w:w="781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119,6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482425">
            <w:pPr>
              <w:ind w:left="87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Грузовой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944,4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801,9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1 073,7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1 227,4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1 573,5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392,3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298,9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421,2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461,2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1 666,4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398,1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378,4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419,0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470,9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482425">
            <w:pPr>
              <w:ind w:left="87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233,5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183,4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264,8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286,9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359,6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410,3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112,1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482425">
            <w:pPr>
              <w:ind w:left="58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Морской транспорт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482425">
            <w:pPr>
              <w:ind w:left="87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Пассажирский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482425">
            <w:pPr>
              <w:ind w:left="87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Грузовой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482425">
            <w:pPr>
              <w:ind w:left="87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482425">
            <w:pPr>
              <w:ind w:left="58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Воздушный транспорт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453,8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351,7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515,9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540,2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528,5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147,9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162,5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480,3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122,6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137,4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482425">
            <w:pPr>
              <w:ind w:left="87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Пассажирский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338,1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261,8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385,0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404,4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393,2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112,6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131,2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356,3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96,9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482425">
            <w:pPr>
              <w:ind w:left="87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Грузовой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10,3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482425">
            <w:pPr>
              <w:ind w:left="87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30,2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482425">
            <w:pPr>
              <w:ind w:left="58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Другие виды транспорта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1 119,0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941,8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1 272,3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1 450,5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1 884,1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449,4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377,5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505,2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552,0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2 036,8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479,5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479,8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565,2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482425">
            <w:pPr>
              <w:ind w:left="87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Пассажирский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22,6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482425">
            <w:pPr>
              <w:ind w:left="87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Грузовой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876,2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751,8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996,8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1 152,6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1 526,7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373,5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290,7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408,4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454,1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1 648,6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395,6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375,7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416,6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460,6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482425">
            <w:pPr>
              <w:ind w:left="87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186,1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210,8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225,9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304,2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81,9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1950A3">
            <w:pPr>
              <w:ind w:left="31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Расширенная классификация видов транспорта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D27BD6">
            <w:pPr>
              <w:ind w:left="60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758,7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637,4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866,7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973,3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1 189,7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217,8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317,0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1 256,9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293,7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288,4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329,2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345,6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482425">
            <w:pPr>
              <w:ind w:left="87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Пассажирский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10,8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482425">
            <w:pPr>
              <w:ind w:left="87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Грузовой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712,2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601,5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813,7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918,0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1 138,9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204,9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304,1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347,4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1 211,4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282,6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277,7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317,2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334,0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482425">
            <w:pPr>
              <w:ind w:left="87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482425">
            <w:pPr>
              <w:ind w:left="58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Автотранспортный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173,3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193,7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113,9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478,6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112,1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137,7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482425">
            <w:pPr>
              <w:ind w:left="87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Пассажирский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11,8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482425">
            <w:pPr>
              <w:ind w:left="87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Грузовой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162,1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180,9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232,7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434,1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125,9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482425">
            <w:pPr>
              <w:ind w:left="87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</w:tr>
      <w:tr w:rsidR="001950A3" w:rsidRPr="00AE479B" w:rsidTr="00236564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482425">
            <w:pPr>
              <w:ind w:left="58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769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16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1950A3" w:rsidRPr="00AE479B" w:rsidTr="00236564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482425">
            <w:pPr>
              <w:ind w:left="58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Прочие виды транспорта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225,1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270,3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81,8</w:t>
            </w:r>
          </w:p>
        </w:tc>
      </w:tr>
      <w:tr w:rsidR="001950A3" w:rsidRPr="00AE479B" w:rsidTr="00236564">
        <w:trPr>
          <w:trHeight w:val="317"/>
        </w:trPr>
        <w:tc>
          <w:tcPr>
            <w:tcW w:w="3590" w:type="dxa"/>
            <w:tcBorders>
              <w:top w:val="single" w:sz="4" w:space="0" w:color="5B9BD5" w:themeColor="accent1"/>
              <w:left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236564">
            <w:pPr>
              <w:ind w:left="44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Грузовой</w:t>
            </w:r>
          </w:p>
        </w:tc>
        <w:tc>
          <w:tcPr>
            <w:tcW w:w="769" w:type="dxa"/>
            <w:tcBorders>
              <w:top w:val="single" w:sz="4" w:space="0" w:color="5B9BD5" w:themeColor="accent1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3" w:type="dxa"/>
            <w:tcBorders>
              <w:top w:val="single" w:sz="4" w:space="0" w:color="5B9BD5" w:themeColor="accent1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3" w:type="dxa"/>
            <w:tcBorders>
              <w:top w:val="single" w:sz="4" w:space="0" w:color="5B9BD5" w:themeColor="accent1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3" w:type="dxa"/>
            <w:tcBorders>
              <w:top w:val="single" w:sz="4" w:space="0" w:color="5B9BD5" w:themeColor="accent1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3" w:type="dxa"/>
            <w:tcBorders>
              <w:top w:val="single" w:sz="4" w:space="0" w:color="5B9BD5" w:themeColor="accent1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75" w:type="dxa"/>
            <w:tcBorders>
              <w:top w:val="single" w:sz="4" w:space="0" w:color="5B9BD5" w:themeColor="accent1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75" w:type="dxa"/>
            <w:tcBorders>
              <w:top w:val="single" w:sz="4" w:space="0" w:color="5B9BD5" w:themeColor="accent1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75" w:type="dxa"/>
            <w:tcBorders>
              <w:top w:val="single" w:sz="4" w:space="0" w:color="5B9BD5" w:themeColor="accent1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81" w:type="dxa"/>
            <w:tcBorders>
              <w:top w:val="single" w:sz="4" w:space="0" w:color="5B9BD5" w:themeColor="accent1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16" w:type="dxa"/>
            <w:tcBorders>
              <w:top w:val="single" w:sz="4" w:space="0" w:color="5B9BD5" w:themeColor="accent1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75" w:type="dxa"/>
            <w:tcBorders>
              <w:top w:val="single" w:sz="4" w:space="0" w:color="5B9BD5" w:themeColor="accent1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75" w:type="dxa"/>
            <w:tcBorders>
              <w:top w:val="single" w:sz="4" w:space="0" w:color="5B9BD5" w:themeColor="accent1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75" w:type="dxa"/>
            <w:tcBorders>
              <w:top w:val="single" w:sz="4" w:space="0" w:color="5B9BD5" w:themeColor="accent1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81" w:type="dxa"/>
            <w:tcBorders>
              <w:top w:val="single" w:sz="4" w:space="0" w:color="5B9BD5" w:themeColor="accent1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</w:t>
            </w:r>
          </w:p>
        </w:tc>
      </w:tr>
      <w:tr w:rsidR="001950A3" w:rsidRPr="00AE479B" w:rsidTr="00236564">
        <w:trPr>
          <w:trHeight w:val="510"/>
        </w:trPr>
        <w:tc>
          <w:tcPr>
            <w:tcW w:w="3590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950A3" w:rsidRPr="00AE479B" w:rsidRDefault="001950A3" w:rsidP="00236564">
            <w:pPr>
              <w:ind w:left="44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Прочий: сопутствующие и вспомогательные услуги транспорта</w:t>
            </w:r>
          </w:p>
        </w:tc>
        <w:tc>
          <w:tcPr>
            <w:tcW w:w="769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184,2</w:t>
            </w:r>
          </w:p>
        </w:tc>
        <w:tc>
          <w:tcPr>
            <w:tcW w:w="853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141,7</w:t>
            </w:r>
          </w:p>
        </w:tc>
        <w:tc>
          <w:tcPr>
            <w:tcW w:w="853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208,8</w:t>
            </w:r>
          </w:p>
        </w:tc>
        <w:tc>
          <w:tcPr>
            <w:tcW w:w="853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223,2</w:t>
            </w:r>
          </w:p>
        </w:tc>
        <w:tc>
          <w:tcPr>
            <w:tcW w:w="853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267,5</w:t>
            </w:r>
          </w:p>
        </w:tc>
        <w:tc>
          <w:tcPr>
            <w:tcW w:w="775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775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775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781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916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775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775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775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781" w:type="dxa"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81,1</w:t>
            </w:r>
          </w:p>
        </w:tc>
      </w:tr>
      <w:tr w:rsidR="001950A3" w:rsidRPr="00AE479B" w:rsidTr="005D659F">
        <w:trPr>
          <w:trHeight w:val="63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236564">
            <w:pPr>
              <w:ind w:left="44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Почтовые услуги и услуги курьерской связи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</w:tr>
      <w:tr w:rsidR="001950A3" w:rsidRPr="00AE479B" w:rsidTr="005D659F">
        <w:trPr>
          <w:trHeight w:val="461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1950A3" w:rsidRPr="00AE479B" w:rsidRDefault="001950A3" w:rsidP="001950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Поездки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1 114,5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1 594,0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1 381,8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1 631,4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2 243,1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495,4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585,5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653,8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508,4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2 313,0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516,9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585,8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672,3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538,0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1950A3">
            <w:pPr>
              <w:ind w:left="17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Деловые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636,4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868,3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1 005,1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1 201,6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261,1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317,5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331,4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291,6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1 068,3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274,4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286,4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268,8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238,6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1950A3">
            <w:pPr>
              <w:ind w:left="17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Личные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478,0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794,0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513,5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626,3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1 041,6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234,3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268,0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322,4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216,8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1 244,7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299,3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403,5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299,4</w:t>
            </w:r>
          </w:p>
        </w:tc>
      </w:tr>
      <w:tr w:rsidR="001950A3" w:rsidRPr="00AE479B" w:rsidTr="00236564">
        <w:trPr>
          <w:trHeight w:val="312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1950A3">
            <w:pPr>
              <w:ind w:left="7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 связи с лечением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</w:t>
            </w:r>
          </w:p>
        </w:tc>
      </w:tr>
      <w:tr w:rsidR="001950A3" w:rsidRPr="00AE479B" w:rsidTr="00236564">
        <w:trPr>
          <w:trHeight w:val="312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1950A3">
            <w:pPr>
              <w:ind w:left="7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 связи с обучением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</w:tr>
      <w:tr w:rsidR="001950A3" w:rsidRPr="00AE479B" w:rsidTr="00236564">
        <w:trPr>
          <w:trHeight w:val="312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1950A3">
            <w:pPr>
              <w:ind w:left="7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Прочее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768,1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480,1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1 003,7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224,3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259,3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313,4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206,8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1 241,8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242,5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299,2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402,0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298,0</w:t>
            </w:r>
          </w:p>
        </w:tc>
      </w:tr>
      <w:tr w:rsidR="001950A3" w:rsidRPr="00AE479B" w:rsidTr="005D659F">
        <w:trPr>
          <w:trHeight w:val="403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1950A3" w:rsidRPr="00AE479B" w:rsidRDefault="001950A3" w:rsidP="001950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13,0</w:t>
            </w:r>
          </w:p>
        </w:tc>
      </w:tr>
      <w:tr w:rsidR="001950A3" w:rsidRPr="00AE479B" w:rsidTr="005D659F">
        <w:trPr>
          <w:trHeight w:val="455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1950A3">
            <w:pPr>
              <w:ind w:left="17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Строительство за рубежом</w:t>
            </w:r>
            <w:r w:rsidRPr="00AE479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(дебет)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1950A3">
            <w:pPr>
              <w:ind w:left="17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Строительство в Узбекистане</w:t>
            </w:r>
            <w:r w:rsidRPr="00AE479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(дебет)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13,0</w:t>
            </w:r>
          </w:p>
        </w:tc>
      </w:tr>
      <w:tr w:rsidR="001950A3" w:rsidRPr="00AE479B" w:rsidTr="005D659F">
        <w:trPr>
          <w:trHeight w:val="491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1950A3" w:rsidRPr="00AE479B" w:rsidRDefault="001950A3" w:rsidP="001950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Услуги в области страхования и пенсионного обеспечения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168,8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162,6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48,8</w:t>
            </w:r>
          </w:p>
        </w:tc>
      </w:tr>
      <w:tr w:rsidR="001950A3" w:rsidRPr="00AE479B" w:rsidTr="005D659F">
        <w:trPr>
          <w:trHeight w:val="329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1950A3">
            <w:pPr>
              <w:ind w:left="17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Прямое страхование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154,1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46,4</w:t>
            </w:r>
          </w:p>
        </w:tc>
      </w:tr>
      <w:tr w:rsidR="001950A3" w:rsidRPr="00AE479B" w:rsidTr="005D659F">
        <w:trPr>
          <w:trHeight w:val="278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1950A3">
            <w:pPr>
              <w:ind w:left="17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Перестрахование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2,4</w:t>
            </w:r>
          </w:p>
        </w:tc>
      </w:tr>
      <w:tr w:rsidR="001950A3" w:rsidRPr="00AE479B" w:rsidTr="005D659F">
        <w:trPr>
          <w:trHeight w:val="425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1950A3">
            <w:pPr>
              <w:ind w:left="17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Вспомогательные услуги страхования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</w:t>
            </w:r>
          </w:p>
        </w:tc>
      </w:tr>
      <w:tr w:rsidR="001950A3" w:rsidRPr="00AE479B" w:rsidTr="005D659F">
        <w:trPr>
          <w:trHeight w:val="39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1950A3" w:rsidRPr="00AE479B" w:rsidRDefault="001950A3" w:rsidP="001950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Финансовые услуги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6,4</w:t>
            </w:r>
          </w:p>
        </w:tc>
      </w:tr>
      <w:tr w:rsidR="001950A3" w:rsidRPr="00AE479B" w:rsidTr="00236564">
        <w:trPr>
          <w:trHeight w:val="624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1950A3" w:rsidRPr="00AE479B" w:rsidRDefault="001950A3" w:rsidP="00F70E30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Плата за использование интеллектуальной собственности, не отнесенная к другим категориям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20,6</w:t>
            </w:r>
          </w:p>
        </w:tc>
      </w:tr>
      <w:tr w:rsidR="001950A3" w:rsidRPr="00AE479B" w:rsidTr="005D659F">
        <w:trPr>
          <w:trHeight w:val="569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1950A3" w:rsidRPr="00AE479B" w:rsidRDefault="001950A3" w:rsidP="001950A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Телекоммуникационные, компьютерные и информационные услуги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26,6</w:t>
            </w:r>
          </w:p>
        </w:tc>
      </w:tr>
      <w:tr w:rsidR="001950A3" w:rsidRPr="00AE479B" w:rsidTr="005D659F">
        <w:trPr>
          <w:trHeight w:val="329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1950A3">
            <w:pPr>
              <w:ind w:left="17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Телекоммуникационные услуги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20,7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1950A3">
            <w:pPr>
              <w:ind w:left="17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Компьютерные услуги</w:t>
            </w:r>
          </w:p>
        </w:tc>
        <w:tc>
          <w:tcPr>
            <w:tcW w:w="769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8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16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81" w:type="dxa"/>
            <w:tcBorders>
              <w:top w:val="nil"/>
              <w:left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4,8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1950A3">
            <w:pPr>
              <w:ind w:left="17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Информационные услуги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single" w:sz="4" w:space="0" w:color="5B9BD5" w:themeColor="accent1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1950A3" w:rsidRPr="00AE479B" w:rsidRDefault="001950A3" w:rsidP="001950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Прочие деловые услуги</w:t>
            </w:r>
          </w:p>
        </w:tc>
        <w:tc>
          <w:tcPr>
            <w:tcW w:w="769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853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853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853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853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775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775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775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78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16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775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775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775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781" w:type="dxa"/>
            <w:tcBorders>
              <w:top w:val="single" w:sz="4" w:space="0" w:color="5B9BD5" w:themeColor="accent1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28,7</w:t>
            </w:r>
          </w:p>
        </w:tc>
      </w:tr>
      <w:tr w:rsidR="001950A3" w:rsidRPr="00AE479B" w:rsidTr="005D659F">
        <w:trPr>
          <w:trHeight w:val="508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1950A3">
            <w:pPr>
              <w:ind w:left="17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Научно-исследовательские и опытно-конструкторские работы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0,9</w:t>
            </w:r>
          </w:p>
        </w:tc>
      </w:tr>
      <w:tr w:rsidR="001950A3" w:rsidRPr="00AE479B" w:rsidTr="005D659F">
        <w:trPr>
          <w:trHeight w:val="571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1950A3">
            <w:pPr>
              <w:ind w:left="17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Профессиональные услуги и услуги в области управления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9,3</w:t>
            </w:r>
          </w:p>
        </w:tc>
      </w:tr>
      <w:tr w:rsidR="001950A3" w:rsidRPr="00AE479B" w:rsidTr="005D659F">
        <w:trPr>
          <w:trHeight w:val="565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1950A3">
            <w:pPr>
              <w:ind w:left="17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Технические, связанные с торговлей и прочие деловые услуги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18,5</w:t>
            </w:r>
          </w:p>
        </w:tc>
      </w:tr>
      <w:tr w:rsidR="001950A3" w:rsidRPr="00AE479B" w:rsidTr="005D659F">
        <w:trPr>
          <w:trHeight w:val="60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1950A3" w:rsidRPr="00AE479B" w:rsidRDefault="001950A3" w:rsidP="001950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Услуги частным лицам в сфере культуры и отдыха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3,5</w:t>
            </w:r>
          </w:p>
        </w:tc>
      </w:tr>
      <w:tr w:rsidR="001950A3" w:rsidRPr="00AE479B" w:rsidTr="005D659F">
        <w:trPr>
          <w:trHeight w:val="525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1950A3">
            <w:pPr>
              <w:ind w:left="17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Аудиовизуальные и связанные с ними услуги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</w:tr>
      <w:tr w:rsidR="001950A3" w:rsidRPr="00AE479B" w:rsidTr="005D659F">
        <w:trPr>
          <w:trHeight w:val="317"/>
        </w:trPr>
        <w:tc>
          <w:tcPr>
            <w:tcW w:w="3590" w:type="dxa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1950A3" w:rsidRPr="00AE479B" w:rsidRDefault="001950A3" w:rsidP="001950A3">
            <w:pPr>
              <w:ind w:left="17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Прочие услуги частным лицам и услуги в сфере культуры и отдыха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3,5</w:t>
            </w:r>
          </w:p>
        </w:tc>
      </w:tr>
      <w:tr w:rsidR="001950A3" w:rsidRPr="00AE479B" w:rsidTr="005D659F">
        <w:trPr>
          <w:trHeight w:val="637"/>
        </w:trPr>
        <w:tc>
          <w:tcPr>
            <w:tcW w:w="359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vAlign w:val="center"/>
            <w:hideMark/>
          </w:tcPr>
          <w:p w:rsidR="001950A3" w:rsidRPr="00AE479B" w:rsidRDefault="001950A3" w:rsidP="001950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Государственные товары и услуги, не отнесенные к другим категориям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1950A3" w:rsidRPr="00AE479B" w:rsidRDefault="001950A3" w:rsidP="00AE479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479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</w:tcPr>
          <w:p w:rsidR="001950A3" w:rsidRPr="00AE479B" w:rsidRDefault="001950A3" w:rsidP="001950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7,2</w:t>
            </w:r>
          </w:p>
        </w:tc>
      </w:tr>
    </w:tbl>
    <w:p w:rsidR="00951B5C" w:rsidRPr="006F08D3" w:rsidRDefault="00951B5C" w:rsidP="00F11B6E">
      <w:pPr>
        <w:jc w:val="right"/>
        <w:rPr>
          <w:i/>
        </w:rPr>
      </w:pPr>
    </w:p>
    <w:p w:rsidR="007D34F7" w:rsidRPr="006F08D3" w:rsidRDefault="007D34F7" w:rsidP="00F11B6E">
      <w:pPr>
        <w:rPr>
          <w:rFonts w:cs="Arial"/>
        </w:rPr>
      </w:pPr>
    </w:p>
    <w:p w:rsidR="007D34F7" w:rsidRPr="006F08D3" w:rsidRDefault="007D34F7" w:rsidP="00A6189F">
      <w:pPr>
        <w:shd w:val="clear" w:color="auto" w:fill="FFFF00"/>
        <w:jc w:val="both"/>
        <w:rPr>
          <w:rFonts w:cs="Arial"/>
        </w:rPr>
        <w:sectPr w:rsidR="007D34F7" w:rsidRPr="006F08D3" w:rsidSect="00365AA0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951B5C" w:rsidRPr="001011D6" w:rsidRDefault="00951B5C" w:rsidP="00D856AF">
      <w:pPr>
        <w:jc w:val="right"/>
        <w:rPr>
          <w:i/>
          <w:sz w:val="22"/>
          <w:szCs w:val="22"/>
        </w:rPr>
      </w:pPr>
      <w:r w:rsidRPr="001011D6">
        <w:rPr>
          <w:i/>
          <w:sz w:val="22"/>
          <w:szCs w:val="22"/>
        </w:rPr>
        <w:lastRenderedPageBreak/>
        <w:t>Приложение 8</w:t>
      </w:r>
    </w:p>
    <w:p w:rsidR="006B31D0" w:rsidRPr="006B246F" w:rsidRDefault="002E0F0B" w:rsidP="00365AA0">
      <w:pPr>
        <w:pStyle w:val="1"/>
        <w:tabs>
          <w:tab w:val="left" w:pos="426"/>
        </w:tabs>
        <w:ind w:left="0"/>
        <w:jc w:val="center"/>
        <w:rPr>
          <w:rFonts w:ascii="Calibri" w:hAnsi="Calibri"/>
          <w:b w:val="0"/>
          <w:sz w:val="26"/>
          <w:szCs w:val="26"/>
        </w:rPr>
      </w:pPr>
      <w:bookmarkStart w:id="30" w:name="_Toc35458626"/>
      <w:r w:rsidRPr="006B246F">
        <w:rPr>
          <w:rFonts w:ascii="Calibri" w:hAnsi="Calibri"/>
          <w:sz w:val="26"/>
          <w:szCs w:val="26"/>
        </w:rPr>
        <w:t>ЛИЧНЫЕ ТРАНСФЕРТЫ</w:t>
      </w:r>
      <w:r w:rsidR="008C484C" w:rsidRPr="006B246F">
        <w:rPr>
          <w:rFonts w:ascii="Calibri" w:hAnsi="Calibri"/>
          <w:sz w:val="26"/>
          <w:szCs w:val="26"/>
          <w:lang w:val="uz-Cyrl-UZ"/>
        </w:rPr>
        <w:t xml:space="preserve"> В УЗБЕКИСТАН</w:t>
      </w:r>
      <w:r w:rsidRPr="006B246F">
        <w:rPr>
          <w:rFonts w:ascii="Calibri" w:hAnsi="Calibri"/>
          <w:sz w:val="26"/>
          <w:szCs w:val="26"/>
        </w:rPr>
        <w:t xml:space="preserve"> ЗА 201</w:t>
      </w:r>
      <w:r w:rsidR="00673FDD" w:rsidRPr="006B246F">
        <w:rPr>
          <w:rFonts w:ascii="Calibri" w:hAnsi="Calibri"/>
          <w:sz w:val="26"/>
          <w:szCs w:val="26"/>
          <w:lang w:val="uz-Cyrl-UZ"/>
        </w:rPr>
        <w:t>4</w:t>
      </w:r>
      <w:r w:rsidRPr="006B246F">
        <w:rPr>
          <w:rFonts w:ascii="Calibri" w:hAnsi="Calibri"/>
          <w:sz w:val="26"/>
          <w:szCs w:val="26"/>
        </w:rPr>
        <w:t xml:space="preserve"> - 2019 ГГ.</w:t>
      </w:r>
      <w:bookmarkEnd w:id="30"/>
      <w:r w:rsidRPr="006B246F">
        <w:rPr>
          <w:rFonts w:ascii="Calibri" w:hAnsi="Calibri"/>
          <w:b w:val="0"/>
          <w:sz w:val="26"/>
          <w:szCs w:val="26"/>
        </w:rPr>
        <w:t xml:space="preserve"> </w:t>
      </w:r>
    </w:p>
    <w:p w:rsidR="00D856AF" w:rsidRPr="00C75833" w:rsidRDefault="00D856AF" w:rsidP="006B31D0">
      <w:pPr>
        <w:jc w:val="center"/>
        <w:rPr>
          <w:sz w:val="22"/>
          <w:szCs w:val="22"/>
        </w:rPr>
      </w:pPr>
      <w:r w:rsidRPr="00C75833">
        <w:rPr>
          <w:sz w:val="22"/>
          <w:szCs w:val="22"/>
        </w:rPr>
        <w:t>(</w:t>
      </w:r>
      <w:r w:rsidR="0041463F" w:rsidRPr="00C75833">
        <w:rPr>
          <w:sz w:val="22"/>
          <w:szCs w:val="22"/>
        </w:rPr>
        <w:t xml:space="preserve">поступившие </w:t>
      </w:r>
      <w:r w:rsidRPr="00C75833">
        <w:rPr>
          <w:sz w:val="22"/>
          <w:szCs w:val="22"/>
        </w:rPr>
        <w:t>трансграничные денежные переводы физических лиц)</w:t>
      </w:r>
    </w:p>
    <w:p w:rsidR="00D856AF" w:rsidRPr="00343190" w:rsidRDefault="00784399" w:rsidP="003F47E9">
      <w:pPr>
        <w:spacing w:line="20" w:lineRule="atLeast"/>
        <w:ind w:right="-143"/>
        <w:jc w:val="right"/>
        <w:rPr>
          <w:i/>
          <w:sz w:val="20"/>
          <w:szCs w:val="20"/>
        </w:rPr>
      </w:pPr>
      <w:r w:rsidRPr="00343190">
        <w:rPr>
          <w:i/>
          <w:sz w:val="20"/>
          <w:szCs w:val="20"/>
        </w:rPr>
        <w:t>(</w:t>
      </w:r>
      <w:r w:rsidR="00D856AF" w:rsidRPr="00343190">
        <w:rPr>
          <w:i/>
          <w:sz w:val="20"/>
          <w:szCs w:val="20"/>
        </w:rPr>
        <w:t>млн. долл.</w:t>
      </w:r>
      <w:r w:rsidRPr="00343190">
        <w:rPr>
          <w:i/>
          <w:sz w:val="20"/>
          <w:szCs w:val="20"/>
        </w:rPr>
        <w:t>)</w:t>
      </w:r>
    </w:p>
    <w:tbl>
      <w:tblPr>
        <w:tblW w:w="14930" w:type="dxa"/>
        <w:tblLook w:val="04A0"/>
      </w:tblPr>
      <w:tblGrid>
        <w:gridCol w:w="2318"/>
        <w:gridCol w:w="895"/>
        <w:gridCol w:w="898"/>
        <w:gridCol w:w="900"/>
        <w:gridCol w:w="900"/>
        <w:gridCol w:w="900"/>
        <w:gridCol w:w="891"/>
        <w:gridCol w:w="903"/>
        <w:gridCol w:w="903"/>
        <w:gridCol w:w="916"/>
        <w:gridCol w:w="900"/>
        <w:gridCol w:w="900"/>
        <w:gridCol w:w="900"/>
        <w:gridCol w:w="900"/>
        <w:gridCol w:w="906"/>
      </w:tblGrid>
      <w:tr w:rsidR="00673FDD" w:rsidRPr="0038132F" w:rsidTr="00B70CC0">
        <w:trPr>
          <w:trHeight w:val="347"/>
          <w:tblHeader/>
        </w:trPr>
        <w:tc>
          <w:tcPr>
            <w:tcW w:w="2318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73FDD" w:rsidRPr="0038132F" w:rsidRDefault="00673FDD" w:rsidP="00B70CC0">
            <w:pPr>
              <w:spacing w:line="20" w:lineRule="atLeast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</w:rPr>
              <w:t>Регион/Страна</w:t>
            </w:r>
          </w:p>
        </w:tc>
        <w:tc>
          <w:tcPr>
            <w:tcW w:w="895" w:type="dxa"/>
            <w:vMerge w:val="restart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vAlign w:val="center"/>
          </w:tcPr>
          <w:p w:rsidR="00673FDD" w:rsidRPr="0038132F" w:rsidRDefault="00673FDD" w:rsidP="00B70CC0">
            <w:pPr>
              <w:spacing w:line="20" w:lineRule="atLeast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98" w:type="dxa"/>
            <w:vMerge w:val="restart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vAlign w:val="center"/>
          </w:tcPr>
          <w:p w:rsidR="00673FDD" w:rsidRPr="0038132F" w:rsidRDefault="00673FDD" w:rsidP="00B70CC0">
            <w:pPr>
              <w:spacing w:line="20" w:lineRule="atLeast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0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73FDD" w:rsidRPr="0038132F" w:rsidRDefault="00673FDD" w:rsidP="00B70CC0">
            <w:pPr>
              <w:spacing w:line="20" w:lineRule="atLeast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0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73FDD" w:rsidRPr="0038132F" w:rsidRDefault="00673FDD" w:rsidP="00B70CC0">
            <w:pPr>
              <w:spacing w:line="20" w:lineRule="atLeast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0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73FDD" w:rsidRPr="0038132F" w:rsidRDefault="00673FDD" w:rsidP="00B70CC0">
            <w:pPr>
              <w:spacing w:line="20" w:lineRule="atLeast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613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673FDD" w:rsidRPr="0038132F" w:rsidRDefault="00673FDD" w:rsidP="00B70CC0">
            <w:pPr>
              <w:spacing w:line="20" w:lineRule="atLeast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0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73FDD" w:rsidRPr="0038132F" w:rsidRDefault="00673FDD" w:rsidP="00B70CC0">
            <w:pPr>
              <w:spacing w:line="20" w:lineRule="atLeast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606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673FDD" w:rsidRPr="0038132F" w:rsidRDefault="00673FDD" w:rsidP="00B70CC0">
            <w:pPr>
              <w:spacing w:line="20" w:lineRule="atLeast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673FDD" w:rsidRPr="0038132F" w:rsidTr="00B70CC0">
        <w:trPr>
          <w:trHeight w:val="332"/>
          <w:tblHeader/>
        </w:trPr>
        <w:tc>
          <w:tcPr>
            <w:tcW w:w="2318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673FDD" w:rsidRPr="0038132F" w:rsidRDefault="00673FDD" w:rsidP="00B70CC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73FDD" w:rsidRPr="0038132F" w:rsidRDefault="00673FDD" w:rsidP="00B70CC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673FDD" w:rsidRPr="0038132F" w:rsidRDefault="00673FDD" w:rsidP="00B70CC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673FDD" w:rsidRPr="0038132F" w:rsidRDefault="00673FDD" w:rsidP="00B70CC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673FDD" w:rsidRPr="0038132F" w:rsidRDefault="00673FDD" w:rsidP="00B70CC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673FDD" w:rsidRPr="0038132F" w:rsidRDefault="00673FDD" w:rsidP="00B70CC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73FDD" w:rsidRPr="0038132F" w:rsidRDefault="00673FDD" w:rsidP="00B70CC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кв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73FDD" w:rsidRPr="0038132F" w:rsidRDefault="00673FDD" w:rsidP="00B70CC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кв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73FDD" w:rsidRPr="0038132F" w:rsidRDefault="00673FDD" w:rsidP="00B70CC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III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кв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73FDD" w:rsidRPr="0038132F" w:rsidRDefault="00673FDD" w:rsidP="00B70CC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IV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кв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900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673FDD" w:rsidRPr="0038132F" w:rsidRDefault="00673FDD" w:rsidP="00B70CC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73FDD" w:rsidRPr="0038132F" w:rsidRDefault="00673FDD" w:rsidP="00B70CC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кв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73FDD" w:rsidRPr="0038132F" w:rsidRDefault="00673FDD" w:rsidP="00B70CC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кв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73FDD" w:rsidRPr="0038132F" w:rsidRDefault="00673FDD" w:rsidP="00B70CC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III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кв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73FDD" w:rsidRPr="0038132F" w:rsidRDefault="00673FDD" w:rsidP="00B70CC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</w:rPr>
              <w:t>IV кв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6 468,1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3 881,4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3 783,8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4 896,5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5 114,8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949,5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1 335,1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1 544,5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1 285,7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6 009,7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1 064,0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1 528,8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1 862,9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1 553,9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</w:rPr>
              <w:t>СНГ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6 038,6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3 451,9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3 287,1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4 290,3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4 350,1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785,1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1 141,9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1 336,4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1 086,8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5 078,0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864,2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1 294,7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1 616,0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1 303,0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Российская Федеpация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5 609,7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3 027,2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2 998,0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3 907,3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3 963,1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733,3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1 027,7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1 206,1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996,0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4 636,8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805,3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1 171,8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1 466,8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1 192,9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Казахстан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366,0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379,0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248,9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317,9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40,3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95,9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72,9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357,0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99,4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124,8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88,2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Кыpгызстан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16,7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14,3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9,0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12,9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9,8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Укpаина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13,1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7,3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5,0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Азеpбайджан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10,7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8,2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1,0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Таджикистан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9,2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6,5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1,3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Белаpусь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9,5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5,4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2,2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Армения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1,0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1,1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1,3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Туркменистан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2,7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2,8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1,2</w:t>
            </w:r>
          </w:p>
        </w:tc>
      </w:tr>
      <w:tr w:rsidR="00627399" w:rsidRPr="0038132F" w:rsidTr="00627399">
        <w:trPr>
          <w:trHeight w:val="357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</w:rPr>
              <w:t>Остальные страны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381,0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384,2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454,3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562,1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720,0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154,8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181,8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196,7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186,7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878,0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187,9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220,1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232,9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237,1</w:t>
            </w:r>
          </w:p>
        </w:tc>
      </w:tr>
      <w:tr w:rsidR="00627399" w:rsidRPr="0038132F" w:rsidTr="006B246F">
        <w:trPr>
          <w:trHeight w:val="374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Туpция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44,7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59,0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98,4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150,1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48,3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54,2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204,6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54,8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52,0</w:t>
            </w:r>
          </w:p>
        </w:tc>
      </w:tr>
      <w:tr w:rsidR="00627399" w:rsidRPr="0038132F" w:rsidTr="006B246F">
        <w:trPr>
          <w:trHeight w:val="374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Польша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1,7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2,1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1,8</w:t>
            </w:r>
          </w:p>
        </w:tc>
      </w:tr>
      <w:tr w:rsidR="00627399" w:rsidRPr="0038132F" w:rsidTr="006B246F">
        <w:trPr>
          <w:trHeight w:val="374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Китай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16,2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14,6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4,8</w:t>
            </w:r>
          </w:p>
        </w:tc>
      </w:tr>
      <w:tr w:rsidR="00627399" w:rsidRPr="0038132F" w:rsidTr="006B246F">
        <w:trPr>
          <w:trHeight w:val="374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Литва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0,4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0,4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0,6</w:t>
            </w:r>
          </w:p>
        </w:tc>
      </w:tr>
      <w:tr w:rsidR="00627399" w:rsidRPr="0038132F" w:rsidTr="006B246F">
        <w:trPr>
          <w:trHeight w:val="374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США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101,2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130,8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162,5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188,4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35,7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47,8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232,1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64,8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64,7</w:t>
            </w:r>
          </w:p>
        </w:tc>
      </w:tr>
      <w:tr w:rsidR="00627399" w:rsidRPr="0038132F" w:rsidTr="006B246F">
        <w:trPr>
          <w:trHeight w:val="374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 xml:space="preserve">Коpея, </w:t>
            </w:r>
            <w:r>
              <w:rPr>
                <w:rFonts w:cs="Calibri"/>
                <w:color w:val="000000"/>
                <w:sz w:val="22"/>
                <w:szCs w:val="22"/>
              </w:rPr>
              <w:t>Р</w:t>
            </w:r>
            <w:r w:rsidRPr="0038132F">
              <w:rPr>
                <w:rFonts w:cs="Calibri"/>
                <w:color w:val="000000"/>
                <w:sz w:val="22"/>
                <w:szCs w:val="22"/>
              </w:rPr>
              <w:t>еспублика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57,6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50,9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64,4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106,7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21,8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25,3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169,9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44,7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49,4</w:t>
            </w:r>
          </w:p>
        </w:tc>
      </w:tr>
      <w:tr w:rsidR="00627399" w:rsidRPr="0038132F" w:rsidTr="006B246F">
        <w:trPr>
          <w:trHeight w:val="374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ОАЭ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65,0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35,1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8,0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7,9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9,2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9,6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lastRenderedPageBreak/>
              <w:t>Геpмания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8,8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8,1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2,8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Чешская Республика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3,4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3,0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1,9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Латвия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1,6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1,3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1,1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Япония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5,1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4,9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2,1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Великобpитания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10,4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8,6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2,4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Гpузия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8,7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7,1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1,9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Изpаиль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13,8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16,8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12,0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13,6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13,9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81,5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22,9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Индия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0,6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0,5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0,2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Канада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4,2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4,7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1,3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Республика Молдова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0,9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0,6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0,3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Нидеpланды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2,8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2,2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1,3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Швейцаpия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3,1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2,6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0,8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Таиланд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6,4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5,4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1,4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Гонконг, Китай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5,0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2,3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0,4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Австpалия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3,1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2,9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0,8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Швеция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6,9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11,6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6,8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9,6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9,9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Кувейт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2,1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1,7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0,7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Саудовская Аpавия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2,8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2,6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0,7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Сингапуp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2,1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2,1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0,4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color w:val="000000"/>
                <w:sz w:val="22"/>
                <w:szCs w:val="22"/>
              </w:rPr>
            </w:pPr>
            <w:r w:rsidRPr="0038132F">
              <w:rPr>
                <w:rFonts w:cs="Calibri"/>
                <w:color w:val="000000"/>
                <w:sz w:val="22"/>
                <w:szCs w:val="22"/>
              </w:rPr>
              <w:t>Катаp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2,5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2,1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0,7</w:t>
            </w:r>
          </w:p>
        </w:tc>
      </w:tr>
      <w:tr w:rsidR="00627399" w:rsidRPr="0038132F" w:rsidTr="00627399">
        <w:trPr>
          <w:trHeight w:val="380"/>
        </w:trPr>
        <w:tc>
          <w:tcPr>
            <w:tcW w:w="2318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38132F">
              <w:rPr>
                <w:rFonts w:cs="Calibri"/>
                <w:b/>
                <w:bCs/>
                <w:sz w:val="22"/>
                <w:szCs w:val="22"/>
              </w:rPr>
              <w:t>Другие страны</w:t>
            </w:r>
          </w:p>
        </w:tc>
        <w:tc>
          <w:tcPr>
            <w:tcW w:w="8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48,5</w:t>
            </w:r>
          </w:p>
        </w:tc>
        <w:tc>
          <w:tcPr>
            <w:tcW w:w="898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45,2</w:t>
            </w:r>
          </w:p>
        </w:tc>
        <w:tc>
          <w:tcPr>
            <w:tcW w:w="900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44,6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9,6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11,4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53,7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sz w:val="22"/>
                <w:szCs w:val="22"/>
              </w:rPr>
            </w:pPr>
            <w:r w:rsidRPr="00627399">
              <w:rPr>
                <w:sz w:val="22"/>
                <w:szCs w:val="22"/>
              </w:rPr>
              <w:t>13,8</w:t>
            </w:r>
          </w:p>
        </w:tc>
      </w:tr>
    </w:tbl>
    <w:p w:rsidR="008C484C" w:rsidRDefault="008C484C" w:rsidP="00CF58C0"/>
    <w:p w:rsidR="008C484C" w:rsidRDefault="008C484C">
      <w:r>
        <w:br w:type="page"/>
      </w:r>
    </w:p>
    <w:p w:rsidR="008C484C" w:rsidRPr="00C75833" w:rsidRDefault="008C484C" w:rsidP="008C484C">
      <w:pPr>
        <w:jc w:val="right"/>
        <w:rPr>
          <w:i/>
          <w:sz w:val="22"/>
          <w:szCs w:val="22"/>
        </w:rPr>
      </w:pPr>
      <w:r w:rsidRPr="00C75833">
        <w:rPr>
          <w:i/>
          <w:sz w:val="22"/>
          <w:szCs w:val="22"/>
        </w:rPr>
        <w:lastRenderedPageBreak/>
        <w:t>Приложение 9</w:t>
      </w:r>
    </w:p>
    <w:p w:rsidR="008C484C" w:rsidRPr="006B246F" w:rsidRDefault="008C484C" w:rsidP="008C484C">
      <w:pPr>
        <w:pStyle w:val="1"/>
        <w:tabs>
          <w:tab w:val="left" w:pos="426"/>
        </w:tabs>
        <w:ind w:left="0"/>
        <w:jc w:val="center"/>
        <w:rPr>
          <w:rFonts w:ascii="Calibri" w:hAnsi="Calibri"/>
          <w:b w:val="0"/>
          <w:sz w:val="26"/>
          <w:szCs w:val="26"/>
        </w:rPr>
      </w:pPr>
      <w:bookmarkStart w:id="31" w:name="_Toc35458627"/>
      <w:r w:rsidRPr="006B246F">
        <w:rPr>
          <w:rFonts w:ascii="Calibri" w:hAnsi="Calibri"/>
          <w:sz w:val="26"/>
          <w:szCs w:val="26"/>
        </w:rPr>
        <w:t>ЛИЧНЫЕ ТРАНСФЕРТЫ</w:t>
      </w:r>
      <w:r w:rsidRPr="006B246F">
        <w:rPr>
          <w:rFonts w:ascii="Calibri" w:hAnsi="Calibri"/>
          <w:sz w:val="26"/>
          <w:szCs w:val="26"/>
          <w:lang w:val="uz-Cyrl-UZ"/>
        </w:rPr>
        <w:t xml:space="preserve"> ИЗ УЗБЕКИСТАН</w:t>
      </w:r>
      <w:r w:rsidR="00C775B4" w:rsidRPr="006B246F">
        <w:rPr>
          <w:rFonts w:ascii="Calibri" w:hAnsi="Calibri"/>
          <w:sz w:val="26"/>
          <w:szCs w:val="26"/>
          <w:lang w:val="ru-RU"/>
        </w:rPr>
        <w:t>А</w:t>
      </w:r>
      <w:r w:rsidRPr="006B246F">
        <w:rPr>
          <w:rFonts w:ascii="Calibri" w:hAnsi="Calibri"/>
          <w:sz w:val="26"/>
          <w:szCs w:val="26"/>
        </w:rPr>
        <w:t xml:space="preserve"> ЗА 201</w:t>
      </w:r>
      <w:r w:rsidR="00F20817" w:rsidRPr="006B246F">
        <w:rPr>
          <w:rFonts w:ascii="Calibri" w:hAnsi="Calibri"/>
          <w:sz w:val="26"/>
          <w:szCs w:val="26"/>
          <w:lang w:val="uz-Cyrl-UZ"/>
        </w:rPr>
        <w:t>4</w:t>
      </w:r>
      <w:r w:rsidRPr="006B246F">
        <w:rPr>
          <w:rFonts w:ascii="Calibri" w:hAnsi="Calibri"/>
          <w:sz w:val="26"/>
          <w:szCs w:val="26"/>
        </w:rPr>
        <w:t xml:space="preserve"> - 2019 ГГ.</w:t>
      </w:r>
      <w:bookmarkEnd w:id="31"/>
      <w:r w:rsidRPr="006B246F">
        <w:rPr>
          <w:rFonts w:ascii="Calibri" w:hAnsi="Calibri"/>
          <w:b w:val="0"/>
          <w:sz w:val="26"/>
          <w:szCs w:val="26"/>
        </w:rPr>
        <w:t xml:space="preserve"> </w:t>
      </w:r>
    </w:p>
    <w:p w:rsidR="008C484C" w:rsidRPr="00C75833" w:rsidRDefault="008C484C" w:rsidP="008C484C">
      <w:pPr>
        <w:jc w:val="center"/>
        <w:rPr>
          <w:sz w:val="22"/>
          <w:szCs w:val="22"/>
        </w:rPr>
      </w:pPr>
      <w:r w:rsidRPr="00C75833">
        <w:rPr>
          <w:sz w:val="22"/>
          <w:szCs w:val="22"/>
        </w:rPr>
        <w:t>(</w:t>
      </w:r>
      <w:r w:rsidR="0041463F" w:rsidRPr="00C75833">
        <w:rPr>
          <w:sz w:val="22"/>
          <w:szCs w:val="22"/>
        </w:rPr>
        <w:t xml:space="preserve">отправленные </w:t>
      </w:r>
      <w:r w:rsidRPr="00C75833">
        <w:rPr>
          <w:sz w:val="22"/>
          <w:szCs w:val="22"/>
        </w:rPr>
        <w:t>трансграничные денежные переводы физических лиц)</w:t>
      </w:r>
    </w:p>
    <w:p w:rsidR="008C484C" w:rsidRPr="00343190" w:rsidRDefault="008C484C" w:rsidP="003F47E9">
      <w:pPr>
        <w:spacing w:line="0" w:lineRule="atLeast"/>
        <w:ind w:right="-143"/>
        <w:jc w:val="right"/>
        <w:rPr>
          <w:i/>
          <w:sz w:val="20"/>
          <w:szCs w:val="20"/>
        </w:rPr>
      </w:pPr>
      <w:r w:rsidRPr="00343190">
        <w:rPr>
          <w:i/>
          <w:sz w:val="20"/>
          <w:szCs w:val="20"/>
        </w:rPr>
        <w:t>(млн. долл.)</w:t>
      </w:r>
    </w:p>
    <w:tbl>
      <w:tblPr>
        <w:tblW w:w="14909" w:type="dxa"/>
        <w:tblLook w:val="04A0"/>
      </w:tblPr>
      <w:tblGrid>
        <w:gridCol w:w="2313"/>
        <w:gridCol w:w="899"/>
        <w:gridCol w:w="899"/>
        <w:gridCol w:w="899"/>
        <w:gridCol w:w="899"/>
        <w:gridCol w:w="899"/>
        <w:gridCol w:w="899"/>
        <w:gridCol w:w="899"/>
        <w:gridCol w:w="899"/>
        <w:gridCol w:w="904"/>
        <w:gridCol w:w="899"/>
        <w:gridCol w:w="899"/>
        <w:gridCol w:w="899"/>
        <w:gridCol w:w="899"/>
        <w:gridCol w:w="904"/>
      </w:tblGrid>
      <w:tr w:rsidR="00F20817" w:rsidRPr="0038132F" w:rsidTr="00F20817">
        <w:trPr>
          <w:trHeight w:val="344"/>
          <w:tblHeader/>
        </w:trPr>
        <w:tc>
          <w:tcPr>
            <w:tcW w:w="2313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F20817" w:rsidRPr="0038132F" w:rsidRDefault="00F20817" w:rsidP="003F47E9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Регион/Страна</w:t>
            </w:r>
          </w:p>
        </w:tc>
        <w:tc>
          <w:tcPr>
            <w:tcW w:w="899" w:type="dxa"/>
            <w:vMerge w:val="restart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vAlign w:val="center"/>
          </w:tcPr>
          <w:p w:rsidR="00F20817" w:rsidRPr="0038132F" w:rsidRDefault="00F20817" w:rsidP="003F47E9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99" w:type="dxa"/>
            <w:vMerge w:val="restart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vAlign w:val="center"/>
          </w:tcPr>
          <w:p w:rsidR="00F20817" w:rsidRPr="0038132F" w:rsidRDefault="00F20817" w:rsidP="00F20817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99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F20817" w:rsidRPr="0038132F" w:rsidRDefault="00F20817" w:rsidP="003F47E9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99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F20817" w:rsidRPr="0038132F" w:rsidRDefault="00F20817" w:rsidP="003F47E9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99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F20817" w:rsidRPr="0038132F" w:rsidRDefault="00F20817" w:rsidP="003F47E9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601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F20817" w:rsidRPr="0038132F" w:rsidRDefault="00F20817" w:rsidP="003F47E9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99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F20817" w:rsidRPr="0038132F" w:rsidRDefault="00F20817" w:rsidP="003F47E9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601" w:type="dxa"/>
            <w:gridSpan w:val="4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F20817" w:rsidRPr="0038132F" w:rsidRDefault="00F20817" w:rsidP="003F47E9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280077" w:rsidRPr="0038132F" w:rsidTr="00627399">
        <w:trPr>
          <w:trHeight w:val="292"/>
          <w:tblHeader/>
        </w:trPr>
        <w:tc>
          <w:tcPr>
            <w:tcW w:w="2313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280077" w:rsidRPr="0038132F" w:rsidRDefault="00280077" w:rsidP="0028007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280077" w:rsidRPr="0038132F" w:rsidRDefault="00280077" w:rsidP="0028007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280077" w:rsidRPr="0038132F" w:rsidRDefault="00280077" w:rsidP="0028007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280077" w:rsidRPr="0038132F" w:rsidRDefault="00280077" w:rsidP="0028007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280077" w:rsidRPr="0038132F" w:rsidRDefault="00280077" w:rsidP="0028007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280077" w:rsidRPr="0038132F" w:rsidRDefault="00280077" w:rsidP="0028007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80077" w:rsidRPr="0038132F" w:rsidRDefault="00280077" w:rsidP="0028007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кв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80077" w:rsidRPr="0038132F" w:rsidRDefault="00280077" w:rsidP="0028007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кв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80077" w:rsidRPr="0038132F" w:rsidRDefault="00280077" w:rsidP="0028007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III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кв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80077" w:rsidRPr="0038132F" w:rsidRDefault="00280077" w:rsidP="0028007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IV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кв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899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280077" w:rsidRPr="0038132F" w:rsidRDefault="00280077" w:rsidP="0028007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80077" w:rsidRPr="0038132F" w:rsidRDefault="00280077" w:rsidP="0028007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кв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80077" w:rsidRPr="0038132F" w:rsidRDefault="00280077" w:rsidP="0028007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кв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80077" w:rsidRPr="0038132F" w:rsidRDefault="00280077" w:rsidP="0028007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III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кв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80077" w:rsidRPr="0038132F" w:rsidRDefault="00280077" w:rsidP="0028007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IV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кв</w:t>
            </w:r>
            <w:r w:rsidRPr="0038132F">
              <w:rPr>
                <w:rFonts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1 181,5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905,0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740,0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724,5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899,9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201,0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200,1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237,8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261,0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1 040,3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219,4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247,6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303,5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269,88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СНГ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869,7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608,2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483,4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470,9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557,0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138,9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131,3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139,2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147,6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542,0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122,0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132,3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144,4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143,4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Российская Федеpация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685,0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477,9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382,0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346,3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402,2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105,8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95,5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99,8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101,2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347,5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81,2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84,7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92,8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88,9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Казахстан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76,3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54,8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45,5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59,0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73,4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15,9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16,4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18,1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22,9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87,3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22,0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21,9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23,3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Кыpгызстан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50,6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31,6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19,0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18,2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30,6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6,8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9,3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10,3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51,7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9,3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12,1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14,3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16,0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Укpаина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22,1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16,8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16,5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19,7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23,3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6,1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6,1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23,9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7,1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Азеpбайджан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16,2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11,5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8,3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8,8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9,6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12,7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3,0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Таджикистан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5,6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4,7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7,2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7,1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Белаpусь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4,2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9,9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6,9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6,8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1,7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Армения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7,6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5,7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1,8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Туркменистан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2,1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Остальные страны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291,5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278,2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240,9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237,9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325,2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57,7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64,5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94,4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108,6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478,3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93,0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110,1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153,9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121,2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Туpция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80,6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56,2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46,7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81,8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131,4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21,4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26,0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40,7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43,3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200,6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35,4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45,1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59,8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60,3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Польша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9,9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4,2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7,4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21,3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12,7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47,8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10,5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14,4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19,8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3,2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Китай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115,8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144,4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122,7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69,8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66,5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13,8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18,7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73,0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14,3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13,2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20,3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25,1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Литва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3,0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1,7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20,5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10,5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28,8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6,9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8,2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12,5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1,2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США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22,5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17,9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17,1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17,4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16,5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19,0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4,7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Коpея,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</w:t>
            </w: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еспублика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5,6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3,5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8,5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12,8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26,7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11,1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5,3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ОАЭ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9,3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9,5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7,1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14,8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3,6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Геpмания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8,1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6,4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6,2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11,5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3,5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Чешская Республика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4,0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3,6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6,7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0,9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Латвия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4,2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4,3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6,8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7,2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Япония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1,3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1,7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Великобpитания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4,6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3,5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7,7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2,1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Гpузия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4,2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4,6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7,3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3,4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Изpаиль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6,8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5,3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1,2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Индия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2,3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2,5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3,2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0,8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Канада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2,7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2,5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0,4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Республика Молдова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0,7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1,4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Нидеpланды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0,4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Швейцаpия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0,9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0,8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Таиланд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1,5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1,3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0,9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Гонконг, Китай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0,3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0,3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Австpалия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0,9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Швеция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0,7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0,4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Кувейт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0,4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Саудовская Аpавия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Сингапуp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0,6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0,3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Катаp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</w:tr>
      <w:tr w:rsidR="00627399" w:rsidRPr="0038132F" w:rsidTr="00627399">
        <w:trPr>
          <w:trHeight w:val="380"/>
        </w:trPr>
        <w:tc>
          <w:tcPr>
            <w:tcW w:w="2313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38132F" w:rsidRDefault="00627399" w:rsidP="006273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13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Другие страны</w:t>
            </w:r>
          </w:p>
        </w:tc>
        <w:tc>
          <w:tcPr>
            <w:tcW w:w="8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20,4</w:t>
            </w:r>
          </w:p>
        </w:tc>
        <w:tc>
          <w:tcPr>
            <w:tcW w:w="899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18,6</w:t>
            </w:r>
          </w:p>
        </w:tc>
        <w:tc>
          <w:tcPr>
            <w:tcW w:w="899" w:type="dxa"/>
            <w:tcBorders>
              <w:top w:val="nil"/>
              <w:left w:val="single" w:sz="4" w:space="0" w:color="5B9BD5" w:themeColor="accent1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15,7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15,7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17,7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20,0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4,3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627399" w:rsidRPr="00627399" w:rsidRDefault="00627399" w:rsidP="00627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399">
              <w:rPr>
                <w:rFonts w:asciiTheme="minorHAnsi" w:hAnsiTheme="minorHAnsi" w:cstheme="minorHAnsi"/>
                <w:sz w:val="22"/>
                <w:szCs w:val="22"/>
              </w:rPr>
              <w:t>5,3</w:t>
            </w:r>
          </w:p>
        </w:tc>
      </w:tr>
    </w:tbl>
    <w:p w:rsidR="00CF58C0" w:rsidRPr="008C484C" w:rsidRDefault="00CF58C0" w:rsidP="00CF58C0">
      <w:pPr>
        <w:sectPr w:rsidR="00CF58C0" w:rsidRPr="008C484C" w:rsidSect="00365AA0">
          <w:footerReference w:type="default" r:id="rId4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045FB" w:rsidRPr="00C75833" w:rsidRDefault="002045FB" w:rsidP="002045FB">
      <w:pPr>
        <w:jc w:val="right"/>
        <w:rPr>
          <w:i/>
          <w:sz w:val="22"/>
          <w:szCs w:val="22"/>
        </w:rPr>
      </w:pPr>
      <w:r w:rsidRPr="00C75833">
        <w:rPr>
          <w:i/>
          <w:sz w:val="22"/>
          <w:szCs w:val="22"/>
        </w:rPr>
        <w:lastRenderedPageBreak/>
        <w:t xml:space="preserve">Приложение </w:t>
      </w:r>
      <w:r w:rsidR="00404B72" w:rsidRPr="00C75833">
        <w:rPr>
          <w:i/>
          <w:sz w:val="22"/>
          <w:szCs w:val="22"/>
        </w:rPr>
        <w:t>10</w:t>
      </w:r>
    </w:p>
    <w:p w:rsidR="002045FB" w:rsidRPr="006B246F" w:rsidRDefault="002E0F0B" w:rsidP="005219A6">
      <w:pPr>
        <w:pStyle w:val="1"/>
        <w:spacing w:before="0" w:after="0"/>
        <w:ind w:left="0"/>
        <w:jc w:val="center"/>
        <w:rPr>
          <w:rFonts w:ascii="Calibri" w:hAnsi="Calibri"/>
          <w:sz w:val="26"/>
          <w:szCs w:val="26"/>
        </w:rPr>
      </w:pPr>
      <w:bookmarkStart w:id="32" w:name="_Toc35458628"/>
      <w:r w:rsidRPr="006B246F">
        <w:rPr>
          <w:rFonts w:ascii="Calibri" w:hAnsi="Calibri"/>
          <w:sz w:val="26"/>
          <w:szCs w:val="26"/>
        </w:rPr>
        <w:t>БАЛАНС ПЕРВИЧНЫХ ДОХОДОВ ЗА</w:t>
      </w:r>
      <w:r w:rsidRPr="006B246F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201</w:t>
      </w:r>
      <w:r w:rsidR="000461DD" w:rsidRPr="006B246F">
        <w:rPr>
          <w:rFonts w:ascii="Calibri" w:hAnsi="Calibri"/>
          <w:sz w:val="26"/>
          <w:szCs w:val="26"/>
          <w:lang w:val="ru-RU"/>
        </w:rPr>
        <w:t>4</w:t>
      </w:r>
      <w:r w:rsidRPr="006B246F">
        <w:rPr>
          <w:rFonts w:ascii="Calibri" w:hAnsi="Calibri"/>
          <w:sz w:val="26"/>
          <w:szCs w:val="26"/>
        </w:rPr>
        <w:t>-2019 ГГ.</w:t>
      </w:r>
      <w:bookmarkEnd w:id="32"/>
    </w:p>
    <w:p w:rsidR="00BA5B0B" w:rsidRPr="006F08D3" w:rsidRDefault="00BA5B0B" w:rsidP="00BA5B0B">
      <w:pPr>
        <w:ind w:right="-2"/>
        <w:jc w:val="right"/>
        <w:rPr>
          <w:i/>
        </w:rPr>
      </w:pPr>
    </w:p>
    <w:p w:rsidR="002045FB" w:rsidRPr="00343190" w:rsidRDefault="00784399" w:rsidP="00BA5B0B">
      <w:pPr>
        <w:ind w:right="-2"/>
        <w:jc w:val="right"/>
        <w:rPr>
          <w:i/>
          <w:sz w:val="20"/>
          <w:szCs w:val="20"/>
        </w:rPr>
      </w:pPr>
      <w:r w:rsidRPr="00343190">
        <w:rPr>
          <w:i/>
          <w:sz w:val="20"/>
          <w:szCs w:val="20"/>
        </w:rPr>
        <w:t>(</w:t>
      </w:r>
      <w:r w:rsidR="002045FB" w:rsidRPr="00343190">
        <w:rPr>
          <w:i/>
          <w:sz w:val="20"/>
          <w:szCs w:val="20"/>
        </w:rPr>
        <w:t>млн.</w:t>
      </w:r>
      <w:r w:rsidR="00850213" w:rsidRPr="00343190">
        <w:rPr>
          <w:i/>
          <w:sz w:val="20"/>
          <w:szCs w:val="20"/>
        </w:rPr>
        <w:t> </w:t>
      </w:r>
      <w:r w:rsidR="002045FB" w:rsidRPr="00343190">
        <w:rPr>
          <w:i/>
          <w:sz w:val="20"/>
          <w:szCs w:val="20"/>
        </w:rPr>
        <w:t>долл.</w:t>
      </w:r>
      <w:r w:rsidRPr="00343190">
        <w:rPr>
          <w:i/>
          <w:sz w:val="20"/>
          <w:szCs w:val="20"/>
        </w:rPr>
        <w:t>)</w:t>
      </w:r>
    </w:p>
    <w:tbl>
      <w:tblPr>
        <w:tblW w:w="14768" w:type="dxa"/>
        <w:tblInd w:w="421" w:type="dxa"/>
        <w:tblLook w:val="04A0"/>
      </w:tblPr>
      <w:tblGrid>
        <w:gridCol w:w="6794"/>
        <w:gridCol w:w="1329"/>
        <w:gridCol w:w="1329"/>
        <w:gridCol w:w="1329"/>
        <w:gridCol w:w="1329"/>
        <w:gridCol w:w="1329"/>
        <w:gridCol w:w="1329"/>
      </w:tblGrid>
      <w:tr w:rsidR="003F47E9" w:rsidRPr="003F47E9" w:rsidTr="002B1663">
        <w:trPr>
          <w:trHeight w:val="312"/>
        </w:trPr>
        <w:tc>
          <w:tcPr>
            <w:tcW w:w="6794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2014</w:t>
            </w:r>
          </w:p>
        </w:tc>
        <w:tc>
          <w:tcPr>
            <w:tcW w:w="1329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2015</w:t>
            </w:r>
          </w:p>
        </w:tc>
        <w:tc>
          <w:tcPr>
            <w:tcW w:w="1329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2016</w:t>
            </w:r>
          </w:p>
        </w:tc>
        <w:tc>
          <w:tcPr>
            <w:tcW w:w="1329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2017</w:t>
            </w:r>
          </w:p>
        </w:tc>
        <w:tc>
          <w:tcPr>
            <w:tcW w:w="1329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2018</w:t>
            </w:r>
          </w:p>
        </w:tc>
        <w:tc>
          <w:tcPr>
            <w:tcW w:w="1329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2019</w:t>
            </w:r>
          </w:p>
        </w:tc>
      </w:tr>
      <w:tr w:rsidR="003F47E9" w:rsidRPr="003F47E9" w:rsidTr="002B1663">
        <w:trPr>
          <w:trHeight w:val="312"/>
        </w:trPr>
        <w:tc>
          <w:tcPr>
            <w:tcW w:w="6794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3F47E9" w:rsidRPr="003F47E9" w:rsidRDefault="003F47E9" w:rsidP="003F47E9">
            <w:pPr>
              <w:rPr>
                <w:rFonts w:cs="Calibri"/>
                <w:color w:val="000000"/>
              </w:rPr>
            </w:pPr>
          </w:p>
        </w:tc>
        <w:tc>
          <w:tcPr>
            <w:tcW w:w="1329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3F47E9" w:rsidRPr="003F47E9" w:rsidRDefault="003F47E9" w:rsidP="003F47E9">
            <w:pPr>
              <w:rPr>
                <w:rFonts w:cs="Calibri"/>
                <w:color w:val="000000"/>
              </w:rPr>
            </w:pPr>
          </w:p>
        </w:tc>
        <w:tc>
          <w:tcPr>
            <w:tcW w:w="1329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3F47E9" w:rsidRPr="003F47E9" w:rsidRDefault="003F47E9" w:rsidP="003F47E9">
            <w:pPr>
              <w:rPr>
                <w:rFonts w:cs="Calibri"/>
                <w:color w:val="000000"/>
              </w:rPr>
            </w:pPr>
          </w:p>
        </w:tc>
        <w:tc>
          <w:tcPr>
            <w:tcW w:w="1329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3F47E9" w:rsidRPr="003F47E9" w:rsidRDefault="003F47E9" w:rsidP="003F47E9">
            <w:pPr>
              <w:rPr>
                <w:rFonts w:cs="Calibri"/>
                <w:color w:val="000000"/>
              </w:rPr>
            </w:pPr>
          </w:p>
        </w:tc>
        <w:tc>
          <w:tcPr>
            <w:tcW w:w="1329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3F47E9" w:rsidRPr="003F47E9" w:rsidRDefault="003F47E9" w:rsidP="003F47E9">
            <w:pPr>
              <w:rPr>
                <w:rFonts w:cs="Calibri"/>
                <w:color w:val="000000"/>
              </w:rPr>
            </w:pPr>
          </w:p>
        </w:tc>
        <w:tc>
          <w:tcPr>
            <w:tcW w:w="1329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3F47E9" w:rsidRPr="003F47E9" w:rsidRDefault="003F47E9" w:rsidP="003F47E9">
            <w:pPr>
              <w:rPr>
                <w:rFonts w:cs="Calibri"/>
                <w:color w:val="000000"/>
              </w:rPr>
            </w:pPr>
          </w:p>
        </w:tc>
        <w:tc>
          <w:tcPr>
            <w:tcW w:w="1329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3F47E9" w:rsidRPr="003F47E9" w:rsidRDefault="003F47E9" w:rsidP="003F47E9">
            <w:pPr>
              <w:rPr>
                <w:rFonts w:cs="Calibri"/>
                <w:color w:val="000000"/>
              </w:rPr>
            </w:pPr>
          </w:p>
        </w:tc>
      </w:tr>
      <w:tr w:rsidR="003F47E9" w:rsidRPr="003F47E9" w:rsidTr="002B1663">
        <w:trPr>
          <w:trHeight w:val="327"/>
        </w:trPr>
        <w:tc>
          <w:tcPr>
            <w:tcW w:w="679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F47E9" w:rsidRPr="003F47E9" w:rsidRDefault="003F47E9" w:rsidP="003F47E9">
            <w:pPr>
              <w:rPr>
                <w:rFonts w:cs="Calibri"/>
                <w:b/>
                <w:bCs/>
                <w:color w:val="000000"/>
              </w:rPr>
            </w:pPr>
            <w:r w:rsidRPr="003F47E9">
              <w:rPr>
                <w:rFonts w:cs="Calibri"/>
                <w:b/>
                <w:bCs/>
                <w:color w:val="000000"/>
              </w:rPr>
              <w:t>Сальдо первичных доходов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F47E9">
              <w:rPr>
                <w:rFonts w:cs="Calibri"/>
                <w:b/>
                <w:bCs/>
                <w:color w:val="000000"/>
              </w:rPr>
              <w:t>1 113,8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F47E9">
              <w:rPr>
                <w:rFonts w:cs="Calibri"/>
                <w:b/>
                <w:bCs/>
                <w:color w:val="000000"/>
              </w:rPr>
              <w:t>1 423,5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F47E9">
              <w:rPr>
                <w:rFonts w:cs="Calibri"/>
                <w:b/>
                <w:bCs/>
                <w:color w:val="000000"/>
              </w:rPr>
              <w:t>931,5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F47E9">
              <w:rPr>
                <w:rFonts w:cs="Calibri"/>
                <w:b/>
                <w:bCs/>
                <w:color w:val="000000"/>
              </w:rPr>
              <w:t>1 210,9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F47E9">
              <w:rPr>
                <w:rFonts w:cs="Calibri"/>
                <w:b/>
                <w:bCs/>
                <w:color w:val="000000"/>
              </w:rPr>
              <w:t>1 507,2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F47E9">
              <w:rPr>
                <w:rFonts w:cs="Calibri"/>
                <w:b/>
                <w:bCs/>
                <w:color w:val="000000"/>
              </w:rPr>
              <w:t>873,4</w:t>
            </w:r>
          </w:p>
        </w:tc>
      </w:tr>
      <w:tr w:rsidR="003F47E9" w:rsidRPr="003F47E9" w:rsidTr="002B1663">
        <w:trPr>
          <w:trHeight w:val="327"/>
        </w:trPr>
        <w:tc>
          <w:tcPr>
            <w:tcW w:w="679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F47E9" w:rsidRPr="003F47E9" w:rsidRDefault="003F47E9" w:rsidP="003F47E9">
            <w:pPr>
              <w:rPr>
                <w:rFonts w:cs="Calibri"/>
                <w:b/>
                <w:bCs/>
                <w:color w:val="000000"/>
              </w:rPr>
            </w:pPr>
            <w:r w:rsidRPr="003F47E9">
              <w:rPr>
                <w:rFonts w:cs="Calibri"/>
                <w:b/>
                <w:bCs/>
                <w:color w:val="000000"/>
              </w:rPr>
              <w:t>I. Доходы к получению (от нерезидентов)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F47E9">
              <w:rPr>
                <w:rFonts w:cs="Calibri"/>
                <w:b/>
                <w:bCs/>
                <w:color w:val="000000"/>
              </w:rPr>
              <w:t>1 623,0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F47E9">
              <w:rPr>
                <w:rFonts w:cs="Calibri"/>
                <w:b/>
                <w:bCs/>
                <w:color w:val="000000"/>
              </w:rPr>
              <w:t>2 022,7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F47E9">
              <w:rPr>
                <w:rFonts w:cs="Calibri"/>
                <w:b/>
                <w:bCs/>
                <w:color w:val="000000"/>
              </w:rPr>
              <w:t>2 210,4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F47E9">
              <w:rPr>
                <w:rFonts w:cs="Calibri"/>
                <w:b/>
                <w:bCs/>
                <w:color w:val="000000"/>
              </w:rPr>
              <w:t>2 597,5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F47E9">
              <w:rPr>
                <w:rFonts w:cs="Calibri"/>
                <w:b/>
                <w:bCs/>
                <w:color w:val="000000"/>
              </w:rPr>
              <w:t>3 185,1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F47E9">
              <w:rPr>
                <w:rFonts w:cs="Calibri"/>
                <w:b/>
                <w:bCs/>
                <w:color w:val="000000"/>
              </w:rPr>
              <w:t>2 953,5</w:t>
            </w:r>
          </w:p>
        </w:tc>
      </w:tr>
      <w:tr w:rsidR="003F47E9" w:rsidRPr="003F47E9" w:rsidTr="002B1663">
        <w:trPr>
          <w:trHeight w:val="327"/>
        </w:trPr>
        <w:tc>
          <w:tcPr>
            <w:tcW w:w="679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ind w:left="171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1. Оплата труда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1 597,1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1 995,2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2 146,0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2 476,9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2 947,1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2 660,7</w:t>
            </w:r>
          </w:p>
        </w:tc>
      </w:tr>
      <w:tr w:rsidR="003F47E9" w:rsidRPr="003F47E9" w:rsidTr="002B1663">
        <w:trPr>
          <w:trHeight w:val="327"/>
        </w:trPr>
        <w:tc>
          <w:tcPr>
            <w:tcW w:w="679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ind w:left="171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2. Доходы от прямых инвестиций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2,6</w:t>
            </w:r>
          </w:p>
        </w:tc>
      </w:tr>
      <w:tr w:rsidR="003F47E9" w:rsidRPr="003F47E9" w:rsidTr="002B1663">
        <w:trPr>
          <w:trHeight w:val="327"/>
        </w:trPr>
        <w:tc>
          <w:tcPr>
            <w:tcW w:w="679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ind w:left="171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3. Доходы от портфельных инвестиций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-</w:t>
            </w:r>
          </w:p>
        </w:tc>
      </w:tr>
      <w:tr w:rsidR="003F47E9" w:rsidRPr="003F47E9" w:rsidTr="002B1663">
        <w:trPr>
          <w:trHeight w:val="655"/>
        </w:trPr>
        <w:tc>
          <w:tcPr>
            <w:tcW w:w="679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ind w:left="171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4. Доходы от международных резервов (в том числе, активов ФРРУ)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23,3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24,7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57,1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110,8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226,1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283,7</w:t>
            </w:r>
          </w:p>
        </w:tc>
      </w:tr>
      <w:tr w:rsidR="003F47E9" w:rsidRPr="003F47E9" w:rsidTr="002B1663">
        <w:trPr>
          <w:trHeight w:val="327"/>
        </w:trPr>
        <w:tc>
          <w:tcPr>
            <w:tcW w:w="679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ind w:left="171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5. Доходы от предоставленных кредитов и займов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-</w:t>
            </w:r>
          </w:p>
        </w:tc>
      </w:tr>
      <w:tr w:rsidR="003F47E9" w:rsidRPr="003F47E9" w:rsidTr="002B1663">
        <w:trPr>
          <w:trHeight w:val="655"/>
        </w:trPr>
        <w:tc>
          <w:tcPr>
            <w:tcW w:w="679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ind w:left="171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6. Доходы от депозитов и корреспондентских счетов в иностранных банках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4,9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7,3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9,3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6,6</w:t>
            </w:r>
          </w:p>
        </w:tc>
      </w:tr>
      <w:tr w:rsidR="000622F6" w:rsidRPr="003F47E9" w:rsidTr="00AE479B">
        <w:trPr>
          <w:trHeight w:val="327"/>
        </w:trPr>
        <w:tc>
          <w:tcPr>
            <w:tcW w:w="14768" w:type="dxa"/>
            <w:gridSpan w:val="7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0622F6" w:rsidRPr="003F47E9" w:rsidRDefault="000622F6" w:rsidP="003F47E9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F47E9">
              <w:rPr>
                <w:rFonts w:cs="Calibri"/>
                <w:color w:val="000000"/>
              </w:rPr>
              <w:t> </w:t>
            </w:r>
          </w:p>
        </w:tc>
      </w:tr>
      <w:tr w:rsidR="003F47E9" w:rsidRPr="003F47E9" w:rsidTr="002B1663">
        <w:trPr>
          <w:trHeight w:val="327"/>
        </w:trPr>
        <w:tc>
          <w:tcPr>
            <w:tcW w:w="679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F47E9" w:rsidRPr="003F47E9" w:rsidRDefault="003F47E9" w:rsidP="003F47E9">
            <w:pPr>
              <w:rPr>
                <w:rFonts w:cs="Calibri"/>
                <w:b/>
                <w:bCs/>
                <w:color w:val="000000"/>
              </w:rPr>
            </w:pPr>
            <w:r w:rsidRPr="003F47E9">
              <w:rPr>
                <w:rFonts w:cs="Calibri"/>
                <w:b/>
                <w:bCs/>
                <w:color w:val="000000"/>
              </w:rPr>
              <w:t>II. Доходы к оплате (нерезидентам)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F47E9">
              <w:rPr>
                <w:rFonts w:cs="Calibri"/>
                <w:b/>
                <w:bCs/>
                <w:color w:val="000000"/>
              </w:rPr>
              <w:t>509,2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F47E9">
              <w:rPr>
                <w:rFonts w:cs="Calibri"/>
                <w:b/>
                <w:bCs/>
                <w:color w:val="000000"/>
              </w:rPr>
              <w:t>599,2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F47E9">
              <w:rPr>
                <w:rFonts w:cs="Calibri"/>
                <w:b/>
                <w:bCs/>
                <w:color w:val="000000"/>
              </w:rPr>
              <w:t>1 278,9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F47E9">
              <w:rPr>
                <w:rFonts w:cs="Calibri"/>
                <w:b/>
                <w:bCs/>
                <w:color w:val="000000"/>
              </w:rPr>
              <w:t>1 386,7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F47E9">
              <w:rPr>
                <w:rFonts w:cs="Calibri"/>
                <w:b/>
                <w:bCs/>
                <w:color w:val="000000"/>
              </w:rPr>
              <w:t>1 677,9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BDD6EE" w:themeFill="accent1" w:themeFillTint="66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F47E9">
              <w:rPr>
                <w:rFonts w:cs="Calibri"/>
                <w:b/>
                <w:bCs/>
                <w:color w:val="000000"/>
              </w:rPr>
              <w:t>2 080,1</w:t>
            </w:r>
          </w:p>
        </w:tc>
      </w:tr>
      <w:tr w:rsidR="003F47E9" w:rsidRPr="003F47E9" w:rsidTr="002B1663">
        <w:trPr>
          <w:trHeight w:val="327"/>
        </w:trPr>
        <w:tc>
          <w:tcPr>
            <w:tcW w:w="679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ind w:left="171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1. Оплата труда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15,0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15,0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15,9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17,4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24,4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51,2</w:t>
            </w:r>
          </w:p>
        </w:tc>
      </w:tr>
      <w:tr w:rsidR="003F47E9" w:rsidRPr="003F47E9" w:rsidTr="002B1663">
        <w:trPr>
          <w:trHeight w:val="327"/>
        </w:trPr>
        <w:tc>
          <w:tcPr>
            <w:tcW w:w="679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ind w:left="171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2. Доходы от прямых инвестиций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302,4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292,7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901,8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957,6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1 135,3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1 297,0</w:t>
            </w:r>
          </w:p>
        </w:tc>
      </w:tr>
      <w:tr w:rsidR="003F47E9" w:rsidRPr="003F47E9" w:rsidTr="002B1663">
        <w:trPr>
          <w:trHeight w:val="327"/>
        </w:trPr>
        <w:tc>
          <w:tcPr>
            <w:tcW w:w="679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ind w:firstLineChars="200" w:firstLine="480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вознаграждение по кредитам прямых инвесторов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23,9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21,5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69,7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99,0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63,4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44,0</w:t>
            </w:r>
          </w:p>
        </w:tc>
      </w:tr>
      <w:tr w:rsidR="003F47E9" w:rsidRPr="003F47E9" w:rsidTr="002B1663">
        <w:trPr>
          <w:trHeight w:val="327"/>
        </w:trPr>
        <w:tc>
          <w:tcPr>
            <w:tcW w:w="679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ind w:firstLineChars="200" w:firstLine="480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дивиденды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131,6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80,8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286,2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383,3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379,2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540,8</w:t>
            </w:r>
          </w:p>
        </w:tc>
      </w:tr>
      <w:tr w:rsidR="003F47E9" w:rsidRPr="003F47E9" w:rsidTr="002B1663">
        <w:trPr>
          <w:trHeight w:val="327"/>
        </w:trPr>
        <w:tc>
          <w:tcPr>
            <w:tcW w:w="679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ind w:firstLineChars="200" w:firstLine="480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реинвестированная прибыль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146,9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190,5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545,9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475,3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692,7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712,1</w:t>
            </w:r>
          </w:p>
        </w:tc>
      </w:tr>
      <w:tr w:rsidR="003F47E9" w:rsidRPr="003F47E9" w:rsidTr="002B1663">
        <w:trPr>
          <w:trHeight w:val="327"/>
        </w:trPr>
        <w:tc>
          <w:tcPr>
            <w:tcW w:w="679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ind w:left="171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3. Доходы от портфельных инвестиций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0,2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0,1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1,7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49,2</w:t>
            </w:r>
          </w:p>
        </w:tc>
      </w:tr>
      <w:tr w:rsidR="003F47E9" w:rsidRPr="003F47E9" w:rsidTr="002B1663">
        <w:trPr>
          <w:trHeight w:val="327"/>
        </w:trPr>
        <w:tc>
          <w:tcPr>
            <w:tcW w:w="679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ind w:left="171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4. Доходы от пр</w:t>
            </w:r>
            <w:r w:rsidR="002C35D9">
              <w:rPr>
                <w:rFonts w:cs="Calibri"/>
                <w:color w:val="000000"/>
              </w:rPr>
              <w:t>едоставленных кредитов и займов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191,1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289,9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360,6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410,0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514,6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681,1</w:t>
            </w:r>
          </w:p>
        </w:tc>
      </w:tr>
      <w:tr w:rsidR="003F47E9" w:rsidRPr="003F47E9" w:rsidTr="002B1663">
        <w:trPr>
          <w:trHeight w:val="655"/>
        </w:trPr>
        <w:tc>
          <w:tcPr>
            <w:tcW w:w="679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ind w:left="454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правительством (в том числе, гарантированные правительством РУ)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76,2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82,0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100,8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122,8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166,3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264,9</w:t>
            </w:r>
          </w:p>
        </w:tc>
      </w:tr>
      <w:tr w:rsidR="003F47E9" w:rsidRPr="003F47E9" w:rsidTr="002B1663">
        <w:trPr>
          <w:trHeight w:val="327"/>
        </w:trPr>
        <w:tc>
          <w:tcPr>
            <w:tcW w:w="679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ind w:firstLineChars="200" w:firstLine="480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банками и другими секторами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115,0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208,0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259,8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287,1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348,3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416,3</w:t>
            </w:r>
          </w:p>
        </w:tc>
      </w:tr>
      <w:tr w:rsidR="003F47E9" w:rsidRPr="003F47E9" w:rsidTr="002B1663">
        <w:trPr>
          <w:trHeight w:val="655"/>
        </w:trPr>
        <w:tc>
          <w:tcPr>
            <w:tcW w:w="679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ind w:left="171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5. Доходы от депозитов и корреспондентских счетов в банках Узбекистана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1,6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0,4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1,6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1,9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3F47E9" w:rsidRPr="003F47E9" w:rsidRDefault="003F47E9" w:rsidP="003F47E9">
            <w:pPr>
              <w:jc w:val="center"/>
              <w:rPr>
                <w:rFonts w:cs="Calibri"/>
                <w:color w:val="000000"/>
              </w:rPr>
            </w:pPr>
            <w:r w:rsidRPr="003F47E9">
              <w:rPr>
                <w:rFonts w:cs="Calibri"/>
                <w:color w:val="000000"/>
              </w:rPr>
              <w:t>1,7</w:t>
            </w:r>
          </w:p>
        </w:tc>
      </w:tr>
    </w:tbl>
    <w:p w:rsidR="00497E93" w:rsidRPr="00C75833" w:rsidRDefault="00497E93" w:rsidP="000622F6">
      <w:pPr>
        <w:ind w:right="-88"/>
        <w:jc w:val="right"/>
        <w:rPr>
          <w:i/>
          <w:sz w:val="22"/>
          <w:szCs w:val="22"/>
        </w:rPr>
      </w:pPr>
      <w:r w:rsidRPr="00C75833">
        <w:rPr>
          <w:i/>
          <w:sz w:val="22"/>
          <w:szCs w:val="22"/>
        </w:rPr>
        <w:lastRenderedPageBreak/>
        <w:t xml:space="preserve">Приложение </w:t>
      </w:r>
      <w:r w:rsidR="00221E6E" w:rsidRPr="00C75833">
        <w:rPr>
          <w:i/>
          <w:sz w:val="22"/>
          <w:szCs w:val="22"/>
        </w:rPr>
        <w:t>1</w:t>
      </w:r>
      <w:r w:rsidR="00404B72" w:rsidRPr="00C75833">
        <w:rPr>
          <w:i/>
          <w:sz w:val="22"/>
          <w:szCs w:val="22"/>
        </w:rPr>
        <w:t>1</w:t>
      </w:r>
    </w:p>
    <w:p w:rsidR="003A13F3" w:rsidRPr="006F08D3" w:rsidRDefault="003A13F3" w:rsidP="00907359">
      <w:pPr>
        <w:ind w:right="338"/>
        <w:jc w:val="right"/>
        <w:rPr>
          <w:i/>
        </w:rPr>
      </w:pPr>
    </w:p>
    <w:p w:rsidR="00497E93" w:rsidRPr="006B246F" w:rsidRDefault="002E0F0B" w:rsidP="005219A6">
      <w:pPr>
        <w:pStyle w:val="1"/>
        <w:spacing w:before="0"/>
        <w:ind w:left="0"/>
        <w:jc w:val="center"/>
        <w:rPr>
          <w:rFonts w:ascii="Calibri" w:hAnsi="Calibri"/>
          <w:sz w:val="26"/>
          <w:szCs w:val="26"/>
        </w:rPr>
      </w:pPr>
      <w:bookmarkStart w:id="33" w:name="_Toc35458629"/>
      <w:r w:rsidRPr="006B246F">
        <w:rPr>
          <w:rFonts w:ascii="Calibri" w:hAnsi="Calibri"/>
          <w:sz w:val="26"/>
          <w:szCs w:val="26"/>
        </w:rPr>
        <w:t>БАЛАНС ВТОРИЧНЫХ ДОХОДОВ ЗА</w:t>
      </w:r>
      <w:r w:rsidRPr="006B246F">
        <w:rPr>
          <w:rFonts w:ascii="Calibri" w:hAnsi="Calibri"/>
          <w:sz w:val="26"/>
          <w:szCs w:val="26"/>
          <w:lang w:val="ru-RU"/>
        </w:rPr>
        <w:t xml:space="preserve"> </w:t>
      </w:r>
      <w:r w:rsidRPr="006B246F">
        <w:rPr>
          <w:rFonts w:ascii="Calibri" w:hAnsi="Calibri"/>
          <w:sz w:val="26"/>
          <w:szCs w:val="26"/>
        </w:rPr>
        <w:t>201</w:t>
      </w:r>
      <w:r w:rsidR="007E6347" w:rsidRPr="006B246F">
        <w:rPr>
          <w:rFonts w:ascii="Calibri" w:hAnsi="Calibri"/>
          <w:sz w:val="26"/>
          <w:szCs w:val="26"/>
          <w:lang w:val="ru-RU"/>
        </w:rPr>
        <w:t>4</w:t>
      </w:r>
      <w:r w:rsidRPr="006B246F">
        <w:rPr>
          <w:rFonts w:ascii="Calibri" w:hAnsi="Calibri"/>
          <w:sz w:val="26"/>
          <w:szCs w:val="26"/>
        </w:rPr>
        <w:t>-2019 ГГ.</w:t>
      </w:r>
      <w:bookmarkEnd w:id="33"/>
    </w:p>
    <w:p w:rsidR="00BA5B0B" w:rsidRPr="006F08D3" w:rsidRDefault="00BA5B0B" w:rsidP="00BA5B0B">
      <w:pPr>
        <w:ind w:right="282"/>
        <w:jc w:val="right"/>
        <w:rPr>
          <w:i/>
        </w:rPr>
      </w:pPr>
    </w:p>
    <w:p w:rsidR="00497E93" w:rsidRPr="00343190" w:rsidRDefault="00784399" w:rsidP="000622F6">
      <w:pPr>
        <w:ind w:right="-88"/>
        <w:jc w:val="right"/>
        <w:rPr>
          <w:i/>
          <w:sz w:val="20"/>
          <w:szCs w:val="20"/>
        </w:rPr>
      </w:pPr>
      <w:r w:rsidRPr="00343190">
        <w:rPr>
          <w:i/>
          <w:sz w:val="20"/>
          <w:szCs w:val="20"/>
        </w:rPr>
        <w:t>(</w:t>
      </w:r>
      <w:r w:rsidR="00497E93" w:rsidRPr="00343190">
        <w:rPr>
          <w:i/>
          <w:sz w:val="20"/>
          <w:szCs w:val="20"/>
        </w:rPr>
        <w:t>млн.</w:t>
      </w:r>
      <w:r w:rsidR="00850213" w:rsidRPr="00343190">
        <w:rPr>
          <w:i/>
          <w:sz w:val="20"/>
          <w:szCs w:val="20"/>
        </w:rPr>
        <w:t> </w:t>
      </w:r>
      <w:r w:rsidR="00497E93" w:rsidRPr="00343190">
        <w:rPr>
          <w:i/>
          <w:sz w:val="20"/>
          <w:szCs w:val="20"/>
        </w:rPr>
        <w:t>долл.</w:t>
      </w:r>
      <w:r w:rsidRPr="00343190">
        <w:rPr>
          <w:i/>
          <w:sz w:val="20"/>
          <w:szCs w:val="20"/>
        </w:rPr>
        <w:t>)</w:t>
      </w:r>
    </w:p>
    <w:tbl>
      <w:tblPr>
        <w:tblW w:w="14853" w:type="dxa"/>
        <w:tblInd w:w="421" w:type="dxa"/>
        <w:tblLook w:val="04A0"/>
      </w:tblPr>
      <w:tblGrid>
        <w:gridCol w:w="5427"/>
        <w:gridCol w:w="1571"/>
        <w:gridCol w:w="1571"/>
        <w:gridCol w:w="1571"/>
        <w:gridCol w:w="1571"/>
        <w:gridCol w:w="1571"/>
        <w:gridCol w:w="1571"/>
      </w:tblGrid>
      <w:tr w:rsidR="002B1663" w:rsidRPr="002B1663" w:rsidTr="002B1663">
        <w:trPr>
          <w:trHeight w:val="347"/>
        </w:trPr>
        <w:tc>
          <w:tcPr>
            <w:tcW w:w="5427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2014</w:t>
            </w:r>
          </w:p>
        </w:tc>
        <w:tc>
          <w:tcPr>
            <w:tcW w:w="1571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2015</w:t>
            </w:r>
          </w:p>
        </w:tc>
        <w:tc>
          <w:tcPr>
            <w:tcW w:w="1571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2016</w:t>
            </w:r>
          </w:p>
        </w:tc>
        <w:tc>
          <w:tcPr>
            <w:tcW w:w="1571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2017</w:t>
            </w:r>
          </w:p>
        </w:tc>
        <w:tc>
          <w:tcPr>
            <w:tcW w:w="1571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2018</w:t>
            </w:r>
          </w:p>
        </w:tc>
        <w:tc>
          <w:tcPr>
            <w:tcW w:w="1571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2019</w:t>
            </w:r>
          </w:p>
        </w:tc>
      </w:tr>
      <w:tr w:rsidR="002B1663" w:rsidRPr="002B1663" w:rsidTr="002B1663">
        <w:trPr>
          <w:trHeight w:val="347"/>
        </w:trPr>
        <w:tc>
          <w:tcPr>
            <w:tcW w:w="5427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2B1663" w:rsidRPr="002B1663" w:rsidRDefault="002B1663" w:rsidP="002B1663">
            <w:pPr>
              <w:rPr>
                <w:rFonts w:cs="Calibri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2B1663" w:rsidRPr="002B1663" w:rsidRDefault="002B1663" w:rsidP="002B1663">
            <w:pPr>
              <w:rPr>
                <w:rFonts w:cs="Calibri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2B1663" w:rsidRPr="002B1663" w:rsidRDefault="002B1663" w:rsidP="002B1663">
            <w:pPr>
              <w:rPr>
                <w:rFonts w:cs="Calibri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2B1663" w:rsidRPr="002B1663" w:rsidRDefault="002B1663" w:rsidP="002B1663">
            <w:pPr>
              <w:rPr>
                <w:rFonts w:cs="Calibri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2B1663" w:rsidRPr="002B1663" w:rsidRDefault="002B1663" w:rsidP="002B1663">
            <w:pPr>
              <w:rPr>
                <w:rFonts w:cs="Calibri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2B1663" w:rsidRPr="002B1663" w:rsidRDefault="002B1663" w:rsidP="002B1663">
            <w:pPr>
              <w:rPr>
                <w:rFonts w:cs="Calibri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2B1663" w:rsidRPr="002B1663" w:rsidRDefault="002B1663" w:rsidP="002B1663">
            <w:pPr>
              <w:rPr>
                <w:rFonts w:cs="Calibri"/>
                <w:color w:val="000000"/>
              </w:rPr>
            </w:pPr>
          </w:p>
        </w:tc>
      </w:tr>
      <w:tr w:rsidR="002B1663" w:rsidRPr="002B1663" w:rsidTr="002B1663">
        <w:trPr>
          <w:trHeight w:val="364"/>
        </w:trPr>
        <w:tc>
          <w:tcPr>
            <w:tcW w:w="5427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B1663" w:rsidRPr="002B1663" w:rsidRDefault="002B1663" w:rsidP="002B1663">
            <w:pPr>
              <w:rPr>
                <w:rFonts w:cs="Calibri"/>
                <w:b/>
                <w:bCs/>
                <w:color w:val="000000"/>
              </w:rPr>
            </w:pPr>
            <w:r w:rsidRPr="002B1663">
              <w:rPr>
                <w:rFonts w:cs="Calibri"/>
                <w:b/>
                <w:bCs/>
                <w:color w:val="000000"/>
              </w:rPr>
              <w:t>Сальдо вторичных доходов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1663">
              <w:rPr>
                <w:rFonts w:cs="Calibri"/>
                <w:b/>
                <w:bCs/>
                <w:color w:val="000000"/>
              </w:rPr>
              <w:t>4 890,2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1663">
              <w:rPr>
                <w:rFonts w:cs="Calibri"/>
                <w:b/>
                <w:bCs/>
                <w:color w:val="000000"/>
              </w:rPr>
              <w:t>2 477,8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1663">
              <w:rPr>
                <w:rFonts w:cs="Calibri"/>
                <w:b/>
                <w:bCs/>
                <w:color w:val="000000"/>
              </w:rPr>
              <w:t>3 291,8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1663">
              <w:rPr>
                <w:rFonts w:cs="Calibri"/>
                <w:b/>
                <w:bCs/>
                <w:color w:val="000000"/>
              </w:rPr>
              <w:t>4 322,9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1663">
              <w:rPr>
                <w:rFonts w:cs="Calibri"/>
                <w:b/>
                <w:bCs/>
                <w:color w:val="000000"/>
              </w:rPr>
              <w:t>4 207,7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1663">
              <w:rPr>
                <w:rFonts w:cs="Calibri"/>
                <w:b/>
                <w:bCs/>
                <w:color w:val="000000"/>
              </w:rPr>
              <w:t>5 454,5</w:t>
            </w:r>
          </w:p>
        </w:tc>
      </w:tr>
      <w:tr w:rsidR="002B1663" w:rsidRPr="002B1663" w:rsidTr="002B1663">
        <w:trPr>
          <w:trHeight w:val="364"/>
        </w:trPr>
        <w:tc>
          <w:tcPr>
            <w:tcW w:w="5427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B1663" w:rsidRPr="002B1663" w:rsidRDefault="002B1663" w:rsidP="002B1663">
            <w:pPr>
              <w:rPr>
                <w:rFonts w:cs="Calibri"/>
                <w:b/>
                <w:bCs/>
                <w:color w:val="000000"/>
              </w:rPr>
            </w:pPr>
            <w:r w:rsidRPr="002B1663">
              <w:rPr>
                <w:rFonts w:cs="Calibri"/>
                <w:b/>
                <w:bCs/>
                <w:color w:val="000000"/>
              </w:rPr>
              <w:t>I. Кредит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1663">
              <w:rPr>
                <w:rFonts w:cs="Calibri"/>
                <w:b/>
                <w:bCs/>
                <w:color w:val="000000"/>
              </w:rPr>
              <w:t>5 237,6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1663">
              <w:rPr>
                <w:rFonts w:cs="Calibri"/>
                <w:b/>
                <w:bCs/>
                <w:color w:val="000000"/>
              </w:rPr>
              <w:t>2 874,0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1663">
              <w:rPr>
                <w:rFonts w:cs="Calibri"/>
                <w:b/>
                <w:bCs/>
                <w:color w:val="000000"/>
              </w:rPr>
              <w:t>3 727,2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1663">
              <w:rPr>
                <w:rFonts w:cs="Calibri"/>
                <w:b/>
                <w:bCs/>
                <w:color w:val="000000"/>
              </w:rPr>
              <w:t>4 816,1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1663">
              <w:rPr>
                <w:rFonts w:cs="Calibri"/>
                <w:b/>
                <w:bCs/>
                <w:color w:val="000000"/>
              </w:rPr>
              <w:t>4 822,9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1663">
              <w:rPr>
                <w:rFonts w:cs="Calibri"/>
                <w:b/>
                <w:bCs/>
                <w:color w:val="000000"/>
              </w:rPr>
              <w:t>6 040,3</w:t>
            </w:r>
          </w:p>
        </w:tc>
      </w:tr>
      <w:tr w:rsidR="002B1663" w:rsidRPr="002B1663" w:rsidTr="002B1663">
        <w:trPr>
          <w:trHeight w:val="364"/>
        </w:trPr>
        <w:tc>
          <w:tcPr>
            <w:tcW w:w="5427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ind w:left="170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1. Органы государственного управления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6,5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14,8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20,3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30,8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23,0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40,3</w:t>
            </w:r>
          </w:p>
        </w:tc>
      </w:tr>
      <w:tr w:rsidR="002B1663" w:rsidRPr="002B1663" w:rsidTr="002B1663">
        <w:trPr>
          <w:trHeight w:val="729"/>
        </w:trPr>
        <w:tc>
          <w:tcPr>
            <w:tcW w:w="5427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B1663" w:rsidRPr="002B1663" w:rsidRDefault="002B1663" w:rsidP="002B1663">
            <w:pPr>
              <w:ind w:left="170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2. Финансовые организации, нефинансовые предприятия, домашние хозяйства и НКОДХ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5 231,1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2 859,3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3 706,9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4 785,2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4 799,9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6 000,0</w:t>
            </w:r>
          </w:p>
        </w:tc>
      </w:tr>
      <w:tr w:rsidR="002B1663" w:rsidRPr="002B1663" w:rsidTr="002B1663">
        <w:trPr>
          <w:trHeight w:val="1096"/>
        </w:trPr>
        <w:tc>
          <w:tcPr>
            <w:tcW w:w="5427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B1663" w:rsidRPr="002B1663" w:rsidRDefault="002B1663" w:rsidP="002B1663">
            <w:pPr>
              <w:ind w:left="312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Личные трансферты (текущие трансферты между резидентными и нерезидентными домашними хозяйствами)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5 218,1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2 848,0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3 649,1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4 653,2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4 662,5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5 885,1</w:t>
            </w:r>
          </w:p>
        </w:tc>
      </w:tr>
      <w:tr w:rsidR="002B1663" w:rsidRPr="002B1663" w:rsidTr="002B1663">
        <w:trPr>
          <w:trHeight w:val="364"/>
        </w:trPr>
        <w:tc>
          <w:tcPr>
            <w:tcW w:w="5427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ind w:left="312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Прочие текущие трансферты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13,0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11,3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57,8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132,0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137,4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114,9</w:t>
            </w:r>
          </w:p>
        </w:tc>
      </w:tr>
      <w:tr w:rsidR="000622F6" w:rsidRPr="002B1663" w:rsidTr="00AE479B">
        <w:trPr>
          <w:trHeight w:val="364"/>
        </w:trPr>
        <w:tc>
          <w:tcPr>
            <w:tcW w:w="14853" w:type="dxa"/>
            <w:gridSpan w:val="7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0622F6" w:rsidRPr="002B1663" w:rsidRDefault="000622F6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 </w:t>
            </w:r>
          </w:p>
        </w:tc>
      </w:tr>
      <w:tr w:rsidR="002B1663" w:rsidRPr="002B1663" w:rsidTr="002B1663">
        <w:trPr>
          <w:trHeight w:val="364"/>
        </w:trPr>
        <w:tc>
          <w:tcPr>
            <w:tcW w:w="5427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B1663" w:rsidRPr="002B1663" w:rsidRDefault="002B1663" w:rsidP="002B1663">
            <w:pPr>
              <w:rPr>
                <w:rFonts w:cs="Calibri"/>
                <w:b/>
                <w:bCs/>
                <w:color w:val="000000"/>
              </w:rPr>
            </w:pPr>
            <w:r w:rsidRPr="002B1663">
              <w:rPr>
                <w:rFonts w:cs="Calibri"/>
                <w:b/>
                <w:bCs/>
                <w:color w:val="000000"/>
              </w:rPr>
              <w:t>II. Дебет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1663">
              <w:rPr>
                <w:rFonts w:cs="Calibri"/>
                <w:b/>
                <w:bCs/>
                <w:color w:val="000000"/>
              </w:rPr>
              <w:t>347,3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1663">
              <w:rPr>
                <w:rFonts w:cs="Calibri"/>
                <w:b/>
                <w:bCs/>
                <w:color w:val="000000"/>
              </w:rPr>
              <w:t>396,2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1663">
              <w:rPr>
                <w:rFonts w:cs="Calibri"/>
                <w:b/>
                <w:bCs/>
                <w:color w:val="000000"/>
              </w:rPr>
              <w:t>435,4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1663">
              <w:rPr>
                <w:rFonts w:cs="Calibri"/>
                <w:b/>
                <w:bCs/>
                <w:color w:val="000000"/>
              </w:rPr>
              <w:t>493,1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1663">
              <w:rPr>
                <w:rFonts w:cs="Calibri"/>
                <w:b/>
                <w:bCs/>
                <w:color w:val="000000"/>
              </w:rPr>
              <w:t>615,2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BDD7EE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B1663">
              <w:rPr>
                <w:rFonts w:cs="Calibri"/>
                <w:b/>
                <w:bCs/>
                <w:color w:val="000000"/>
              </w:rPr>
              <w:t>585,7</w:t>
            </w:r>
          </w:p>
        </w:tc>
      </w:tr>
      <w:tr w:rsidR="002B1663" w:rsidRPr="002B1663" w:rsidTr="002B1663">
        <w:trPr>
          <w:trHeight w:val="364"/>
        </w:trPr>
        <w:tc>
          <w:tcPr>
            <w:tcW w:w="5427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ind w:left="170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1. Органы государственного управления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4,4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1,7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12,7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12,7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12,7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17,0</w:t>
            </w:r>
          </w:p>
        </w:tc>
      </w:tr>
      <w:tr w:rsidR="002B1663" w:rsidRPr="002B1663" w:rsidTr="002B1663">
        <w:trPr>
          <w:trHeight w:val="729"/>
        </w:trPr>
        <w:tc>
          <w:tcPr>
            <w:tcW w:w="5427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B1663" w:rsidRPr="002B1663" w:rsidRDefault="002B1663" w:rsidP="002B1663">
            <w:pPr>
              <w:ind w:left="170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2. Финансовые организации, нефинансовые предприятия, домашние хозяйства и НКОДХ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342,9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394,5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422,6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480,4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602,5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568,7</w:t>
            </w:r>
          </w:p>
        </w:tc>
      </w:tr>
      <w:tr w:rsidR="002B1663" w:rsidRPr="002B1663" w:rsidTr="002B1663">
        <w:trPr>
          <w:trHeight w:val="1096"/>
        </w:trPr>
        <w:tc>
          <w:tcPr>
            <w:tcW w:w="5427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B1663" w:rsidRPr="002B1663" w:rsidRDefault="002B1663" w:rsidP="002B1663">
            <w:pPr>
              <w:ind w:left="312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Личные трансферты (текущие трансферты между резидентными и нерезидентными домашними хозяйствами)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135,0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135,0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143,4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156,9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219,7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223,4</w:t>
            </w:r>
          </w:p>
        </w:tc>
      </w:tr>
      <w:tr w:rsidR="002B1663" w:rsidRPr="002B1663" w:rsidTr="002B1663">
        <w:trPr>
          <w:trHeight w:val="364"/>
        </w:trPr>
        <w:tc>
          <w:tcPr>
            <w:tcW w:w="5427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ind w:left="312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Прочие текущие трансферты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207,9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259,5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279,3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323,5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382,8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2B1663" w:rsidRPr="002B1663" w:rsidRDefault="002B1663" w:rsidP="002B1663">
            <w:pPr>
              <w:jc w:val="center"/>
              <w:rPr>
                <w:rFonts w:cs="Calibri"/>
                <w:color w:val="000000"/>
              </w:rPr>
            </w:pPr>
            <w:r w:rsidRPr="002B1663">
              <w:rPr>
                <w:rFonts w:cs="Calibri"/>
                <w:color w:val="000000"/>
              </w:rPr>
              <w:t>345,4</w:t>
            </w:r>
          </w:p>
        </w:tc>
      </w:tr>
    </w:tbl>
    <w:p w:rsidR="00907359" w:rsidRPr="006F08D3" w:rsidRDefault="00907359" w:rsidP="005C51D2">
      <w:pPr>
        <w:jc w:val="both"/>
        <w:rPr>
          <w:rFonts w:cs="Arial"/>
        </w:rPr>
        <w:sectPr w:rsidR="00907359" w:rsidRPr="006F08D3" w:rsidSect="007E6347">
          <w:footerReference w:type="first" r:id="rId48"/>
          <w:pgSz w:w="16838" w:h="11906" w:orient="landscape" w:code="9"/>
          <w:pgMar w:top="567" w:right="1021" w:bottom="709" w:left="737" w:header="709" w:footer="709" w:gutter="0"/>
          <w:cols w:space="708"/>
          <w:titlePg/>
          <w:docGrid w:linePitch="360"/>
        </w:sectPr>
      </w:pPr>
    </w:p>
    <w:p w:rsidR="005F354A" w:rsidRDefault="005F354A" w:rsidP="005F354A">
      <w:pPr>
        <w:ind w:right="-88"/>
        <w:jc w:val="right"/>
        <w:rPr>
          <w:i/>
          <w:sz w:val="22"/>
          <w:szCs w:val="22"/>
        </w:rPr>
      </w:pPr>
    </w:p>
    <w:p w:rsidR="006349C9" w:rsidRPr="00E87EE4" w:rsidRDefault="006349C9" w:rsidP="005F354A">
      <w:pPr>
        <w:ind w:right="-88"/>
        <w:jc w:val="right"/>
        <w:rPr>
          <w:i/>
          <w:sz w:val="22"/>
          <w:szCs w:val="22"/>
          <w:lang w:val="uz-Cyrl-UZ"/>
        </w:rPr>
      </w:pPr>
      <w:r w:rsidRPr="00C75833">
        <w:rPr>
          <w:i/>
          <w:sz w:val="22"/>
          <w:szCs w:val="22"/>
        </w:rPr>
        <w:t>Приложение 1</w:t>
      </w:r>
      <w:r w:rsidR="00E87EE4">
        <w:rPr>
          <w:i/>
          <w:sz w:val="22"/>
          <w:szCs w:val="22"/>
          <w:lang w:val="uz-Cyrl-UZ"/>
        </w:rPr>
        <w:t>2</w:t>
      </w:r>
    </w:p>
    <w:p w:rsidR="0030676B" w:rsidRPr="006B246F" w:rsidRDefault="00AB0717" w:rsidP="0030676B">
      <w:pPr>
        <w:pStyle w:val="1"/>
        <w:ind w:left="34"/>
        <w:jc w:val="center"/>
        <w:rPr>
          <w:rFonts w:ascii="Calibri" w:hAnsi="Calibri"/>
          <w:sz w:val="26"/>
          <w:szCs w:val="26"/>
          <w:lang w:val="ru-RU"/>
        </w:rPr>
      </w:pPr>
      <w:bookmarkStart w:id="34" w:name="_Toc35458630"/>
      <w:r w:rsidRPr="006B246F">
        <w:rPr>
          <w:rFonts w:ascii="Calibri" w:hAnsi="Calibri"/>
          <w:sz w:val="26"/>
          <w:szCs w:val="26"/>
          <w:lang w:val="ru-RU"/>
        </w:rPr>
        <w:t xml:space="preserve">ЧИСТОЕ </w:t>
      </w:r>
      <w:r w:rsidR="002E0F0B" w:rsidRPr="006B246F">
        <w:rPr>
          <w:rFonts w:ascii="Calibri" w:hAnsi="Calibri"/>
          <w:sz w:val="26"/>
          <w:szCs w:val="26"/>
        </w:rPr>
        <w:t>ПОСТУПЛЕНИЕ ПРЯМЫХ ИНОСТРАННЫХ ИНВЕСТИЦИЙ ЗА 201</w:t>
      </w:r>
      <w:r w:rsidRPr="006B246F">
        <w:rPr>
          <w:rFonts w:ascii="Calibri" w:hAnsi="Calibri"/>
          <w:sz w:val="26"/>
          <w:szCs w:val="26"/>
          <w:lang w:val="ru-RU"/>
        </w:rPr>
        <w:t>4</w:t>
      </w:r>
      <w:r w:rsidR="002E0F0B" w:rsidRPr="006B246F">
        <w:rPr>
          <w:rFonts w:ascii="Calibri" w:hAnsi="Calibri"/>
          <w:sz w:val="26"/>
          <w:szCs w:val="26"/>
        </w:rPr>
        <w:t>-2019 ГГ.</w:t>
      </w:r>
      <w:r w:rsidR="0031153C" w:rsidRPr="006B246F">
        <w:rPr>
          <w:rFonts w:ascii="Calibri" w:hAnsi="Calibri"/>
          <w:sz w:val="26"/>
          <w:szCs w:val="26"/>
          <w:lang w:val="ru-RU"/>
        </w:rPr>
        <w:t>*</w:t>
      </w:r>
      <w:bookmarkEnd w:id="34"/>
    </w:p>
    <w:p w:rsidR="0030676B" w:rsidRPr="00343190" w:rsidRDefault="00784399" w:rsidP="005F354A">
      <w:pPr>
        <w:ind w:right="-88"/>
        <w:jc w:val="right"/>
        <w:rPr>
          <w:i/>
          <w:iCs/>
          <w:color w:val="000000"/>
          <w:sz w:val="20"/>
          <w:szCs w:val="20"/>
        </w:rPr>
      </w:pPr>
      <w:r w:rsidRPr="00343190">
        <w:rPr>
          <w:i/>
          <w:iCs/>
          <w:color w:val="000000"/>
          <w:sz w:val="20"/>
          <w:szCs w:val="20"/>
        </w:rPr>
        <w:t>(</w:t>
      </w:r>
      <w:r w:rsidR="0030676B" w:rsidRPr="00343190">
        <w:rPr>
          <w:i/>
          <w:iCs/>
          <w:color w:val="000000"/>
          <w:sz w:val="20"/>
          <w:szCs w:val="20"/>
        </w:rPr>
        <w:t>млн. долл.</w:t>
      </w:r>
      <w:r w:rsidRPr="00343190">
        <w:rPr>
          <w:i/>
          <w:iCs/>
          <w:color w:val="000000"/>
          <w:sz w:val="20"/>
          <w:szCs w:val="20"/>
        </w:rPr>
        <w:t>)</w:t>
      </w:r>
    </w:p>
    <w:tbl>
      <w:tblPr>
        <w:tblW w:w="151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039"/>
        <w:gridCol w:w="923"/>
        <w:gridCol w:w="923"/>
        <w:gridCol w:w="923"/>
        <w:gridCol w:w="923"/>
        <w:gridCol w:w="1648"/>
        <w:gridCol w:w="1072"/>
        <w:gridCol w:w="1068"/>
        <w:gridCol w:w="1687"/>
        <w:gridCol w:w="1069"/>
        <w:gridCol w:w="10"/>
      </w:tblGrid>
      <w:tr w:rsidR="005F354A" w:rsidRPr="005F354A" w:rsidTr="005F354A">
        <w:trPr>
          <w:trHeight w:val="373"/>
        </w:trPr>
        <w:tc>
          <w:tcPr>
            <w:tcW w:w="3827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F354A" w:rsidRPr="005F354A" w:rsidRDefault="005F354A" w:rsidP="00A530F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Тип инвестиции</w:t>
            </w:r>
          </w:p>
        </w:tc>
        <w:tc>
          <w:tcPr>
            <w:tcW w:w="1039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F354A" w:rsidRPr="005F354A" w:rsidRDefault="005F354A" w:rsidP="00BA72F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23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F354A" w:rsidRPr="005F354A" w:rsidRDefault="005F354A" w:rsidP="00BA72F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23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F354A" w:rsidRPr="005F354A" w:rsidRDefault="005F354A" w:rsidP="00BA72F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23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F354A" w:rsidRPr="005F354A" w:rsidRDefault="005F354A" w:rsidP="00BA72F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23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F354A" w:rsidRPr="005F354A" w:rsidRDefault="005F354A" w:rsidP="00ED0EB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72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F354A" w:rsidRPr="005F354A" w:rsidRDefault="005F354A" w:rsidP="00A530FA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068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F354A" w:rsidRPr="005F354A" w:rsidRDefault="005F354A" w:rsidP="00ED0EB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766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F354A" w:rsidRPr="005F354A" w:rsidRDefault="005F354A" w:rsidP="00A530FA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из них</w:t>
            </w:r>
          </w:p>
        </w:tc>
      </w:tr>
      <w:tr w:rsidR="005F354A" w:rsidRPr="005F354A" w:rsidTr="005F354A">
        <w:trPr>
          <w:gridAfter w:val="1"/>
          <w:wAfter w:w="10" w:type="dxa"/>
          <w:trHeight w:val="747"/>
        </w:trPr>
        <w:tc>
          <w:tcPr>
            <w:tcW w:w="3827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F354A" w:rsidRPr="005F354A" w:rsidRDefault="005F354A" w:rsidP="00A530F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F354A" w:rsidRPr="005F354A" w:rsidRDefault="005F354A" w:rsidP="00BA72F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F354A" w:rsidRPr="005F354A" w:rsidRDefault="005F354A" w:rsidP="00BA72F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F354A" w:rsidRPr="005F354A" w:rsidRDefault="005F354A" w:rsidP="00BA72F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F354A" w:rsidRPr="005F354A" w:rsidRDefault="005F354A" w:rsidP="00BA72F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F354A" w:rsidRPr="005F354A" w:rsidRDefault="005F354A" w:rsidP="00A530F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F354A" w:rsidRPr="005F354A" w:rsidRDefault="005F354A" w:rsidP="00A530FA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нефинансовые предприятия</w:t>
            </w:r>
          </w:p>
        </w:tc>
        <w:tc>
          <w:tcPr>
            <w:tcW w:w="10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F354A" w:rsidRPr="005F354A" w:rsidRDefault="005F354A" w:rsidP="00A530FA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банки</w:t>
            </w:r>
          </w:p>
        </w:tc>
        <w:tc>
          <w:tcPr>
            <w:tcW w:w="1068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F354A" w:rsidRPr="005F354A" w:rsidRDefault="005F354A" w:rsidP="00A530F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F354A" w:rsidRPr="005F354A" w:rsidRDefault="005F354A" w:rsidP="00A530FA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нефинансовые предприятия</w:t>
            </w:r>
          </w:p>
        </w:tc>
        <w:tc>
          <w:tcPr>
            <w:tcW w:w="10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5F354A" w:rsidRPr="005F354A" w:rsidRDefault="005F354A" w:rsidP="00A530FA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банки</w:t>
            </w:r>
          </w:p>
        </w:tc>
      </w:tr>
      <w:tr w:rsidR="005F354A" w:rsidRPr="005F354A" w:rsidTr="00E906D7">
        <w:trPr>
          <w:gridAfter w:val="1"/>
          <w:wAfter w:w="10" w:type="dxa"/>
          <w:trHeight w:val="559"/>
        </w:trPr>
        <w:tc>
          <w:tcPr>
            <w:tcW w:w="38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noWrap/>
            <w:vAlign w:val="center"/>
            <w:hideMark/>
          </w:tcPr>
          <w:p w:rsidR="00470E20" w:rsidRPr="005F354A" w:rsidRDefault="00470E20" w:rsidP="00470E2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Чистое поступление инвестиций</w:t>
            </w:r>
            <w:r w:rsidR="00CE082D" w:rsidRPr="00CE082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3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808,7 </w:t>
            </w:r>
          </w:p>
        </w:tc>
        <w:tc>
          <w:tcPr>
            <w:tcW w:w="9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1 041,2 </w:t>
            </w:r>
          </w:p>
        </w:tc>
        <w:tc>
          <w:tcPr>
            <w:tcW w:w="9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1 662,6 </w:t>
            </w:r>
          </w:p>
        </w:tc>
        <w:tc>
          <w:tcPr>
            <w:tcW w:w="9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1 797,3 </w:t>
            </w:r>
          </w:p>
        </w:tc>
        <w:tc>
          <w:tcPr>
            <w:tcW w:w="9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624,7 </w:t>
            </w:r>
          </w:p>
        </w:tc>
        <w:tc>
          <w:tcPr>
            <w:tcW w:w="16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611,0 </w:t>
            </w:r>
          </w:p>
        </w:tc>
        <w:tc>
          <w:tcPr>
            <w:tcW w:w="10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12,3 </w:t>
            </w:r>
          </w:p>
        </w:tc>
        <w:tc>
          <w:tcPr>
            <w:tcW w:w="10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2 286,3 </w:t>
            </w:r>
          </w:p>
        </w:tc>
        <w:tc>
          <w:tcPr>
            <w:tcW w:w="168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2 226,5 </w:t>
            </w:r>
          </w:p>
        </w:tc>
        <w:tc>
          <w:tcPr>
            <w:tcW w:w="10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BDD6EE" w:themeFill="accent1" w:themeFillTint="66"/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57,9 </w:t>
            </w:r>
          </w:p>
        </w:tc>
      </w:tr>
      <w:tr w:rsidR="005F354A" w:rsidRPr="005F354A" w:rsidTr="00E906D7">
        <w:trPr>
          <w:gridAfter w:val="1"/>
          <w:wAfter w:w="10" w:type="dxa"/>
          <w:trHeight w:val="328"/>
        </w:trPr>
        <w:tc>
          <w:tcPr>
            <w:tcW w:w="38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252C53" w:rsidRPr="005F354A" w:rsidRDefault="00252C53" w:rsidP="00252C53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3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52C53" w:rsidRPr="005F354A" w:rsidRDefault="00252C53" w:rsidP="00252C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52C53" w:rsidRPr="005F354A" w:rsidRDefault="00252C53" w:rsidP="00252C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52C53" w:rsidRPr="005F354A" w:rsidRDefault="00252C53" w:rsidP="00252C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52C53" w:rsidRPr="005F354A" w:rsidRDefault="00252C53" w:rsidP="00252C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252C53" w:rsidRPr="005F354A" w:rsidRDefault="00252C53" w:rsidP="00252C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:rsidR="00252C53" w:rsidRPr="005F354A" w:rsidRDefault="00252C53" w:rsidP="00252C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:rsidR="00252C53" w:rsidRPr="005F354A" w:rsidRDefault="00252C53" w:rsidP="00252C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:rsidR="00252C53" w:rsidRPr="005F354A" w:rsidRDefault="00252C53" w:rsidP="00252C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:rsidR="00252C53" w:rsidRPr="005F354A" w:rsidRDefault="00252C53" w:rsidP="00252C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:rsidR="00252C53" w:rsidRPr="005F354A" w:rsidRDefault="00252C53" w:rsidP="00252C5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F354A" w:rsidRPr="005F354A" w:rsidTr="008E42A8">
        <w:trPr>
          <w:gridAfter w:val="1"/>
          <w:wAfter w:w="10" w:type="dxa"/>
          <w:trHeight w:val="658"/>
        </w:trPr>
        <w:tc>
          <w:tcPr>
            <w:tcW w:w="38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470E20" w:rsidRPr="005F354A" w:rsidRDefault="00470E20" w:rsidP="00470E20">
            <w:pPr>
              <w:ind w:left="17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чистые инвестиции в капитал**</w:t>
            </w:r>
          </w:p>
        </w:tc>
        <w:tc>
          <w:tcPr>
            <w:tcW w:w="103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298,9 </w:t>
            </w:r>
          </w:p>
        </w:tc>
        <w:tc>
          <w:tcPr>
            <w:tcW w:w="9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190,9 </w:t>
            </w:r>
          </w:p>
        </w:tc>
        <w:tc>
          <w:tcPr>
            <w:tcW w:w="9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-343,0 </w:t>
            </w:r>
          </w:p>
        </w:tc>
        <w:tc>
          <w:tcPr>
            <w:tcW w:w="9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241,5 </w:t>
            </w:r>
          </w:p>
        </w:tc>
        <w:tc>
          <w:tcPr>
            <w:tcW w:w="9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300,4 </w:t>
            </w:r>
          </w:p>
        </w:tc>
        <w:tc>
          <w:tcPr>
            <w:tcW w:w="16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277,8 </w:t>
            </w:r>
          </w:p>
        </w:tc>
        <w:tc>
          <w:tcPr>
            <w:tcW w:w="10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21,9 </w:t>
            </w:r>
          </w:p>
        </w:tc>
        <w:tc>
          <w:tcPr>
            <w:tcW w:w="10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2 077,2 </w:t>
            </w:r>
          </w:p>
        </w:tc>
        <w:tc>
          <w:tcPr>
            <w:tcW w:w="168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2 037,7 </w:t>
            </w:r>
          </w:p>
        </w:tc>
        <w:tc>
          <w:tcPr>
            <w:tcW w:w="10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39,2 </w:t>
            </w:r>
          </w:p>
        </w:tc>
      </w:tr>
      <w:tr w:rsidR="005F354A" w:rsidRPr="005F354A" w:rsidTr="008E42A8">
        <w:trPr>
          <w:gridAfter w:val="1"/>
          <w:wAfter w:w="10" w:type="dxa"/>
          <w:trHeight w:val="658"/>
        </w:trPr>
        <w:tc>
          <w:tcPr>
            <w:tcW w:w="38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470E20" w:rsidRPr="005F354A" w:rsidRDefault="00470E20" w:rsidP="00470E20">
            <w:pPr>
              <w:ind w:left="17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реинвестиция доходов**</w:t>
            </w:r>
          </w:p>
        </w:tc>
        <w:tc>
          <w:tcPr>
            <w:tcW w:w="103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146,9 </w:t>
            </w:r>
          </w:p>
        </w:tc>
        <w:tc>
          <w:tcPr>
            <w:tcW w:w="9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190,5 </w:t>
            </w:r>
          </w:p>
        </w:tc>
        <w:tc>
          <w:tcPr>
            <w:tcW w:w="9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545,9 </w:t>
            </w:r>
          </w:p>
        </w:tc>
        <w:tc>
          <w:tcPr>
            <w:tcW w:w="9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475,3 </w:t>
            </w:r>
          </w:p>
        </w:tc>
        <w:tc>
          <w:tcPr>
            <w:tcW w:w="9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692,7 </w:t>
            </w:r>
          </w:p>
        </w:tc>
        <w:tc>
          <w:tcPr>
            <w:tcW w:w="16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701,6 </w:t>
            </w:r>
          </w:p>
        </w:tc>
        <w:tc>
          <w:tcPr>
            <w:tcW w:w="10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-9,6 </w:t>
            </w:r>
          </w:p>
        </w:tc>
        <w:tc>
          <w:tcPr>
            <w:tcW w:w="10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712,1 </w:t>
            </w:r>
          </w:p>
        </w:tc>
        <w:tc>
          <w:tcPr>
            <w:tcW w:w="168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691,8 </w:t>
            </w:r>
          </w:p>
        </w:tc>
        <w:tc>
          <w:tcPr>
            <w:tcW w:w="10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18,7 </w:t>
            </w:r>
          </w:p>
        </w:tc>
      </w:tr>
      <w:tr w:rsidR="005F354A" w:rsidRPr="005F354A" w:rsidTr="00E906D7">
        <w:trPr>
          <w:gridAfter w:val="1"/>
          <w:wAfter w:w="10" w:type="dxa"/>
          <w:trHeight w:val="1162"/>
        </w:trPr>
        <w:tc>
          <w:tcPr>
            <w:tcW w:w="38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470E20" w:rsidRPr="005F354A" w:rsidRDefault="00470E20" w:rsidP="00470E20">
            <w:pPr>
              <w:ind w:left="17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чистое привлечение займов от материнских компаний (в том числе начисленные, но не выплаченные проценты)</w:t>
            </w:r>
          </w:p>
        </w:tc>
        <w:tc>
          <w:tcPr>
            <w:tcW w:w="103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5,0 </w:t>
            </w:r>
          </w:p>
        </w:tc>
        <w:tc>
          <w:tcPr>
            <w:tcW w:w="9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-6,0 </w:t>
            </w:r>
          </w:p>
        </w:tc>
        <w:tc>
          <w:tcPr>
            <w:tcW w:w="9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533,1 </w:t>
            </w:r>
          </w:p>
        </w:tc>
        <w:tc>
          <w:tcPr>
            <w:tcW w:w="9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-116,5 </w:t>
            </w:r>
          </w:p>
        </w:tc>
        <w:tc>
          <w:tcPr>
            <w:tcW w:w="9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-14,5 </w:t>
            </w:r>
          </w:p>
        </w:tc>
        <w:tc>
          <w:tcPr>
            <w:tcW w:w="16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-14,5 </w:t>
            </w:r>
          </w:p>
        </w:tc>
        <w:tc>
          <w:tcPr>
            <w:tcW w:w="10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10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168,7 </w:t>
            </w:r>
          </w:p>
        </w:tc>
        <w:tc>
          <w:tcPr>
            <w:tcW w:w="168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168,7 </w:t>
            </w:r>
          </w:p>
        </w:tc>
        <w:tc>
          <w:tcPr>
            <w:tcW w:w="10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0,0 </w:t>
            </w:r>
          </w:p>
        </w:tc>
      </w:tr>
      <w:tr w:rsidR="005F354A" w:rsidRPr="005F354A" w:rsidTr="008E42A8">
        <w:trPr>
          <w:gridAfter w:val="1"/>
          <w:wAfter w:w="10" w:type="dxa"/>
          <w:trHeight w:val="658"/>
        </w:trPr>
        <w:tc>
          <w:tcPr>
            <w:tcW w:w="38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470E20" w:rsidRPr="005F354A" w:rsidRDefault="00470E20" w:rsidP="00470E20">
            <w:pPr>
              <w:ind w:left="1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чистые поступления предприятиям СРП</w:t>
            </w:r>
          </w:p>
        </w:tc>
        <w:tc>
          <w:tcPr>
            <w:tcW w:w="103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357,8 </w:t>
            </w:r>
          </w:p>
        </w:tc>
        <w:tc>
          <w:tcPr>
            <w:tcW w:w="9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665,8 </w:t>
            </w:r>
          </w:p>
        </w:tc>
        <w:tc>
          <w:tcPr>
            <w:tcW w:w="9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926,6 </w:t>
            </w:r>
          </w:p>
        </w:tc>
        <w:tc>
          <w:tcPr>
            <w:tcW w:w="9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1 197,1 </w:t>
            </w:r>
          </w:p>
        </w:tc>
        <w:tc>
          <w:tcPr>
            <w:tcW w:w="9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-353,9 </w:t>
            </w:r>
          </w:p>
        </w:tc>
        <w:tc>
          <w:tcPr>
            <w:tcW w:w="16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-353,9 </w:t>
            </w:r>
          </w:p>
        </w:tc>
        <w:tc>
          <w:tcPr>
            <w:tcW w:w="10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10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-671,7 </w:t>
            </w:r>
          </w:p>
        </w:tc>
        <w:tc>
          <w:tcPr>
            <w:tcW w:w="168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-671,7 </w:t>
            </w:r>
          </w:p>
        </w:tc>
        <w:tc>
          <w:tcPr>
            <w:tcW w:w="10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470E20" w:rsidRPr="005F354A" w:rsidRDefault="00470E20" w:rsidP="00470E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3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0,0 </w:t>
            </w:r>
          </w:p>
        </w:tc>
      </w:tr>
    </w:tbl>
    <w:p w:rsidR="00107A10" w:rsidRPr="006F08D3" w:rsidRDefault="00107A10" w:rsidP="00470E20">
      <w:pPr>
        <w:spacing w:before="120"/>
        <w:ind w:left="142"/>
        <w:jc w:val="both"/>
        <w:rPr>
          <w:i/>
          <w:color w:val="000000"/>
          <w:sz w:val="20"/>
          <w:szCs w:val="20"/>
        </w:rPr>
      </w:pPr>
      <w:r w:rsidRPr="009A3023">
        <w:rPr>
          <w:i/>
          <w:color w:val="000000"/>
          <w:sz w:val="20"/>
          <w:szCs w:val="20"/>
        </w:rPr>
        <w:t>*</w:t>
      </w:r>
      <w:r w:rsidR="005F354A">
        <w:rPr>
          <w:i/>
          <w:color w:val="000000"/>
          <w:sz w:val="20"/>
          <w:szCs w:val="20"/>
        </w:rPr>
        <w:t xml:space="preserve"> </w:t>
      </w:r>
      <w:r w:rsidRPr="009A3023">
        <w:rPr>
          <w:i/>
          <w:color w:val="000000"/>
          <w:sz w:val="20"/>
          <w:szCs w:val="20"/>
        </w:rPr>
        <w:t xml:space="preserve">данные отражают </w:t>
      </w:r>
      <w:r w:rsidR="001057F6">
        <w:rPr>
          <w:i/>
          <w:color w:val="000000"/>
          <w:sz w:val="20"/>
          <w:szCs w:val="20"/>
        </w:rPr>
        <w:t>разницу между</w:t>
      </w:r>
      <w:r w:rsidRPr="009A3023">
        <w:rPr>
          <w:i/>
          <w:color w:val="000000"/>
          <w:sz w:val="20"/>
          <w:szCs w:val="20"/>
        </w:rPr>
        <w:t xml:space="preserve"> поступления</w:t>
      </w:r>
      <w:r w:rsidR="001057F6">
        <w:rPr>
          <w:i/>
          <w:color w:val="000000"/>
          <w:sz w:val="20"/>
          <w:szCs w:val="20"/>
        </w:rPr>
        <w:t>ми</w:t>
      </w:r>
      <w:r w:rsidRPr="009A3023">
        <w:rPr>
          <w:i/>
          <w:color w:val="000000"/>
          <w:sz w:val="20"/>
          <w:szCs w:val="20"/>
        </w:rPr>
        <w:t xml:space="preserve"> и репатриаци</w:t>
      </w:r>
      <w:r w:rsidR="001057F6">
        <w:rPr>
          <w:i/>
          <w:color w:val="000000"/>
          <w:sz w:val="20"/>
          <w:szCs w:val="20"/>
        </w:rPr>
        <w:t>ей</w:t>
      </w:r>
      <w:r w:rsidRPr="009A3023">
        <w:rPr>
          <w:i/>
          <w:color w:val="000000"/>
          <w:sz w:val="20"/>
          <w:szCs w:val="20"/>
        </w:rPr>
        <w:t xml:space="preserve"> инвестиций и могут отличатся от результатов других опросов, проводимых Госкомстатом для расчёта освоенных инвестиций.</w:t>
      </w:r>
      <w:r w:rsidR="001057F6">
        <w:rPr>
          <w:i/>
          <w:color w:val="000000"/>
          <w:sz w:val="20"/>
          <w:szCs w:val="20"/>
        </w:rPr>
        <w:t xml:space="preserve"> Проводимый по методологии платёжного баланса опрос собирает информацию только о чистых изменениях участия нерезидентов в капитале.</w:t>
      </w:r>
    </w:p>
    <w:p w:rsidR="00907359" w:rsidRPr="006F08D3" w:rsidRDefault="00107A10" w:rsidP="00BD5534">
      <w:pPr>
        <w:ind w:left="142"/>
        <w:jc w:val="both"/>
        <w:rPr>
          <w:rFonts w:cs="Arial"/>
          <w:sz w:val="20"/>
          <w:szCs w:val="20"/>
        </w:rPr>
      </w:pPr>
      <w:r w:rsidRPr="006F08D3">
        <w:rPr>
          <w:i/>
          <w:color w:val="000000"/>
          <w:sz w:val="20"/>
          <w:szCs w:val="20"/>
        </w:rPr>
        <w:t>**</w:t>
      </w:r>
      <w:r w:rsidR="005F354A">
        <w:rPr>
          <w:i/>
          <w:color w:val="000000"/>
          <w:sz w:val="20"/>
          <w:szCs w:val="20"/>
        </w:rPr>
        <w:t xml:space="preserve"> </w:t>
      </w:r>
      <w:r w:rsidRPr="006F08D3">
        <w:rPr>
          <w:i/>
          <w:color w:val="000000"/>
          <w:sz w:val="20"/>
          <w:szCs w:val="20"/>
        </w:rPr>
        <w:t>чистое изменение участия нерезидентов в капитале нефинансовых предприятий</w:t>
      </w:r>
      <w:r w:rsidR="0031153C">
        <w:rPr>
          <w:i/>
          <w:color w:val="000000"/>
          <w:sz w:val="20"/>
          <w:szCs w:val="20"/>
        </w:rPr>
        <w:t>, а также части доходов, подлежащих выплате нерезидентам,</w:t>
      </w:r>
      <w:r w:rsidRPr="006F08D3">
        <w:rPr>
          <w:i/>
          <w:color w:val="000000"/>
          <w:sz w:val="20"/>
          <w:szCs w:val="20"/>
        </w:rPr>
        <w:t xml:space="preserve"> рассчитыва</w:t>
      </w:r>
      <w:r w:rsidR="0031153C">
        <w:rPr>
          <w:i/>
          <w:color w:val="000000"/>
          <w:sz w:val="20"/>
          <w:szCs w:val="20"/>
        </w:rPr>
        <w:t>ются</w:t>
      </w:r>
      <w:r w:rsidRPr="006F08D3">
        <w:rPr>
          <w:i/>
          <w:color w:val="000000"/>
          <w:sz w:val="20"/>
          <w:szCs w:val="20"/>
        </w:rPr>
        <w:t xml:space="preserve"> на основании опроса, проводимого Госкомстатом.</w:t>
      </w:r>
    </w:p>
    <w:p w:rsidR="00CA354F" w:rsidRPr="006F08D3" w:rsidRDefault="00CA354F" w:rsidP="005C51D2">
      <w:pPr>
        <w:jc w:val="both"/>
        <w:rPr>
          <w:rFonts w:cs="Arial"/>
        </w:rPr>
        <w:sectPr w:rsidR="00CA354F" w:rsidRPr="006F08D3" w:rsidSect="00F40724">
          <w:footerReference w:type="first" r:id="rId49"/>
          <w:pgSz w:w="16838" w:h="11906" w:orient="landscape" w:code="9"/>
          <w:pgMar w:top="567" w:right="1021" w:bottom="1133" w:left="737" w:header="709" w:footer="709" w:gutter="0"/>
          <w:cols w:space="708"/>
          <w:titlePg/>
          <w:docGrid w:linePitch="360"/>
        </w:sectPr>
      </w:pPr>
    </w:p>
    <w:p w:rsidR="00C36F5B" w:rsidRPr="00C36F5B" w:rsidRDefault="00C36F5B" w:rsidP="00F82FD9">
      <w:pPr>
        <w:jc w:val="right"/>
        <w:rPr>
          <w:i/>
          <w:sz w:val="10"/>
          <w:szCs w:val="10"/>
        </w:rPr>
      </w:pPr>
    </w:p>
    <w:p w:rsidR="00F82FD9" w:rsidRPr="00CC2DAA" w:rsidRDefault="00F82FD9" w:rsidP="00F82FD9">
      <w:pPr>
        <w:jc w:val="right"/>
        <w:rPr>
          <w:i/>
          <w:sz w:val="22"/>
          <w:szCs w:val="22"/>
          <w:lang w:val="uz-Cyrl-UZ"/>
        </w:rPr>
      </w:pPr>
      <w:r w:rsidRPr="00C75833">
        <w:rPr>
          <w:i/>
          <w:sz w:val="22"/>
          <w:szCs w:val="22"/>
        </w:rPr>
        <w:t>Приложение</w:t>
      </w:r>
      <w:r w:rsidR="00DF6B9C" w:rsidRPr="00C75833">
        <w:rPr>
          <w:i/>
          <w:sz w:val="22"/>
          <w:szCs w:val="22"/>
        </w:rPr>
        <w:t xml:space="preserve"> </w:t>
      </w:r>
      <w:r w:rsidRPr="00C75833">
        <w:rPr>
          <w:i/>
          <w:sz w:val="22"/>
          <w:szCs w:val="22"/>
        </w:rPr>
        <w:t>12</w:t>
      </w:r>
      <w:r w:rsidR="001D7B5E" w:rsidRPr="00C75833">
        <w:rPr>
          <w:i/>
          <w:sz w:val="22"/>
          <w:szCs w:val="22"/>
        </w:rPr>
        <w:t>.1</w:t>
      </w:r>
      <w:r w:rsidR="00CC2DAA">
        <w:rPr>
          <w:i/>
          <w:sz w:val="22"/>
          <w:szCs w:val="22"/>
          <w:lang w:val="uz-Cyrl-UZ"/>
        </w:rPr>
        <w:t>.1</w:t>
      </w:r>
    </w:p>
    <w:p w:rsidR="00DF6B9C" w:rsidRPr="006B246F" w:rsidRDefault="002E0F0B" w:rsidP="005219A6">
      <w:pPr>
        <w:pStyle w:val="1"/>
        <w:ind w:left="0"/>
        <w:jc w:val="center"/>
        <w:rPr>
          <w:rFonts w:ascii="Calibri" w:hAnsi="Calibri"/>
          <w:sz w:val="26"/>
          <w:szCs w:val="26"/>
          <w:lang w:val="uz-Cyrl-UZ"/>
        </w:rPr>
      </w:pPr>
      <w:bookmarkStart w:id="35" w:name="_Toc533515546"/>
      <w:bookmarkStart w:id="36" w:name="_Toc35458631"/>
      <w:r w:rsidRPr="006B246F">
        <w:rPr>
          <w:rFonts w:ascii="Calibri" w:hAnsi="Calibri"/>
          <w:sz w:val="26"/>
          <w:szCs w:val="26"/>
        </w:rPr>
        <w:t xml:space="preserve">МЕЖДУНАРОДНАЯ ИНВЕСТИЦИОННАЯ ПОЗИЦИЯ </w:t>
      </w:r>
      <w:bookmarkEnd w:id="35"/>
      <w:r w:rsidRPr="006B246F">
        <w:rPr>
          <w:rFonts w:ascii="Calibri" w:hAnsi="Calibri"/>
          <w:sz w:val="26"/>
          <w:szCs w:val="26"/>
        </w:rPr>
        <w:t>ЗА 201</w:t>
      </w:r>
      <w:r w:rsidR="00EC469C" w:rsidRPr="006B246F">
        <w:rPr>
          <w:rFonts w:ascii="Calibri" w:hAnsi="Calibri"/>
          <w:sz w:val="26"/>
          <w:szCs w:val="26"/>
          <w:lang w:val="uz-Cyrl-UZ"/>
        </w:rPr>
        <w:t>4-2016</w:t>
      </w:r>
      <w:r w:rsidRPr="006B246F">
        <w:rPr>
          <w:rFonts w:ascii="Calibri" w:hAnsi="Calibri"/>
          <w:sz w:val="26"/>
          <w:szCs w:val="26"/>
        </w:rPr>
        <w:t xml:space="preserve"> </w:t>
      </w:r>
      <w:r w:rsidR="00EC469C" w:rsidRPr="006B246F">
        <w:rPr>
          <w:rFonts w:ascii="Calibri" w:hAnsi="Calibri"/>
          <w:sz w:val="26"/>
          <w:szCs w:val="26"/>
        </w:rPr>
        <w:t>Г</w:t>
      </w:r>
      <w:r w:rsidR="00EC469C" w:rsidRPr="006B246F">
        <w:rPr>
          <w:rFonts w:ascii="Calibri" w:hAnsi="Calibri"/>
          <w:sz w:val="26"/>
          <w:szCs w:val="26"/>
          <w:lang w:val="uz-Cyrl-UZ"/>
        </w:rPr>
        <w:t>Г.</w:t>
      </w:r>
      <w:bookmarkEnd w:id="36"/>
    </w:p>
    <w:p w:rsidR="00DF6B9C" w:rsidRDefault="00DF6B9C" w:rsidP="00DF6B9C">
      <w:pPr>
        <w:jc w:val="center"/>
        <w:rPr>
          <w:i/>
          <w:iCs/>
          <w:color w:val="000000"/>
          <w:sz w:val="22"/>
          <w:szCs w:val="22"/>
        </w:rPr>
      </w:pPr>
      <w:r w:rsidRPr="00C75833">
        <w:rPr>
          <w:i/>
          <w:iCs/>
          <w:color w:val="000000"/>
          <w:sz w:val="22"/>
          <w:szCs w:val="22"/>
        </w:rPr>
        <w:t>(в разбивке по основным компонентам)</w:t>
      </w:r>
    </w:p>
    <w:p w:rsidR="00626D12" w:rsidRPr="00343190" w:rsidRDefault="00626D12" w:rsidP="00626D12">
      <w:pPr>
        <w:jc w:val="right"/>
        <w:rPr>
          <w:i/>
          <w:iCs/>
          <w:color w:val="000000"/>
          <w:sz w:val="20"/>
          <w:szCs w:val="20"/>
        </w:rPr>
      </w:pPr>
      <w:r w:rsidRPr="00343190">
        <w:rPr>
          <w:i/>
          <w:iCs/>
          <w:color w:val="000000"/>
          <w:sz w:val="20"/>
          <w:szCs w:val="20"/>
        </w:rPr>
        <w:t>(млн. долл.)</w:t>
      </w:r>
    </w:p>
    <w:tbl>
      <w:tblPr>
        <w:tblW w:w="1508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20"/>
      </w:tblPr>
      <w:tblGrid>
        <w:gridCol w:w="2324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965756" w:rsidRPr="000862FF" w:rsidTr="00965756">
        <w:trPr>
          <w:trHeight w:val="988"/>
        </w:trPr>
        <w:tc>
          <w:tcPr>
            <w:tcW w:w="2324" w:type="dxa"/>
            <w:vAlign w:val="center"/>
          </w:tcPr>
          <w:p w:rsidR="00CC2DAA" w:rsidRPr="000862FF" w:rsidRDefault="00CC2DAA" w:rsidP="00CC2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CC2DAA" w:rsidRPr="000862FF" w:rsidRDefault="00CC2DAA" w:rsidP="00965756">
            <w:pPr>
              <w:autoSpaceDE w:val="0"/>
              <w:autoSpaceDN w:val="0"/>
              <w:adjustRightInd w:val="0"/>
              <w:ind w:right="8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862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vAlign w:val="center"/>
          </w:tcPr>
          <w:p w:rsidR="00CC2DAA" w:rsidRPr="00CC2DAA" w:rsidRDefault="00CC2DAA" w:rsidP="009657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Операции платёжного баланса</w:t>
            </w:r>
          </w:p>
        </w:tc>
        <w:tc>
          <w:tcPr>
            <w:tcW w:w="1276" w:type="dxa"/>
            <w:vAlign w:val="center"/>
          </w:tcPr>
          <w:p w:rsidR="00CC2DAA" w:rsidRPr="00CC2DAA" w:rsidRDefault="00CC2DAA" w:rsidP="009657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Неопера</w:t>
            </w:r>
            <w:r w:rsidR="0010651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ционные изменения</w:t>
            </w:r>
          </w:p>
        </w:tc>
        <w:tc>
          <w:tcPr>
            <w:tcW w:w="1276" w:type="dxa"/>
            <w:vAlign w:val="center"/>
          </w:tcPr>
          <w:p w:rsidR="00CC2DAA" w:rsidRPr="000862FF" w:rsidRDefault="00CC2DAA" w:rsidP="00965756">
            <w:pPr>
              <w:autoSpaceDE w:val="0"/>
              <w:autoSpaceDN w:val="0"/>
              <w:adjustRightInd w:val="0"/>
              <w:ind w:right="119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862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1276" w:type="dxa"/>
            <w:vAlign w:val="center"/>
          </w:tcPr>
          <w:p w:rsidR="00CC2DAA" w:rsidRPr="00CC2DAA" w:rsidRDefault="00CC2DAA" w:rsidP="009657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Операции платёжного баланса</w:t>
            </w:r>
          </w:p>
        </w:tc>
        <w:tc>
          <w:tcPr>
            <w:tcW w:w="1276" w:type="dxa"/>
            <w:vAlign w:val="center"/>
          </w:tcPr>
          <w:p w:rsidR="00CC2DAA" w:rsidRPr="00CC2DAA" w:rsidRDefault="0010651A" w:rsidP="009657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Неопера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ционные изменения</w:t>
            </w:r>
          </w:p>
        </w:tc>
        <w:tc>
          <w:tcPr>
            <w:tcW w:w="1276" w:type="dxa"/>
            <w:vAlign w:val="center"/>
          </w:tcPr>
          <w:p w:rsidR="00CC2DAA" w:rsidRPr="000862FF" w:rsidRDefault="00CC2DAA" w:rsidP="00965756">
            <w:pPr>
              <w:autoSpaceDE w:val="0"/>
              <w:autoSpaceDN w:val="0"/>
              <w:adjustRightInd w:val="0"/>
              <w:ind w:right="14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z-Cyrl-UZ"/>
              </w:rPr>
            </w:pPr>
            <w:r w:rsidRPr="000862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1276" w:type="dxa"/>
            <w:vAlign w:val="center"/>
          </w:tcPr>
          <w:p w:rsidR="00CC2DAA" w:rsidRPr="00CC2DAA" w:rsidRDefault="00CC2DAA" w:rsidP="009657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Операции платёжного баланса</w:t>
            </w:r>
          </w:p>
        </w:tc>
        <w:tc>
          <w:tcPr>
            <w:tcW w:w="1276" w:type="dxa"/>
            <w:vAlign w:val="center"/>
          </w:tcPr>
          <w:p w:rsidR="00CC2DAA" w:rsidRPr="00CC2DAA" w:rsidRDefault="0010651A" w:rsidP="009657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Неопера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ционные изменения</w:t>
            </w:r>
          </w:p>
        </w:tc>
        <w:tc>
          <w:tcPr>
            <w:tcW w:w="1276" w:type="dxa"/>
            <w:vAlign w:val="center"/>
          </w:tcPr>
          <w:p w:rsidR="00CC2DAA" w:rsidRPr="000862FF" w:rsidRDefault="00CC2DAA" w:rsidP="00965756">
            <w:pPr>
              <w:autoSpaceDE w:val="0"/>
              <w:autoSpaceDN w:val="0"/>
              <w:adjustRightInd w:val="0"/>
              <w:ind w:right="35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z-Cyrl-UZ"/>
              </w:rPr>
            </w:pPr>
            <w:r w:rsidRPr="000862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01.01.2017</w:t>
            </w:r>
          </w:p>
        </w:tc>
      </w:tr>
      <w:tr w:rsidR="00B80B69" w:rsidRPr="000862FF" w:rsidTr="00251F89">
        <w:trPr>
          <w:trHeight w:val="510"/>
        </w:trPr>
        <w:tc>
          <w:tcPr>
            <w:tcW w:w="2324" w:type="dxa"/>
            <w:shd w:val="clear" w:color="auto" w:fill="DEEAF6"/>
            <w:vAlign w:val="center"/>
          </w:tcPr>
          <w:p w:rsidR="00B80B69" w:rsidRPr="00CC2DAA" w:rsidRDefault="00B80B69" w:rsidP="00B80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Чистая инвестиционная позиция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14 965,0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-1 451,9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1 475,6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14 988,8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-919,2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-1 145,6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12 924,0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675,8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1 680,5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15 280,3 </w:t>
            </w:r>
          </w:p>
        </w:tc>
      </w:tr>
      <w:tr w:rsidR="00B80B69" w:rsidRPr="000862FF" w:rsidTr="00251F89">
        <w:trPr>
          <w:trHeight w:val="510"/>
        </w:trPr>
        <w:tc>
          <w:tcPr>
            <w:tcW w:w="2324" w:type="dxa"/>
            <w:shd w:val="clear" w:color="auto" w:fill="DEEAF6"/>
            <w:vAlign w:val="center"/>
          </w:tcPr>
          <w:p w:rsidR="00B80B69" w:rsidRPr="00CC2DAA" w:rsidRDefault="00B80B69" w:rsidP="00B80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Активы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29 983,0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1 330,0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1 245,8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32 558,8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1 701,4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-1 447,3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32 812,9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3 573,9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1 563,4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37 950,2 </w:t>
            </w:r>
          </w:p>
        </w:tc>
      </w:tr>
      <w:tr w:rsidR="00B80B69" w:rsidRPr="000862FF" w:rsidTr="00251F89">
        <w:trPr>
          <w:trHeight w:val="510"/>
        </w:trPr>
        <w:tc>
          <w:tcPr>
            <w:tcW w:w="2324" w:type="dxa"/>
            <w:vAlign w:val="center"/>
          </w:tcPr>
          <w:p w:rsidR="00B80B69" w:rsidRPr="00CC2DAA" w:rsidRDefault="00B80B69" w:rsidP="00B80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Прямые инвестиции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162,6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4,4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167,0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4,6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171,6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color w:val="000000"/>
                <w:sz w:val="20"/>
                <w:szCs w:val="20"/>
              </w:rPr>
              <w:t xml:space="preserve">5,8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color w:val="000000"/>
                <w:sz w:val="20"/>
                <w:szCs w:val="20"/>
              </w:rPr>
              <w:t xml:space="preserve">0,3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color w:val="000000"/>
                <w:sz w:val="20"/>
                <w:szCs w:val="20"/>
              </w:rPr>
              <w:t xml:space="preserve">177,8 </w:t>
            </w:r>
          </w:p>
        </w:tc>
      </w:tr>
      <w:tr w:rsidR="00B80B69" w:rsidRPr="000862FF" w:rsidTr="00251F89">
        <w:trPr>
          <w:trHeight w:val="510"/>
        </w:trPr>
        <w:tc>
          <w:tcPr>
            <w:tcW w:w="2324" w:type="dxa"/>
            <w:vAlign w:val="center"/>
          </w:tcPr>
          <w:p w:rsidR="00B80B69" w:rsidRPr="00CC2DAA" w:rsidRDefault="00B80B69" w:rsidP="00B80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Портфельные инвестиции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1,2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1,2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1,2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color w:val="000000"/>
                <w:sz w:val="20"/>
                <w:szCs w:val="20"/>
              </w:rPr>
              <w:t xml:space="preserve">1,2 </w:t>
            </w:r>
          </w:p>
        </w:tc>
      </w:tr>
      <w:tr w:rsidR="00B80B69" w:rsidRPr="000862FF" w:rsidTr="00251F89">
        <w:trPr>
          <w:trHeight w:val="510"/>
        </w:trPr>
        <w:tc>
          <w:tcPr>
            <w:tcW w:w="2324" w:type="dxa"/>
            <w:vAlign w:val="center"/>
          </w:tcPr>
          <w:p w:rsidR="00B80B69" w:rsidRPr="00CC2DAA" w:rsidRDefault="00B80B69" w:rsidP="00B80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Прочие инвестиции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7 337,8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1 693,2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-780,0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8 251,0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1 479,1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-1 396,7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8 333,4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color w:val="000000"/>
                <w:sz w:val="20"/>
                <w:szCs w:val="20"/>
              </w:rPr>
              <w:t xml:space="preserve">3 015,7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color w:val="000000"/>
                <w:sz w:val="20"/>
                <w:szCs w:val="20"/>
              </w:rPr>
              <w:t xml:space="preserve">-6,6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color w:val="000000"/>
                <w:sz w:val="20"/>
                <w:szCs w:val="20"/>
              </w:rPr>
              <w:t xml:space="preserve">11 342,5 </w:t>
            </w:r>
          </w:p>
        </w:tc>
      </w:tr>
      <w:tr w:rsidR="00B80B69" w:rsidRPr="000862FF" w:rsidTr="00251F89">
        <w:trPr>
          <w:trHeight w:val="510"/>
        </w:trPr>
        <w:tc>
          <w:tcPr>
            <w:tcW w:w="2324" w:type="dxa"/>
            <w:vAlign w:val="center"/>
          </w:tcPr>
          <w:p w:rsidR="00B80B69" w:rsidRPr="00CC2DAA" w:rsidRDefault="00B80B69" w:rsidP="00B80B69">
            <w:pPr>
              <w:autoSpaceDE w:val="0"/>
              <w:autoSpaceDN w:val="0"/>
              <w:adjustRightInd w:val="0"/>
              <w:ind w:left="179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из них валюта и депозиты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3 681,4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2 038,4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-780,0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4 939,9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1 422,1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-1 396,7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4 965,2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3 750,9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-6,6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8 709,6 </w:t>
            </w:r>
          </w:p>
        </w:tc>
      </w:tr>
      <w:tr w:rsidR="00B80B69" w:rsidRPr="000862FF" w:rsidTr="00251F89">
        <w:trPr>
          <w:trHeight w:val="510"/>
        </w:trPr>
        <w:tc>
          <w:tcPr>
            <w:tcW w:w="2324" w:type="dxa"/>
            <w:vAlign w:val="center"/>
          </w:tcPr>
          <w:p w:rsidR="00B80B69" w:rsidRPr="00CC2DAA" w:rsidRDefault="00B80B69" w:rsidP="00B80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Резервные активы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22 481,4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-367,6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2 025,8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24 139,6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217,8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-50,6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24 306,8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color w:val="000000"/>
                <w:sz w:val="20"/>
                <w:szCs w:val="20"/>
              </w:rPr>
              <w:t xml:space="preserve">552,4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color w:val="000000"/>
                <w:sz w:val="20"/>
                <w:szCs w:val="20"/>
              </w:rPr>
              <w:t xml:space="preserve">1 569,6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color w:val="000000"/>
                <w:sz w:val="20"/>
                <w:szCs w:val="20"/>
              </w:rPr>
              <w:t xml:space="preserve">26 428,8 </w:t>
            </w:r>
          </w:p>
        </w:tc>
      </w:tr>
      <w:tr w:rsidR="00B80B69" w:rsidRPr="000862FF" w:rsidTr="00251F89">
        <w:trPr>
          <w:trHeight w:val="510"/>
        </w:trPr>
        <w:tc>
          <w:tcPr>
            <w:tcW w:w="2324" w:type="dxa"/>
            <w:shd w:val="clear" w:color="auto" w:fill="DEEAF6"/>
            <w:vAlign w:val="center"/>
          </w:tcPr>
          <w:p w:rsidR="00B80B69" w:rsidRPr="00CC2DAA" w:rsidRDefault="00B80B69" w:rsidP="00B80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Обязательства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15 018,0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2 781,9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-229,8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17 570,1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2 620,6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-301,7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19 888,9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2 898,1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-117,2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22 669,9 </w:t>
            </w:r>
          </w:p>
        </w:tc>
      </w:tr>
      <w:tr w:rsidR="00B80B69" w:rsidRPr="000862FF" w:rsidTr="00251F89">
        <w:trPr>
          <w:trHeight w:val="510"/>
        </w:trPr>
        <w:tc>
          <w:tcPr>
            <w:tcW w:w="2324" w:type="dxa"/>
            <w:vAlign w:val="center"/>
          </w:tcPr>
          <w:p w:rsidR="00B80B69" w:rsidRPr="00CC2DAA" w:rsidRDefault="00B80B69" w:rsidP="00B80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Прямые инвестиции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5 419,5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808,7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-56,9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6 171,2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1 041,2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-77,8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7 134,7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color w:val="000000"/>
                <w:sz w:val="20"/>
                <w:szCs w:val="20"/>
              </w:rPr>
              <w:t xml:space="preserve">1 662,6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color w:val="000000"/>
                <w:sz w:val="20"/>
                <w:szCs w:val="20"/>
              </w:rPr>
              <w:t xml:space="preserve">-137,1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color w:val="000000"/>
                <w:sz w:val="20"/>
                <w:szCs w:val="20"/>
              </w:rPr>
              <w:t xml:space="preserve">8 660,2 </w:t>
            </w:r>
          </w:p>
        </w:tc>
      </w:tr>
      <w:tr w:rsidR="00B80B69" w:rsidRPr="000862FF" w:rsidTr="00251F89">
        <w:trPr>
          <w:trHeight w:val="510"/>
        </w:trPr>
        <w:tc>
          <w:tcPr>
            <w:tcW w:w="2324" w:type="dxa"/>
            <w:vAlign w:val="center"/>
          </w:tcPr>
          <w:p w:rsidR="00B80B69" w:rsidRPr="00CC2DAA" w:rsidRDefault="00B80B69" w:rsidP="00B80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Портфельные инвестиции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7,9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1,7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-0,8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8,7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0,6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-1,3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8,1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color w:val="000000"/>
                <w:sz w:val="20"/>
                <w:szCs w:val="20"/>
              </w:rPr>
              <w:t xml:space="preserve">2,0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color w:val="000000"/>
                <w:sz w:val="20"/>
                <w:szCs w:val="20"/>
              </w:rPr>
              <w:t xml:space="preserve">-0,7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color w:val="000000"/>
                <w:sz w:val="20"/>
                <w:szCs w:val="20"/>
              </w:rPr>
              <w:t xml:space="preserve">9,4 </w:t>
            </w:r>
          </w:p>
        </w:tc>
      </w:tr>
      <w:tr w:rsidR="00B80B69" w:rsidRPr="000862FF" w:rsidTr="00251F89">
        <w:trPr>
          <w:trHeight w:val="510"/>
        </w:trPr>
        <w:tc>
          <w:tcPr>
            <w:tcW w:w="2324" w:type="dxa"/>
            <w:vAlign w:val="center"/>
          </w:tcPr>
          <w:p w:rsidR="00B80B69" w:rsidRPr="00CC2DAA" w:rsidRDefault="00B80B69" w:rsidP="00B80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Финансовые деривативы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B80B69" w:rsidRPr="000862FF" w:rsidTr="00251F89">
        <w:trPr>
          <w:trHeight w:val="510"/>
        </w:trPr>
        <w:tc>
          <w:tcPr>
            <w:tcW w:w="2324" w:type="dxa"/>
            <w:vAlign w:val="center"/>
          </w:tcPr>
          <w:p w:rsidR="00B80B69" w:rsidRPr="00CC2DAA" w:rsidRDefault="00B80B69" w:rsidP="00B80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Прочие инвестиции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9 590,6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1 971,5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-172,1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11 390,1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1 578,8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-222,7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12 746,2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color w:val="000000"/>
                <w:sz w:val="20"/>
                <w:szCs w:val="20"/>
              </w:rPr>
              <w:t xml:space="preserve">1 233,5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color w:val="000000"/>
                <w:sz w:val="20"/>
                <w:szCs w:val="20"/>
              </w:rPr>
              <w:t xml:space="preserve">20,6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color w:val="000000"/>
                <w:sz w:val="20"/>
                <w:szCs w:val="20"/>
              </w:rPr>
              <w:t xml:space="preserve">14 000,3 </w:t>
            </w:r>
          </w:p>
        </w:tc>
      </w:tr>
      <w:tr w:rsidR="00B80B69" w:rsidRPr="000862FF" w:rsidTr="00251F89">
        <w:trPr>
          <w:trHeight w:val="510"/>
        </w:trPr>
        <w:tc>
          <w:tcPr>
            <w:tcW w:w="2324" w:type="dxa"/>
            <w:vAlign w:val="center"/>
          </w:tcPr>
          <w:p w:rsidR="00B80B69" w:rsidRPr="00CC2DAA" w:rsidRDefault="00B80B69" w:rsidP="00B80B69">
            <w:pPr>
              <w:autoSpaceDE w:val="0"/>
              <w:autoSpaceDN w:val="0"/>
              <w:adjustRightInd w:val="0"/>
              <w:ind w:left="179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из них ссуды и займы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8 864,4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1 924,9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-145,9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10 643,5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1 547,1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-204,8 </w:t>
            </w:r>
          </w:p>
        </w:tc>
        <w:tc>
          <w:tcPr>
            <w:tcW w:w="1276" w:type="dxa"/>
            <w:vAlign w:val="center"/>
          </w:tcPr>
          <w:p w:rsidR="00B80B69" w:rsidRPr="00B80B69" w:rsidRDefault="00B80B69" w:rsidP="00B80B69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B80B6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11 985,8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1 230,9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32,1 </w:t>
            </w:r>
          </w:p>
        </w:tc>
        <w:tc>
          <w:tcPr>
            <w:tcW w:w="1276" w:type="dxa"/>
            <w:vAlign w:val="center"/>
          </w:tcPr>
          <w:p w:rsidR="00B80B69" w:rsidRPr="00AB2254" w:rsidRDefault="00B80B69" w:rsidP="00B80B69">
            <w:pPr>
              <w:ind w:right="93"/>
              <w:jc w:val="right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AB2254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13 248,9 </w:t>
            </w:r>
          </w:p>
        </w:tc>
      </w:tr>
    </w:tbl>
    <w:p w:rsidR="00CC2DAA" w:rsidRDefault="00CC2DA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01D16" w:rsidRPr="00CC2DAA" w:rsidRDefault="00E01D16" w:rsidP="00E01D16">
      <w:pPr>
        <w:jc w:val="right"/>
        <w:rPr>
          <w:i/>
          <w:sz w:val="22"/>
          <w:szCs w:val="22"/>
          <w:lang w:val="uz-Cyrl-UZ"/>
        </w:rPr>
      </w:pPr>
      <w:r w:rsidRPr="00C75833">
        <w:rPr>
          <w:i/>
          <w:sz w:val="22"/>
          <w:szCs w:val="22"/>
        </w:rPr>
        <w:lastRenderedPageBreak/>
        <w:t>Приложение 12.1</w:t>
      </w:r>
      <w:r>
        <w:rPr>
          <w:i/>
          <w:sz w:val="22"/>
          <w:szCs w:val="22"/>
          <w:lang w:val="uz-Cyrl-UZ"/>
        </w:rPr>
        <w:t>.2</w:t>
      </w:r>
    </w:p>
    <w:p w:rsidR="00E01D16" w:rsidRPr="006B246F" w:rsidRDefault="00E01D16" w:rsidP="00E01D16">
      <w:pPr>
        <w:pStyle w:val="1"/>
        <w:ind w:left="0"/>
        <w:jc w:val="center"/>
        <w:rPr>
          <w:rFonts w:ascii="Calibri" w:hAnsi="Calibri"/>
          <w:sz w:val="26"/>
          <w:szCs w:val="26"/>
          <w:lang w:val="uz-Cyrl-UZ"/>
        </w:rPr>
      </w:pPr>
      <w:bookmarkStart w:id="37" w:name="_Toc35458632"/>
      <w:r w:rsidRPr="006B246F">
        <w:rPr>
          <w:rFonts w:ascii="Calibri" w:hAnsi="Calibri"/>
          <w:sz w:val="26"/>
          <w:szCs w:val="26"/>
        </w:rPr>
        <w:t>МЕЖДУНАРОДНАЯ ИНВЕСТИЦИОННАЯ ПОЗИЦИЯ ЗА 201</w:t>
      </w:r>
      <w:r w:rsidR="00403595" w:rsidRPr="006B246F">
        <w:rPr>
          <w:rFonts w:ascii="Calibri" w:hAnsi="Calibri"/>
          <w:sz w:val="26"/>
          <w:szCs w:val="26"/>
          <w:lang w:val="ru-RU"/>
        </w:rPr>
        <w:t>7</w:t>
      </w:r>
      <w:r w:rsidRPr="006B246F">
        <w:rPr>
          <w:rFonts w:ascii="Calibri" w:hAnsi="Calibri"/>
          <w:sz w:val="26"/>
          <w:szCs w:val="26"/>
          <w:lang w:val="uz-Cyrl-UZ"/>
        </w:rPr>
        <w:t>-201</w:t>
      </w:r>
      <w:r w:rsidR="00403595" w:rsidRPr="006B246F">
        <w:rPr>
          <w:rFonts w:ascii="Calibri" w:hAnsi="Calibri"/>
          <w:sz w:val="26"/>
          <w:szCs w:val="26"/>
          <w:lang w:val="uz-Cyrl-UZ"/>
        </w:rPr>
        <w:t>9</w:t>
      </w:r>
      <w:r w:rsidRPr="006B246F">
        <w:rPr>
          <w:rFonts w:ascii="Calibri" w:hAnsi="Calibri"/>
          <w:sz w:val="26"/>
          <w:szCs w:val="26"/>
        </w:rPr>
        <w:t xml:space="preserve"> Г</w:t>
      </w:r>
      <w:r w:rsidRPr="006B246F">
        <w:rPr>
          <w:rFonts w:ascii="Calibri" w:hAnsi="Calibri"/>
          <w:sz w:val="26"/>
          <w:szCs w:val="26"/>
          <w:lang w:val="uz-Cyrl-UZ"/>
        </w:rPr>
        <w:t>Г.</w:t>
      </w:r>
      <w:bookmarkEnd w:id="37"/>
    </w:p>
    <w:p w:rsidR="00E01D16" w:rsidRDefault="00E01D16" w:rsidP="00E01D16">
      <w:pPr>
        <w:jc w:val="center"/>
        <w:rPr>
          <w:i/>
          <w:iCs/>
          <w:color w:val="000000"/>
          <w:sz w:val="22"/>
          <w:szCs w:val="22"/>
        </w:rPr>
      </w:pPr>
      <w:r w:rsidRPr="00C75833">
        <w:rPr>
          <w:i/>
          <w:iCs/>
          <w:color w:val="000000"/>
          <w:sz w:val="22"/>
          <w:szCs w:val="22"/>
        </w:rPr>
        <w:t>(в разбивке по основным компонентам)</w:t>
      </w:r>
    </w:p>
    <w:p w:rsidR="00E01D16" w:rsidRPr="00343190" w:rsidRDefault="00E01D16" w:rsidP="00E01D16">
      <w:pPr>
        <w:jc w:val="right"/>
        <w:rPr>
          <w:i/>
          <w:iCs/>
          <w:color w:val="000000"/>
          <w:sz w:val="20"/>
          <w:szCs w:val="20"/>
        </w:rPr>
      </w:pPr>
      <w:r w:rsidRPr="00343190">
        <w:rPr>
          <w:i/>
          <w:iCs/>
          <w:color w:val="000000"/>
          <w:sz w:val="20"/>
          <w:szCs w:val="20"/>
        </w:rPr>
        <w:t>(млн. долл.)</w:t>
      </w:r>
    </w:p>
    <w:tbl>
      <w:tblPr>
        <w:tblW w:w="1508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20"/>
      </w:tblPr>
      <w:tblGrid>
        <w:gridCol w:w="2324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E01D16" w:rsidRPr="000862FF" w:rsidTr="00B85C09">
        <w:trPr>
          <w:trHeight w:val="988"/>
        </w:trPr>
        <w:tc>
          <w:tcPr>
            <w:tcW w:w="2324" w:type="dxa"/>
            <w:vAlign w:val="center"/>
          </w:tcPr>
          <w:p w:rsidR="00E01D16" w:rsidRPr="000862FF" w:rsidRDefault="00E01D16" w:rsidP="00B85C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E01D16" w:rsidRPr="000862FF" w:rsidRDefault="00E01D16" w:rsidP="00B85C09">
            <w:pPr>
              <w:autoSpaceDE w:val="0"/>
              <w:autoSpaceDN w:val="0"/>
              <w:adjustRightInd w:val="0"/>
              <w:ind w:right="8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276" w:type="dxa"/>
            <w:vAlign w:val="center"/>
          </w:tcPr>
          <w:p w:rsidR="00E01D16" w:rsidRPr="00CC2DAA" w:rsidRDefault="00E01D16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Операции платёжного баланса</w:t>
            </w:r>
          </w:p>
        </w:tc>
        <w:tc>
          <w:tcPr>
            <w:tcW w:w="1276" w:type="dxa"/>
            <w:vAlign w:val="center"/>
          </w:tcPr>
          <w:p w:rsidR="00E01D16" w:rsidRPr="00CC2DAA" w:rsidRDefault="00E01D16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Неопера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ционные изменения</w:t>
            </w:r>
          </w:p>
        </w:tc>
        <w:tc>
          <w:tcPr>
            <w:tcW w:w="1276" w:type="dxa"/>
            <w:vAlign w:val="center"/>
          </w:tcPr>
          <w:p w:rsidR="00E01D16" w:rsidRPr="000862FF" w:rsidRDefault="00E01D16" w:rsidP="00B85C09">
            <w:pPr>
              <w:autoSpaceDE w:val="0"/>
              <w:autoSpaceDN w:val="0"/>
              <w:adjustRightInd w:val="0"/>
              <w:ind w:right="119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vAlign w:val="center"/>
          </w:tcPr>
          <w:p w:rsidR="00E01D16" w:rsidRPr="00CC2DAA" w:rsidRDefault="00E01D16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Операции платёжного баланса</w:t>
            </w:r>
          </w:p>
        </w:tc>
        <w:tc>
          <w:tcPr>
            <w:tcW w:w="1276" w:type="dxa"/>
            <w:vAlign w:val="center"/>
          </w:tcPr>
          <w:p w:rsidR="00E01D16" w:rsidRPr="00CC2DAA" w:rsidRDefault="00E01D16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Неопера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ционные изменения</w:t>
            </w:r>
          </w:p>
        </w:tc>
        <w:tc>
          <w:tcPr>
            <w:tcW w:w="1276" w:type="dxa"/>
            <w:vAlign w:val="center"/>
          </w:tcPr>
          <w:p w:rsidR="00E01D16" w:rsidRPr="000862FF" w:rsidRDefault="00E01D16" w:rsidP="00B85C09">
            <w:pPr>
              <w:autoSpaceDE w:val="0"/>
              <w:autoSpaceDN w:val="0"/>
              <w:adjustRightInd w:val="0"/>
              <w:ind w:right="14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z-Cyrl-U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1276" w:type="dxa"/>
            <w:vAlign w:val="center"/>
          </w:tcPr>
          <w:p w:rsidR="00E01D16" w:rsidRPr="00CC2DAA" w:rsidRDefault="00E01D16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Операции платёжного баланса</w:t>
            </w:r>
          </w:p>
        </w:tc>
        <w:tc>
          <w:tcPr>
            <w:tcW w:w="1276" w:type="dxa"/>
            <w:vAlign w:val="center"/>
          </w:tcPr>
          <w:p w:rsidR="00E01D16" w:rsidRPr="00CC2DAA" w:rsidRDefault="00E01D16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Неопера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ционные изменения</w:t>
            </w:r>
          </w:p>
        </w:tc>
        <w:tc>
          <w:tcPr>
            <w:tcW w:w="1276" w:type="dxa"/>
            <w:vAlign w:val="center"/>
          </w:tcPr>
          <w:p w:rsidR="00E01D16" w:rsidRPr="000862FF" w:rsidRDefault="00E01D16" w:rsidP="00B85C09">
            <w:pPr>
              <w:autoSpaceDE w:val="0"/>
              <w:autoSpaceDN w:val="0"/>
              <w:adjustRightInd w:val="0"/>
              <w:ind w:right="35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z-Cyrl-U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01.01.2020</w:t>
            </w:r>
          </w:p>
        </w:tc>
      </w:tr>
      <w:tr w:rsidR="00E01D16" w:rsidRPr="000862FF" w:rsidTr="00B85C09">
        <w:trPr>
          <w:trHeight w:val="510"/>
        </w:trPr>
        <w:tc>
          <w:tcPr>
            <w:tcW w:w="2324" w:type="dxa"/>
            <w:shd w:val="clear" w:color="auto" w:fill="DEEAF6"/>
            <w:vAlign w:val="center"/>
          </w:tcPr>
          <w:p w:rsidR="00E01D16" w:rsidRPr="00CC2DAA" w:rsidRDefault="00E01D16" w:rsidP="00E0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Чистая инвестиционная позиция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15 280,3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-827,0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2 048,9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16 502,3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-2 975,0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2 272,2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15 799,5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-6 451,1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2 974,4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12 322,9 </w:t>
            </w:r>
          </w:p>
        </w:tc>
      </w:tr>
      <w:tr w:rsidR="00E01D16" w:rsidRPr="000862FF" w:rsidTr="00B85C09">
        <w:trPr>
          <w:trHeight w:val="510"/>
        </w:trPr>
        <w:tc>
          <w:tcPr>
            <w:tcW w:w="2324" w:type="dxa"/>
            <w:shd w:val="clear" w:color="auto" w:fill="DEEAF6"/>
            <w:vAlign w:val="center"/>
          </w:tcPr>
          <w:p w:rsidR="00E01D16" w:rsidRPr="00CC2DAA" w:rsidRDefault="00E01D16" w:rsidP="00E0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Активы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37 950,2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2 575,7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1 939,2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42 465,2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-13,4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552,2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43 004,0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3 147,5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1 692,8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47 844,3 </w:t>
            </w:r>
          </w:p>
        </w:tc>
      </w:tr>
      <w:tr w:rsidR="00E01D16" w:rsidRPr="000862FF" w:rsidTr="00B85C09">
        <w:trPr>
          <w:trHeight w:val="510"/>
        </w:trPr>
        <w:tc>
          <w:tcPr>
            <w:tcW w:w="2324" w:type="dxa"/>
            <w:vAlign w:val="center"/>
          </w:tcPr>
          <w:p w:rsidR="00E01D16" w:rsidRPr="00CC2DAA" w:rsidRDefault="00E01D16" w:rsidP="00E0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Прямые инвестиции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177,8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9,0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0,1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186,9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1,9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0,5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189,3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2,5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0,1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192,0 </w:t>
            </w:r>
          </w:p>
        </w:tc>
      </w:tr>
      <w:tr w:rsidR="00E01D16" w:rsidRPr="000862FF" w:rsidTr="00B85C09">
        <w:trPr>
          <w:trHeight w:val="510"/>
        </w:trPr>
        <w:tc>
          <w:tcPr>
            <w:tcW w:w="2324" w:type="dxa"/>
            <w:vAlign w:val="center"/>
          </w:tcPr>
          <w:p w:rsidR="00E01D16" w:rsidRPr="00CC2DAA" w:rsidRDefault="00E01D16" w:rsidP="00E0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Портфельные инвестиции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1,2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1,2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-0,0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1,2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1,2 </w:t>
            </w:r>
          </w:p>
        </w:tc>
      </w:tr>
      <w:tr w:rsidR="00E01D16" w:rsidRPr="000862FF" w:rsidTr="00B85C09">
        <w:trPr>
          <w:trHeight w:val="510"/>
        </w:trPr>
        <w:tc>
          <w:tcPr>
            <w:tcW w:w="2324" w:type="dxa"/>
            <w:vAlign w:val="center"/>
          </w:tcPr>
          <w:p w:rsidR="00E01D16" w:rsidRPr="00CC2DAA" w:rsidRDefault="00E01D16" w:rsidP="00E0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Прочие инвестиции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11 342,5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2 822,7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35,1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14 200,2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1 548,4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-16,5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15 732,1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1 738,3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1 008,5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18 479,0 </w:t>
            </w:r>
          </w:p>
        </w:tc>
      </w:tr>
      <w:tr w:rsidR="00E01D16" w:rsidRPr="000862FF" w:rsidTr="00B85C09">
        <w:trPr>
          <w:trHeight w:val="510"/>
        </w:trPr>
        <w:tc>
          <w:tcPr>
            <w:tcW w:w="2324" w:type="dxa"/>
            <w:vAlign w:val="center"/>
          </w:tcPr>
          <w:p w:rsidR="00E01D16" w:rsidRPr="00CC2DAA" w:rsidRDefault="00E01D16" w:rsidP="00E01D16">
            <w:pPr>
              <w:autoSpaceDE w:val="0"/>
              <w:autoSpaceDN w:val="0"/>
              <w:adjustRightInd w:val="0"/>
              <w:ind w:left="179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из них валюта и депозиты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8 709,6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2 480,6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35,1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11 225,3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842,8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-16,5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12 051,5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591,0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1 008,5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13 651,1 </w:t>
            </w:r>
          </w:p>
        </w:tc>
      </w:tr>
      <w:tr w:rsidR="00E01D16" w:rsidRPr="000862FF" w:rsidTr="00B85C09">
        <w:trPr>
          <w:trHeight w:val="510"/>
        </w:trPr>
        <w:tc>
          <w:tcPr>
            <w:tcW w:w="2324" w:type="dxa"/>
            <w:vAlign w:val="center"/>
          </w:tcPr>
          <w:p w:rsidR="00E01D16" w:rsidRPr="00CC2DAA" w:rsidRDefault="00E01D16" w:rsidP="00E0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Резервные активы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26 428,8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-256,0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1 904,0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28 076,9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-1 563,7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568,2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27 081,4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1 406,6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684,2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29 172,1 </w:t>
            </w:r>
          </w:p>
        </w:tc>
      </w:tr>
      <w:tr w:rsidR="00E01D16" w:rsidRPr="000862FF" w:rsidTr="00B85C09">
        <w:trPr>
          <w:trHeight w:val="510"/>
        </w:trPr>
        <w:tc>
          <w:tcPr>
            <w:tcW w:w="2324" w:type="dxa"/>
            <w:shd w:val="clear" w:color="auto" w:fill="DEEAF6"/>
            <w:vAlign w:val="center"/>
          </w:tcPr>
          <w:p w:rsidR="00E01D16" w:rsidRPr="00CC2DAA" w:rsidRDefault="00E01D16" w:rsidP="00E0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Обязательства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22 669,9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3 402,7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-109,7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25 962,9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2 961,6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-1 720,0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27 204,5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9 598,5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-1 281,6 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35 521,4 </w:t>
            </w:r>
          </w:p>
        </w:tc>
      </w:tr>
      <w:tr w:rsidR="00E01D16" w:rsidRPr="000862FF" w:rsidTr="00B85C09">
        <w:trPr>
          <w:trHeight w:val="510"/>
        </w:trPr>
        <w:tc>
          <w:tcPr>
            <w:tcW w:w="2324" w:type="dxa"/>
            <w:vAlign w:val="center"/>
          </w:tcPr>
          <w:p w:rsidR="00E01D16" w:rsidRPr="00CC2DAA" w:rsidRDefault="00E01D16" w:rsidP="00E0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Прямые инвестиции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8 660,2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1 797,3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-413,6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10 043,9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624,7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-1 676,3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8 992,3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2 286,3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-1 774,6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9 504,1 </w:t>
            </w:r>
          </w:p>
        </w:tc>
      </w:tr>
      <w:tr w:rsidR="00E01D16" w:rsidRPr="000862FF" w:rsidTr="00B85C09">
        <w:trPr>
          <w:trHeight w:val="510"/>
        </w:trPr>
        <w:tc>
          <w:tcPr>
            <w:tcW w:w="2324" w:type="dxa"/>
            <w:vAlign w:val="center"/>
          </w:tcPr>
          <w:p w:rsidR="00E01D16" w:rsidRPr="00CC2DAA" w:rsidRDefault="00E01D16" w:rsidP="00E0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Портфельные инвестиции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9,4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3,1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-3,5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9,0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13,0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22,5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44,6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1 345,7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76,1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1 466,4 </w:t>
            </w:r>
          </w:p>
        </w:tc>
      </w:tr>
      <w:tr w:rsidR="00E01D16" w:rsidRPr="000862FF" w:rsidTr="00B85C09">
        <w:trPr>
          <w:trHeight w:val="510"/>
        </w:trPr>
        <w:tc>
          <w:tcPr>
            <w:tcW w:w="2324" w:type="dxa"/>
            <w:vAlign w:val="center"/>
          </w:tcPr>
          <w:p w:rsidR="00E01D16" w:rsidRPr="00CC2DAA" w:rsidRDefault="00E01D16" w:rsidP="00E0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Финансовые деривативы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-1,3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4,9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3,6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-4,3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4,4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3,8 </w:t>
            </w:r>
          </w:p>
        </w:tc>
      </w:tr>
      <w:tr w:rsidR="00E01D16" w:rsidRPr="000862FF" w:rsidTr="00B85C09">
        <w:trPr>
          <w:trHeight w:val="510"/>
        </w:trPr>
        <w:tc>
          <w:tcPr>
            <w:tcW w:w="2324" w:type="dxa"/>
            <w:vAlign w:val="center"/>
          </w:tcPr>
          <w:p w:rsidR="00E01D16" w:rsidRPr="00CC2DAA" w:rsidRDefault="00E01D16" w:rsidP="00E01D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Прочие инвестиции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14 000,3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1 602,2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307,5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15 909,9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2 325,1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-71,1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18 163,9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5 970,7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412,5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24 547,1 </w:t>
            </w:r>
          </w:p>
        </w:tc>
      </w:tr>
      <w:tr w:rsidR="00E01D16" w:rsidRPr="000862FF" w:rsidTr="00B85C09">
        <w:trPr>
          <w:trHeight w:val="510"/>
        </w:trPr>
        <w:tc>
          <w:tcPr>
            <w:tcW w:w="2324" w:type="dxa"/>
            <w:vAlign w:val="center"/>
          </w:tcPr>
          <w:p w:rsidR="00E01D16" w:rsidRPr="00CC2DAA" w:rsidRDefault="00E01D16" w:rsidP="00E01D16">
            <w:pPr>
              <w:autoSpaceDE w:val="0"/>
              <w:autoSpaceDN w:val="0"/>
              <w:adjustRightInd w:val="0"/>
              <w:ind w:left="179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из них ссуды и займы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13 248,9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930,8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303,7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14 483,4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2 145,8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-56,8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16 572,3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5 609,6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-115,9 </w:t>
            </w:r>
          </w:p>
        </w:tc>
        <w:tc>
          <w:tcPr>
            <w:tcW w:w="1276" w:type="dxa"/>
            <w:vAlign w:val="center"/>
          </w:tcPr>
          <w:p w:rsidR="00E01D16" w:rsidRPr="00E01D16" w:rsidRDefault="00E01D16" w:rsidP="00E01D16">
            <w:pPr>
              <w:jc w:val="right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  <w:r w:rsidRPr="00E01D16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22 066,0 </w:t>
            </w:r>
          </w:p>
        </w:tc>
      </w:tr>
    </w:tbl>
    <w:p w:rsidR="00E01D16" w:rsidRDefault="00E01D16" w:rsidP="00E01D1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5079" w:type="dxa"/>
        <w:tblInd w:w="103" w:type="dxa"/>
        <w:tblLook w:val="04A0"/>
      </w:tblPr>
      <w:tblGrid>
        <w:gridCol w:w="14857"/>
        <w:gridCol w:w="222"/>
      </w:tblGrid>
      <w:tr w:rsidR="006A21C0" w:rsidRPr="006F08D3" w:rsidTr="006A21C0">
        <w:trPr>
          <w:trHeight w:val="283"/>
        </w:trPr>
        <w:tc>
          <w:tcPr>
            <w:tcW w:w="14857" w:type="dxa"/>
            <w:shd w:val="clear" w:color="auto" w:fill="auto"/>
            <w:noWrap/>
            <w:vAlign w:val="center"/>
          </w:tcPr>
          <w:p w:rsidR="006A21C0" w:rsidRPr="00C75833" w:rsidRDefault="00EC0010" w:rsidP="00E70DFC">
            <w:pPr>
              <w:ind w:right="-102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F08D3">
              <w:br w:type="page"/>
            </w:r>
            <w:r w:rsidR="006A21C0" w:rsidRPr="00C75833">
              <w:rPr>
                <w:i/>
                <w:iCs/>
                <w:color w:val="000000"/>
                <w:sz w:val="22"/>
                <w:szCs w:val="22"/>
              </w:rPr>
              <w:t>Приложение 12.2</w:t>
            </w:r>
            <w:r w:rsidR="00403595">
              <w:rPr>
                <w:i/>
                <w:i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222" w:type="dxa"/>
          </w:tcPr>
          <w:p w:rsidR="006A21C0" w:rsidRPr="006F08D3" w:rsidRDefault="006A21C0" w:rsidP="00E70DFC">
            <w:pPr>
              <w:ind w:right="-102"/>
              <w:jc w:val="right"/>
              <w:rPr>
                <w:i/>
                <w:iCs/>
                <w:color w:val="000000"/>
              </w:rPr>
            </w:pPr>
          </w:p>
        </w:tc>
      </w:tr>
    </w:tbl>
    <w:p w:rsidR="00B57D91" w:rsidRPr="006B246F" w:rsidRDefault="002E0F0B" w:rsidP="006B6793">
      <w:pPr>
        <w:pStyle w:val="1"/>
        <w:ind w:left="0"/>
        <w:jc w:val="center"/>
        <w:rPr>
          <w:rFonts w:ascii="Calibri" w:hAnsi="Calibri"/>
          <w:sz w:val="26"/>
          <w:szCs w:val="26"/>
        </w:rPr>
      </w:pPr>
      <w:bookmarkStart w:id="38" w:name="_Toc533515547"/>
      <w:bookmarkStart w:id="39" w:name="_Toc35458633"/>
      <w:r w:rsidRPr="006B246F">
        <w:rPr>
          <w:rFonts w:ascii="Calibri" w:hAnsi="Calibri"/>
          <w:sz w:val="26"/>
          <w:szCs w:val="26"/>
        </w:rPr>
        <w:t>МЕЖДУНАРОДНАЯ ИНВЕСТИЦИОННАЯ ПОЗИЦИЯ СЕКТОРА ГОСУДАРСТВЕННОГО УПРАВЛЕНИЯ</w:t>
      </w:r>
      <w:bookmarkEnd w:id="38"/>
      <w:r w:rsidR="00403595" w:rsidRPr="006B246F">
        <w:rPr>
          <w:rFonts w:ascii="Calibri" w:hAnsi="Calibri"/>
          <w:sz w:val="26"/>
          <w:szCs w:val="26"/>
        </w:rPr>
        <w:t xml:space="preserve"> ЗА 2014-2016</w:t>
      </w:r>
      <w:r w:rsidRPr="006B246F">
        <w:rPr>
          <w:rFonts w:ascii="Calibri" w:hAnsi="Calibri"/>
          <w:sz w:val="26"/>
          <w:szCs w:val="26"/>
        </w:rPr>
        <w:t xml:space="preserve"> Г</w:t>
      </w:r>
      <w:r w:rsidR="00403595" w:rsidRPr="006B246F">
        <w:rPr>
          <w:rFonts w:ascii="Calibri" w:hAnsi="Calibri"/>
          <w:sz w:val="26"/>
          <w:szCs w:val="26"/>
          <w:lang w:val="ru-RU"/>
        </w:rPr>
        <w:t>Г.</w:t>
      </w:r>
      <w:bookmarkEnd w:id="39"/>
    </w:p>
    <w:p w:rsidR="00353B97" w:rsidRPr="00C75833" w:rsidRDefault="00B57D91" w:rsidP="00BD5534">
      <w:pPr>
        <w:jc w:val="center"/>
        <w:rPr>
          <w:sz w:val="22"/>
          <w:szCs w:val="22"/>
        </w:rPr>
      </w:pPr>
      <w:r w:rsidRPr="00C75833">
        <w:rPr>
          <w:i/>
          <w:iCs/>
          <w:color w:val="000000"/>
          <w:sz w:val="22"/>
          <w:szCs w:val="22"/>
        </w:rPr>
        <w:t>(в разбивке по основным компонентам)</w:t>
      </w:r>
      <w:r w:rsidR="00BD5534" w:rsidRPr="00C75833">
        <w:rPr>
          <w:i/>
          <w:iCs/>
          <w:color w:val="000000"/>
          <w:sz w:val="22"/>
          <w:szCs w:val="22"/>
        </w:rPr>
        <w:t xml:space="preserve"> </w:t>
      </w:r>
    </w:p>
    <w:p w:rsidR="00403595" w:rsidRPr="00343190" w:rsidRDefault="00403595" w:rsidP="00403595">
      <w:pPr>
        <w:jc w:val="right"/>
        <w:rPr>
          <w:i/>
          <w:iCs/>
          <w:color w:val="000000"/>
          <w:sz w:val="20"/>
          <w:szCs w:val="20"/>
        </w:rPr>
      </w:pPr>
      <w:r w:rsidRPr="00343190">
        <w:rPr>
          <w:i/>
          <w:iCs/>
          <w:color w:val="000000"/>
          <w:sz w:val="20"/>
          <w:szCs w:val="20"/>
        </w:rPr>
        <w:t>(млн. долл.)</w:t>
      </w:r>
    </w:p>
    <w:tbl>
      <w:tblPr>
        <w:tblW w:w="1508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20"/>
      </w:tblPr>
      <w:tblGrid>
        <w:gridCol w:w="2324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403595" w:rsidRPr="000862FF" w:rsidTr="00B85C09">
        <w:trPr>
          <w:trHeight w:val="988"/>
        </w:trPr>
        <w:tc>
          <w:tcPr>
            <w:tcW w:w="2324" w:type="dxa"/>
            <w:vAlign w:val="center"/>
          </w:tcPr>
          <w:p w:rsidR="00403595" w:rsidRPr="000862FF" w:rsidRDefault="00403595" w:rsidP="00B85C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403595" w:rsidRPr="000862FF" w:rsidRDefault="00403595" w:rsidP="00B85C09">
            <w:pPr>
              <w:autoSpaceDE w:val="0"/>
              <w:autoSpaceDN w:val="0"/>
              <w:adjustRightInd w:val="0"/>
              <w:ind w:right="8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862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vAlign w:val="center"/>
          </w:tcPr>
          <w:p w:rsidR="00403595" w:rsidRPr="00CC2DAA" w:rsidRDefault="00403595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Операции платёжного баланса</w:t>
            </w:r>
          </w:p>
        </w:tc>
        <w:tc>
          <w:tcPr>
            <w:tcW w:w="1276" w:type="dxa"/>
            <w:vAlign w:val="center"/>
          </w:tcPr>
          <w:p w:rsidR="00403595" w:rsidRPr="00CC2DAA" w:rsidRDefault="00403595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Неопера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ционные изменения</w:t>
            </w:r>
          </w:p>
        </w:tc>
        <w:tc>
          <w:tcPr>
            <w:tcW w:w="1276" w:type="dxa"/>
            <w:vAlign w:val="center"/>
          </w:tcPr>
          <w:p w:rsidR="00403595" w:rsidRPr="000862FF" w:rsidRDefault="00403595" w:rsidP="00B85C09">
            <w:pPr>
              <w:autoSpaceDE w:val="0"/>
              <w:autoSpaceDN w:val="0"/>
              <w:adjustRightInd w:val="0"/>
              <w:ind w:right="119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862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1276" w:type="dxa"/>
            <w:vAlign w:val="center"/>
          </w:tcPr>
          <w:p w:rsidR="00403595" w:rsidRPr="00CC2DAA" w:rsidRDefault="00403595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Операции платёжного баланса</w:t>
            </w:r>
          </w:p>
        </w:tc>
        <w:tc>
          <w:tcPr>
            <w:tcW w:w="1276" w:type="dxa"/>
            <w:vAlign w:val="center"/>
          </w:tcPr>
          <w:p w:rsidR="00403595" w:rsidRPr="00CC2DAA" w:rsidRDefault="00403595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Неопера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ционные изменения</w:t>
            </w:r>
          </w:p>
        </w:tc>
        <w:tc>
          <w:tcPr>
            <w:tcW w:w="1276" w:type="dxa"/>
            <w:vAlign w:val="center"/>
          </w:tcPr>
          <w:p w:rsidR="00403595" w:rsidRPr="000862FF" w:rsidRDefault="00403595" w:rsidP="00B85C09">
            <w:pPr>
              <w:autoSpaceDE w:val="0"/>
              <w:autoSpaceDN w:val="0"/>
              <w:adjustRightInd w:val="0"/>
              <w:ind w:right="14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z-Cyrl-UZ"/>
              </w:rPr>
            </w:pPr>
            <w:r w:rsidRPr="000862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1276" w:type="dxa"/>
            <w:vAlign w:val="center"/>
          </w:tcPr>
          <w:p w:rsidR="00403595" w:rsidRPr="00CC2DAA" w:rsidRDefault="00403595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Операции платёжного баланса</w:t>
            </w:r>
          </w:p>
        </w:tc>
        <w:tc>
          <w:tcPr>
            <w:tcW w:w="1276" w:type="dxa"/>
            <w:vAlign w:val="center"/>
          </w:tcPr>
          <w:p w:rsidR="00403595" w:rsidRPr="00CC2DAA" w:rsidRDefault="00403595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Неопера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ционные изменения</w:t>
            </w:r>
          </w:p>
        </w:tc>
        <w:tc>
          <w:tcPr>
            <w:tcW w:w="1276" w:type="dxa"/>
            <w:vAlign w:val="center"/>
          </w:tcPr>
          <w:p w:rsidR="00403595" w:rsidRPr="000862FF" w:rsidRDefault="00403595" w:rsidP="00B85C09">
            <w:pPr>
              <w:autoSpaceDE w:val="0"/>
              <w:autoSpaceDN w:val="0"/>
              <w:adjustRightInd w:val="0"/>
              <w:ind w:right="35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z-Cyrl-UZ"/>
              </w:rPr>
            </w:pPr>
            <w:r w:rsidRPr="000862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01.01.2017</w:t>
            </w:r>
          </w:p>
        </w:tc>
      </w:tr>
      <w:tr w:rsidR="00B0225C" w:rsidRPr="000862FF" w:rsidTr="00B85C09">
        <w:trPr>
          <w:trHeight w:val="510"/>
        </w:trPr>
        <w:tc>
          <w:tcPr>
            <w:tcW w:w="2324" w:type="dxa"/>
            <w:shd w:val="clear" w:color="auto" w:fill="DEEAF6"/>
            <w:vAlign w:val="center"/>
          </w:tcPr>
          <w:p w:rsidR="00B0225C" w:rsidRPr="00CC2DAA" w:rsidRDefault="00B0225C" w:rsidP="00B022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Чистая инвестиционная позиция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17 773,3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-914,4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2 193,5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19 052,4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-868,1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181,7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18 366,0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-299,8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1 537,2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19 603,5</w:t>
            </w:r>
          </w:p>
        </w:tc>
      </w:tr>
      <w:tr w:rsidR="00B0225C" w:rsidRPr="000862FF" w:rsidTr="00B85C09">
        <w:trPr>
          <w:trHeight w:val="510"/>
        </w:trPr>
        <w:tc>
          <w:tcPr>
            <w:tcW w:w="2324" w:type="dxa"/>
            <w:shd w:val="clear" w:color="auto" w:fill="DEEAF6"/>
            <w:vAlign w:val="center"/>
          </w:tcPr>
          <w:p w:rsidR="00B0225C" w:rsidRPr="00CC2DAA" w:rsidRDefault="00B0225C" w:rsidP="00B022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Активы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22 504,0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-378,3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2 025,8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24 151,6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-50,6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24 310,2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551,9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1 569,6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26 431,8</w:t>
            </w:r>
          </w:p>
        </w:tc>
      </w:tr>
      <w:tr w:rsidR="00B0225C" w:rsidRPr="000862FF" w:rsidTr="00403595">
        <w:trPr>
          <w:trHeight w:val="510"/>
        </w:trPr>
        <w:tc>
          <w:tcPr>
            <w:tcW w:w="2324" w:type="dxa"/>
            <w:vAlign w:val="center"/>
          </w:tcPr>
          <w:p w:rsidR="00B0225C" w:rsidRPr="00403595" w:rsidRDefault="00B0225C" w:rsidP="00B0225C">
            <w:pPr>
              <w:rPr>
                <w:sz w:val="20"/>
                <w:szCs w:val="20"/>
              </w:rPr>
            </w:pPr>
            <w:r w:rsidRPr="00403595">
              <w:rPr>
                <w:sz w:val="20"/>
                <w:szCs w:val="20"/>
              </w:rPr>
              <w:t xml:space="preserve">Монетарное золото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8 398,9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2 193,9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10 592,9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47,8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10 640,7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1 615,9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12 256,6</w:t>
            </w:r>
          </w:p>
        </w:tc>
      </w:tr>
      <w:tr w:rsidR="00B0225C" w:rsidRPr="000862FF" w:rsidTr="00403595">
        <w:trPr>
          <w:trHeight w:val="510"/>
        </w:trPr>
        <w:tc>
          <w:tcPr>
            <w:tcW w:w="2324" w:type="dxa"/>
            <w:vAlign w:val="center"/>
          </w:tcPr>
          <w:p w:rsidR="00B0225C" w:rsidRPr="00403595" w:rsidRDefault="00B0225C" w:rsidP="00B0225C">
            <w:pPr>
              <w:rPr>
                <w:sz w:val="20"/>
                <w:szCs w:val="20"/>
              </w:rPr>
            </w:pPr>
            <w:r w:rsidRPr="00403595">
              <w:rPr>
                <w:sz w:val="20"/>
                <w:szCs w:val="20"/>
              </w:rPr>
              <w:t>Специальные права заимствования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409,8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-24,3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385,5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-0,0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-16,8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-11,0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357,7</w:t>
            </w:r>
          </w:p>
        </w:tc>
      </w:tr>
      <w:tr w:rsidR="00B0225C" w:rsidRPr="000862FF" w:rsidTr="00403595">
        <w:trPr>
          <w:trHeight w:val="510"/>
        </w:trPr>
        <w:tc>
          <w:tcPr>
            <w:tcW w:w="2324" w:type="dxa"/>
            <w:vAlign w:val="center"/>
          </w:tcPr>
          <w:p w:rsidR="00B0225C" w:rsidRPr="00403595" w:rsidRDefault="00B0225C" w:rsidP="00B0225C">
            <w:pPr>
              <w:rPr>
                <w:sz w:val="20"/>
                <w:szCs w:val="20"/>
              </w:rPr>
            </w:pPr>
            <w:r w:rsidRPr="00403595">
              <w:rPr>
                <w:sz w:val="20"/>
                <w:szCs w:val="20"/>
              </w:rPr>
              <w:t>Резервная позиция в МВФ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-0,0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-0,0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B0225C" w:rsidRPr="000862FF" w:rsidTr="00403595">
        <w:trPr>
          <w:trHeight w:val="510"/>
        </w:trPr>
        <w:tc>
          <w:tcPr>
            <w:tcW w:w="2324" w:type="dxa"/>
            <w:vAlign w:val="center"/>
          </w:tcPr>
          <w:p w:rsidR="00B0225C" w:rsidRPr="00403595" w:rsidRDefault="00B0225C" w:rsidP="00B0225C">
            <w:pPr>
              <w:rPr>
                <w:sz w:val="20"/>
                <w:szCs w:val="20"/>
              </w:rPr>
            </w:pPr>
            <w:r w:rsidRPr="00403595">
              <w:rPr>
                <w:sz w:val="20"/>
                <w:szCs w:val="20"/>
              </w:rPr>
              <w:t>Валюта и депозиты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13 672,7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-367,6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-143,8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13 161,3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217,8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-81,7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13 297,4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-35,3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13 814,5</w:t>
            </w:r>
          </w:p>
        </w:tc>
      </w:tr>
      <w:tr w:rsidR="00B0225C" w:rsidRPr="000862FF" w:rsidTr="00403595">
        <w:trPr>
          <w:trHeight w:val="510"/>
        </w:trPr>
        <w:tc>
          <w:tcPr>
            <w:tcW w:w="2324" w:type="dxa"/>
            <w:vAlign w:val="center"/>
          </w:tcPr>
          <w:p w:rsidR="00B0225C" w:rsidRPr="00403595" w:rsidRDefault="00B0225C" w:rsidP="00B0225C">
            <w:pPr>
              <w:rPr>
                <w:sz w:val="20"/>
                <w:szCs w:val="20"/>
              </w:rPr>
            </w:pPr>
            <w:r w:rsidRPr="00403595">
              <w:rPr>
                <w:sz w:val="20"/>
                <w:szCs w:val="20"/>
              </w:rPr>
              <w:t>Другие активы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-10,7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-8,5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2,9</w:t>
            </w:r>
          </w:p>
        </w:tc>
      </w:tr>
      <w:tr w:rsidR="00B0225C" w:rsidRPr="000862FF" w:rsidTr="00B85C09">
        <w:trPr>
          <w:trHeight w:val="510"/>
        </w:trPr>
        <w:tc>
          <w:tcPr>
            <w:tcW w:w="2324" w:type="dxa"/>
            <w:shd w:val="clear" w:color="auto" w:fill="DEEAF6"/>
            <w:vAlign w:val="center"/>
          </w:tcPr>
          <w:p w:rsidR="00B0225C" w:rsidRPr="00CC2DAA" w:rsidRDefault="00B0225C" w:rsidP="00B022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Обязательства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536,1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-167,7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5 099,2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1 077,3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-232,3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5 944,2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851,7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b/>
                <w:bCs/>
                <w:color w:val="000000"/>
                <w:sz w:val="20"/>
                <w:szCs w:val="20"/>
              </w:rPr>
              <w:t>6 828,3</w:t>
            </w:r>
          </w:p>
        </w:tc>
      </w:tr>
      <w:tr w:rsidR="00B0225C" w:rsidRPr="000862FF" w:rsidTr="00403595">
        <w:trPr>
          <w:trHeight w:val="510"/>
        </w:trPr>
        <w:tc>
          <w:tcPr>
            <w:tcW w:w="2324" w:type="dxa"/>
            <w:vAlign w:val="center"/>
          </w:tcPr>
          <w:p w:rsidR="00B0225C" w:rsidRPr="00403595" w:rsidRDefault="00B0225C" w:rsidP="00B0225C">
            <w:pPr>
              <w:rPr>
                <w:sz w:val="20"/>
                <w:szCs w:val="20"/>
              </w:rPr>
            </w:pPr>
            <w:r w:rsidRPr="00403595">
              <w:rPr>
                <w:sz w:val="20"/>
                <w:szCs w:val="20"/>
              </w:rPr>
              <w:t>Портфельные инвестиции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B0225C" w:rsidRPr="000862FF" w:rsidTr="00403595">
        <w:trPr>
          <w:trHeight w:val="510"/>
        </w:trPr>
        <w:tc>
          <w:tcPr>
            <w:tcW w:w="2324" w:type="dxa"/>
            <w:vAlign w:val="center"/>
          </w:tcPr>
          <w:p w:rsidR="00B0225C" w:rsidRPr="00403595" w:rsidRDefault="00B0225C" w:rsidP="00B0225C">
            <w:pPr>
              <w:rPr>
                <w:sz w:val="20"/>
                <w:szCs w:val="20"/>
              </w:rPr>
            </w:pPr>
            <w:r w:rsidRPr="00403595">
              <w:rPr>
                <w:sz w:val="20"/>
                <w:szCs w:val="20"/>
              </w:rPr>
              <w:t xml:space="preserve">Ссуды и займы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4 326,0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536,1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-143,7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4 718,4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1 077,3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-215,7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5 580,0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6 474,9</w:t>
            </w:r>
          </w:p>
        </w:tc>
      </w:tr>
      <w:tr w:rsidR="00B0225C" w:rsidRPr="000862FF" w:rsidTr="00403595">
        <w:trPr>
          <w:trHeight w:val="510"/>
        </w:trPr>
        <w:tc>
          <w:tcPr>
            <w:tcW w:w="2324" w:type="dxa"/>
            <w:vAlign w:val="center"/>
          </w:tcPr>
          <w:p w:rsidR="00B0225C" w:rsidRPr="00403595" w:rsidRDefault="00B0225C" w:rsidP="00B0225C">
            <w:pPr>
              <w:rPr>
                <w:sz w:val="20"/>
                <w:szCs w:val="20"/>
              </w:rPr>
            </w:pPr>
            <w:r w:rsidRPr="00403595">
              <w:rPr>
                <w:sz w:val="20"/>
                <w:szCs w:val="20"/>
              </w:rPr>
              <w:t>Специальные права заимствования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404,8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-0,0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-24,0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380,8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 xml:space="preserve">-16,6 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364,2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-10,9</w:t>
            </w:r>
          </w:p>
        </w:tc>
        <w:tc>
          <w:tcPr>
            <w:tcW w:w="1276" w:type="dxa"/>
            <w:vAlign w:val="center"/>
          </w:tcPr>
          <w:p w:rsidR="00B0225C" w:rsidRPr="00B0225C" w:rsidRDefault="00B0225C" w:rsidP="00B0225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0225C">
              <w:rPr>
                <w:rFonts w:cs="Arial"/>
                <w:color w:val="000000"/>
                <w:sz w:val="20"/>
                <w:szCs w:val="20"/>
              </w:rPr>
              <w:t>353,4</w:t>
            </w:r>
          </w:p>
        </w:tc>
      </w:tr>
    </w:tbl>
    <w:p w:rsidR="00353B97" w:rsidRPr="006F08D3" w:rsidRDefault="00353B97" w:rsidP="00353B97">
      <w:pPr>
        <w:rPr>
          <w:rFonts w:cs="Arial"/>
        </w:rPr>
      </w:pPr>
    </w:p>
    <w:p w:rsidR="00B0225C" w:rsidRDefault="00353B97" w:rsidP="00B0225C">
      <w:pPr>
        <w:rPr>
          <w:rFonts w:cs="Arial"/>
        </w:rPr>
      </w:pPr>
      <w:r w:rsidRPr="006F08D3">
        <w:rPr>
          <w:rFonts w:cs="Arial"/>
        </w:rPr>
        <w:br w:type="page"/>
      </w:r>
    </w:p>
    <w:tbl>
      <w:tblPr>
        <w:tblW w:w="15079" w:type="dxa"/>
        <w:tblInd w:w="103" w:type="dxa"/>
        <w:tblLook w:val="04A0"/>
      </w:tblPr>
      <w:tblGrid>
        <w:gridCol w:w="14857"/>
        <w:gridCol w:w="222"/>
      </w:tblGrid>
      <w:tr w:rsidR="00C417CF" w:rsidRPr="006F08D3" w:rsidTr="00B85C09">
        <w:trPr>
          <w:trHeight w:val="283"/>
        </w:trPr>
        <w:tc>
          <w:tcPr>
            <w:tcW w:w="14857" w:type="dxa"/>
            <w:shd w:val="clear" w:color="auto" w:fill="auto"/>
            <w:noWrap/>
            <w:vAlign w:val="center"/>
          </w:tcPr>
          <w:p w:rsidR="00C417CF" w:rsidRPr="007B602B" w:rsidRDefault="00C417CF" w:rsidP="00C417CF">
            <w:pPr>
              <w:ind w:right="-102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B602B">
              <w:rPr>
                <w:sz w:val="22"/>
                <w:szCs w:val="22"/>
              </w:rPr>
              <w:br w:type="page"/>
            </w:r>
            <w:r w:rsidRPr="007B602B">
              <w:rPr>
                <w:i/>
                <w:iCs/>
                <w:color w:val="000000"/>
                <w:sz w:val="22"/>
                <w:szCs w:val="22"/>
              </w:rPr>
              <w:t>Приложение 12.2.2</w:t>
            </w:r>
          </w:p>
        </w:tc>
        <w:tc>
          <w:tcPr>
            <w:tcW w:w="222" w:type="dxa"/>
          </w:tcPr>
          <w:p w:rsidR="00C417CF" w:rsidRPr="007B602B" w:rsidRDefault="00C417CF" w:rsidP="00B85C09">
            <w:pPr>
              <w:ind w:right="-102"/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C417CF" w:rsidRPr="006B246F" w:rsidRDefault="00C417CF" w:rsidP="00C417CF">
      <w:pPr>
        <w:pStyle w:val="1"/>
        <w:ind w:left="0"/>
        <w:jc w:val="center"/>
        <w:rPr>
          <w:rFonts w:ascii="Calibri" w:hAnsi="Calibri"/>
          <w:sz w:val="26"/>
          <w:szCs w:val="26"/>
        </w:rPr>
      </w:pPr>
      <w:bookmarkStart w:id="40" w:name="_Toc35458634"/>
      <w:r w:rsidRPr="006B246F">
        <w:rPr>
          <w:rFonts w:ascii="Calibri" w:hAnsi="Calibri"/>
          <w:sz w:val="26"/>
          <w:szCs w:val="26"/>
        </w:rPr>
        <w:t>МЕЖДУНАРОДНАЯ ИНВЕСТИЦИОННАЯ ПОЗИЦИЯ СЕКТОРА ГОСУДАРСТВЕННОГО УПРАВЛЕНИЯ ЗА 201</w:t>
      </w:r>
      <w:r w:rsidR="009E7C2C" w:rsidRPr="006B246F">
        <w:rPr>
          <w:rFonts w:ascii="Calibri" w:hAnsi="Calibri"/>
          <w:sz w:val="26"/>
          <w:szCs w:val="26"/>
          <w:lang w:val="ru-RU"/>
        </w:rPr>
        <w:t>7</w:t>
      </w:r>
      <w:r w:rsidRPr="006B246F">
        <w:rPr>
          <w:rFonts w:ascii="Calibri" w:hAnsi="Calibri"/>
          <w:sz w:val="26"/>
          <w:szCs w:val="26"/>
        </w:rPr>
        <w:t>-201</w:t>
      </w:r>
      <w:r w:rsidR="009E7C2C" w:rsidRPr="006B246F">
        <w:rPr>
          <w:rFonts w:ascii="Calibri" w:hAnsi="Calibri"/>
          <w:sz w:val="26"/>
          <w:szCs w:val="26"/>
          <w:lang w:val="ru-RU"/>
        </w:rPr>
        <w:t>9</w:t>
      </w:r>
      <w:r w:rsidRPr="006B246F">
        <w:rPr>
          <w:rFonts w:ascii="Calibri" w:hAnsi="Calibri"/>
          <w:sz w:val="26"/>
          <w:szCs w:val="26"/>
        </w:rPr>
        <w:t xml:space="preserve"> Г</w:t>
      </w:r>
      <w:r w:rsidRPr="006B246F">
        <w:rPr>
          <w:rFonts w:ascii="Calibri" w:hAnsi="Calibri"/>
          <w:sz w:val="26"/>
          <w:szCs w:val="26"/>
          <w:lang w:val="ru-RU"/>
        </w:rPr>
        <w:t>Г.</w:t>
      </w:r>
      <w:bookmarkEnd w:id="40"/>
    </w:p>
    <w:p w:rsidR="00C417CF" w:rsidRPr="00C75833" w:rsidRDefault="00C417CF" w:rsidP="00C417CF">
      <w:pPr>
        <w:jc w:val="center"/>
        <w:rPr>
          <w:sz w:val="22"/>
          <w:szCs w:val="22"/>
        </w:rPr>
      </w:pPr>
      <w:r w:rsidRPr="00C75833">
        <w:rPr>
          <w:i/>
          <w:iCs/>
          <w:color w:val="000000"/>
          <w:sz w:val="22"/>
          <w:szCs w:val="22"/>
        </w:rPr>
        <w:t xml:space="preserve">(в разбивке по основным компонентам) </w:t>
      </w:r>
    </w:p>
    <w:p w:rsidR="00C417CF" w:rsidRPr="00343190" w:rsidRDefault="00C417CF" w:rsidP="00C417CF">
      <w:pPr>
        <w:jc w:val="right"/>
        <w:rPr>
          <w:i/>
          <w:iCs/>
          <w:color w:val="000000"/>
          <w:sz w:val="20"/>
          <w:szCs w:val="20"/>
        </w:rPr>
      </w:pPr>
      <w:r w:rsidRPr="00343190">
        <w:rPr>
          <w:i/>
          <w:iCs/>
          <w:color w:val="000000"/>
          <w:sz w:val="20"/>
          <w:szCs w:val="20"/>
        </w:rPr>
        <w:t>(млн. долл.)</w:t>
      </w:r>
    </w:p>
    <w:tbl>
      <w:tblPr>
        <w:tblW w:w="1508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20"/>
      </w:tblPr>
      <w:tblGrid>
        <w:gridCol w:w="2324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C417CF" w:rsidRPr="000862FF" w:rsidTr="00B85C09">
        <w:trPr>
          <w:trHeight w:val="988"/>
        </w:trPr>
        <w:tc>
          <w:tcPr>
            <w:tcW w:w="2324" w:type="dxa"/>
            <w:vAlign w:val="center"/>
          </w:tcPr>
          <w:p w:rsidR="00C417CF" w:rsidRPr="000862FF" w:rsidRDefault="00C417CF" w:rsidP="00B85C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C417CF" w:rsidRPr="000862FF" w:rsidRDefault="009E7C2C" w:rsidP="00B85C09">
            <w:pPr>
              <w:autoSpaceDE w:val="0"/>
              <w:autoSpaceDN w:val="0"/>
              <w:adjustRightInd w:val="0"/>
              <w:ind w:right="8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276" w:type="dxa"/>
            <w:vAlign w:val="center"/>
          </w:tcPr>
          <w:p w:rsidR="00C417CF" w:rsidRPr="00CC2DAA" w:rsidRDefault="00C417CF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Операции платёжного баланса</w:t>
            </w:r>
          </w:p>
        </w:tc>
        <w:tc>
          <w:tcPr>
            <w:tcW w:w="1276" w:type="dxa"/>
            <w:vAlign w:val="center"/>
          </w:tcPr>
          <w:p w:rsidR="00C417CF" w:rsidRPr="00CC2DAA" w:rsidRDefault="00C417CF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Неопера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ционные изменения</w:t>
            </w:r>
          </w:p>
        </w:tc>
        <w:tc>
          <w:tcPr>
            <w:tcW w:w="1276" w:type="dxa"/>
            <w:vAlign w:val="center"/>
          </w:tcPr>
          <w:p w:rsidR="00C417CF" w:rsidRPr="000862FF" w:rsidRDefault="009E7C2C" w:rsidP="00B85C09">
            <w:pPr>
              <w:autoSpaceDE w:val="0"/>
              <w:autoSpaceDN w:val="0"/>
              <w:adjustRightInd w:val="0"/>
              <w:ind w:right="119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vAlign w:val="center"/>
          </w:tcPr>
          <w:p w:rsidR="00C417CF" w:rsidRPr="00CC2DAA" w:rsidRDefault="00C417CF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Операции платёжного баланса</w:t>
            </w:r>
          </w:p>
        </w:tc>
        <w:tc>
          <w:tcPr>
            <w:tcW w:w="1276" w:type="dxa"/>
            <w:vAlign w:val="center"/>
          </w:tcPr>
          <w:p w:rsidR="00C417CF" w:rsidRPr="00CC2DAA" w:rsidRDefault="00C417CF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Неопера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ционные изменения</w:t>
            </w:r>
          </w:p>
        </w:tc>
        <w:tc>
          <w:tcPr>
            <w:tcW w:w="1276" w:type="dxa"/>
            <w:vAlign w:val="center"/>
          </w:tcPr>
          <w:p w:rsidR="00C417CF" w:rsidRPr="000862FF" w:rsidRDefault="009E7C2C" w:rsidP="00B85C09">
            <w:pPr>
              <w:autoSpaceDE w:val="0"/>
              <w:autoSpaceDN w:val="0"/>
              <w:adjustRightInd w:val="0"/>
              <w:ind w:right="14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z-Cyrl-U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1276" w:type="dxa"/>
            <w:vAlign w:val="center"/>
          </w:tcPr>
          <w:p w:rsidR="00C417CF" w:rsidRPr="00CC2DAA" w:rsidRDefault="00C417CF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Операции платёжного баланса</w:t>
            </w:r>
          </w:p>
        </w:tc>
        <w:tc>
          <w:tcPr>
            <w:tcW w:w="1276" w:type="dxa"/>
            <w:vAlign w:val="center"/>
          </w:tcPr>
          <w:p w:rsidR="00C417CF" w:rsidRPr="00CC2DAA" w:rsidRDefault="00C417CF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Неопера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ционные изменения</w:t>
            </w:r>
          </w:p>
        </w:tc>
        <w:tc>
          <w:tcPr>
            <w:tcW w:w="1276" w:type="dxa"/>
            <w:vAlign w:val="center"/>
          </w:tcPr>
          <w:p w:rsidR="00C417CF" w:rsidRPr="000862FF" w:rsidRDefault="009E7C2C" w:rsidP="00B85C09">
            <w:pPr>
              <w:autoSpaceDE w:val="0"/>
              <w:autoSpaceDN w:val="0"/>
              <w:adjustRightInd w:val="0"/>
              <w:ind w:right="35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z-Cyrl-U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01.01.2020</w:t>
            </w:r>
          </w:p>
        </w:tc>
      </w:tr>
      <w:tr w:rsidR="00937D28" w:rsidRPr="000862FF" w:rsidTr="00B85C09">
        <w:trPr>
          <w:trHeight w:val="510"/>
        </w:trPr>
        <w:tc>
          <w:tcPr>
            <w:tcW w:w="2324" w:type="dxa"/>
            <w:shd w:val="clear" w:color="auto" w:fill="DEEAF6"/>
            <w:vAlign w:val="center"/>
          </w:tcPr>
          <w:p w:rsidR="00937D28" w:rsidRPr="00CC2DAA" w:rsidRDefault="00937D28" w:rsidP="00937D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Чистая инвестиционная позиция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19 603,5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-1 102,5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1 605,4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20 106,4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-4 060,2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586,6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16 632,8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-4 323,2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715,4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13 025,0</w:t>
            </w:r>
          </w:p>
        </w:tc>
      </w:tr>
      <w:tr w:rsidR="00937D28" w:rsidRPr="000862FF" w:rsidTr="00B85C09">
        <w:trPr>
          <w:trHeight w:val="510"/>
        </w:trPr>
        <w:tc>
          <w:tcPr>
            <w:tcW w:w="2324" w:type="dxa"/>
            <w:shd w:val="clear" w:color="auto" w:fill="DEEAF6"/>
            <w:vAlign w:val="center"/>
          </w:tcPr>
          <w:p w:rsidR="00937D28" w:rsidRPr="00CC2DAA" w:rsidRDefault="00937D28" w:rsidP="00937D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Активы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26 431,8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-256,6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1 905,9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28 081,1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-1 570,5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574,8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27 085,4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1 399,1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690,4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29 174,9</w:t>
            </w:r>
          </w:p>
        </w:tc>
      </w:tr>
      <w:tr w:rsidR="00937D28" w:rsidRPr="000862FF" w:rsidTr="00B85C09">
        <w:trPr>
          <w:trHeight w:val="510"/>
        </w:trPr>
        <w:tc>
          <w:tcPr>
            <w:tcW w:w="2324" w:type="dxa"/>
            <w:vAlign w:val="center"/>
          </w:tcPr>
          <w:p w:rsidR="00937D28" w:rsidRPr="00403595" w:rsidRDefault="00937D28" w:rsidP="00937D28">
            <w:pPr>
              <w:rPr>
                <w:sz w:val="20"/>
                <w:szCs w:val="20"/>
              </w:rPr>
            </w:pPr>
            <w:r w:rsidRPr="00403595">
              <w:rPr>
                <w:sz w:val="20"/>
                <w:szCs w:val="20"/>
              </w:rPr>
              <w:t xml:space="preserve">Монетарное золото 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12 256,6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1 777,5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14 034,1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606,7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14 640,7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1 688,5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16 329,2</w:t>
            </w:r>
          </w:p>
        </w:tc>
      </w:tr>
      <w:tr w:rsidR="00937D28" w:rsidRPr="000862FF" w:rsidTr="00B85C09">
        <w:trPr>
          <w:trHeight w:val="510"/>
        </w:trPr>
        <w:tc>
          <w:tcPr>
            <w:tcW w:w="2324" w:type="dxa"/>
            <w:vAlign w:val="center"/>
          </w:tcPr>
          <w:p w:rsidR="00937D28" w:rsidRPr="00403595" w:rsidRDefault="00937D28" w:rsidP="00937D28">
            <w:pPr>
              <w:rPr>
                <w:sz w:val="20"/>
                <w:szCs w:val="20"/>
              </w:rPr>
            </w:pPr>
            <w:r w:rsidRPr="00403595">
              <w:rPr>
                <w:sz w:val="20"/>
                <w:szCs w:val="20"/>
              </w:rPr>
              <w:t>Специальные права заимствования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357,7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378,9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-8,9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370,1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-2,1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368,0</w:t>
            </w:r>
          </w:p>
        </w:tc>
      </w:tr>
      <w:tr w:rsidR="00937D28" w:rsidRPr="000862FF" w:rsidTr="00B85C09">
        <w:trPr>
          <w:trHeight w:val="510"/>
        </w:trPr>
        <w:tc>
          <w:tcPr>
            <w:tcW w:w="2324" w:type="dxa"/>
            <w:vAlign w:val="center"/>
          </w:tcPr>
          <w:p w:rsidR="00937D28" w:rsidRPr="00403595" w:rsidRDefault="00937D28" w:rsidP="00937D28">
            <w:pPr>
              <w:rPr>
                <w:sz w:val="20"/>
                <w:szCs w:val="20"/>
              </w:rPr>
            </w:pPr>
            <w:r w:rsidRPr="00403595">
              <w:rPr>
                <w:sz w:val="20"/>
                <w:szCs w:val="20"/>
              </w:rPr>
              <w:t>Резервная позиция в МВФ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0,01</w:t>
            </w:r>
          </w:p>
        </w:tc>
      </w:tr>
      <w:tr w:rsidR="00937D28" w:rsidRPr="000862FF" w:rsidTr="00B85C09">
        <w:trPr>
          <w:trHeight w:val="510"/>
        </w:trPr>
        <w:tc>
          <w:tcPr>
            <w:tcW w:w="2324" w:type="dxa"/>
            <w:vAlign w:val="center"/>
          </w:tcPr>
          <w:p w:rsidR="00937D28" w:rsidRPr="00403595" w:rsidRDefault="00937D28" w:rsidP="00937D28">
            <w:pPr>
              <w:rPr>
                <w:sz w:val="20"/>
                <w:szCs w:val="20"/>
              </w:rPr>
            </w:pPr>
            <w:r w:rsidRPr="00403595">
              <w:rPr>
                <w:sz w:val="20"/>
                <w:szCs w:val="20"/>
              </w:rPr>
              <w:t>Валюта и депозиты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13 814,5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-256,0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13 663,9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-1 563,7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-29,6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12 070,6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1 406,5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-1 002,2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12 474,9</w:t>
            </w:r>
          </w:p>
        </w:tc>
      </w:tr>
      <w:tr w:rsidR="00937D28" w:rsidRPr="000862FF" w:rsidTr="00B85C09">
        <w:trPr>
          <w:trHeight w:val="510"/>
        </w:trPr>
        <w:tc>
          <w:tcPr>
            <w:tcW w:w="2324" w:type="dxa"/>
            <w:vAlign w:val="center"/>
          </w:tcPr>
          <w:p w:rsidR="00937D28" w:rsidRPr="00403595" w:rsidRDefault="00937D28" w:rsidP="00937D28">
            <w:pPr>
              <w:rPr>
                <w:sz w:val="20"/>
                <w:szCs w:val="20"/>
              </w:rPr>
            </w:pPr>
            <w:r w:rsidRPr="00403595">
              <w:rPr>
                <w:sz w:val="20"/>
                <w:szCs w:val="20"/>
              </w:rPr>
              <w:t>Другие активы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-6,8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-7,5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2,7</w:t>
            </w:r>
          </w:p>
        </w:tc>
      </w:tr>
      <w:tr w:rsidR="00937D28" w:rsidRPr="000862FF" w:rsidTr="00B85C09">
        <w:trPr>
          <w:trHeight w:val="510"/>
        </w:trPr>
        <w:tc>
          <w:tcPr>
            <w:tcW w:w="2324" w:type="dxa"/>
            <w:shd w:val="clear" w:color="auto" w:fill="DEEAF6"/>
            <w:vAlign w:val="center"/>
          </w:tcPr>
          <w:p w:rsidR="00937D28" w:rsidRPr="00CC2DAA" w:rsidRDefault="00937D28" w:rsidP="00937D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Обязательства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6 828,3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845,9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300,5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7 974,7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2 489,7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-11,8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10 452,6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5 722,3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-25,0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16 149,9</w:t>
            </w:r>
          </w:p>
        </w:tc>
      </w:tr>
      <w:tr w:rsidR="00937D28" w:rsidRPr="000862FF" w:rsidTr="00B85C09">
        <w:trPr>
          <w:trHeight w:val="510"/>
        </w:trPr>
        <w:tc>
          <w:tcPr>
            <w:tcW w:w="2324" w:type="dxa"/>
            <w:vAlign w:val="center"/>
          </w:tcPr>
          <w:p w:rsidR="00937D28" w:rsidRPr="00403595" w:rsidRDefault="00937D28" w:rsidP="00937D28">
            <w:pPr>
              <w:rPr>
                <w:sz w:val="20"/>
                <w:szCs w:val="20"/>
              </w:rPr>
            </w:pPr>
            <w:r w:rsidRPr="00403595">
              <w:rPr>
                <w:sz w:val="20"/>
                <w:szCs w:val="20"/>
              </w:rPr>
              <w:t>Портфельные инвестиции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1 018,3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1 107,0</w:t>
            </w:r>
          </w:p>
        </w:tc>
      </w:tr>
      <w:tr w:rsidR="00937D28" w:rsidRPr="000862FF" w:rsidTr="00B85C09">
        <w:trPr>
          <w:trHeight w:val="510"/>
        </w:trPr>
        <w:tc>
          <w:tcPr>
            <w:tcW w:w="2324" w:type="dxa"/>
            <w:vAlign w:val="center"/>
          </w:tcPr>
          <w:p w:rsidR="00937D28" w:rsidRPr="00403595" w:rsidRDefault="00937D28" w:rsidP="00937D28">
            <w:pPr>
              <w:rPr>
                <w:sz w:val="20"/>
                <w:szCs w:val="20"/>
              </w:rPr>
            </w:pPr>
            <w:r w:rsidRPr="00403595">
              <w:rPr>
                <w:sz w:val="20"/>
                <w:szCs w:val="20"/>
              </w:rPr>
              <w:t xml:space="preserve">Ссуды и займы 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6 474,9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845,6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279,5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7 600,0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2 489,4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10 086,4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4 704,2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-111,6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14 679,0</w:t>
            </w:r>
          </w:p>
        </w:tc>
      </w:tr>
      <w:tr w:rsidR="00937D28" w:rsidRPr="000862FF" w:rsidTr="00B85C09">
        <w:trPr>
          <w:trHeight w:val="510"/>
        </w:trPr>
        <w:tc>
          <w:tcPr>
            <w:tcW w:w="2324" w:type="dxa"/>
            <w:vAlign w:val="center"/>
          </w:tcPr>
          <w:p w:rsidR="00937D28" w:rsidRPr="00403595" w:rsidRDefault="00937D28" w:rsidP="00937D28">
            <w:pPr>
              <w:rPr>
                <w:sz w:val="20"/>
                <w:szCs w:val="20"/>
              </w:rPr>
            </w:pPr>
            <w:r w:rsidRPr="00403595">
              <w:rPr>
                <w:sz w:val="20"/>
                <w:szCs w:val="20"/>
              </w:rPr>
              <w:t>Специальные права заимствования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353,4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-8,8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366,1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-2,1</w:t>
            </w:r>
          </w:p>
        </w:tc>
        <w:tc>
          <w:tcPr>
            <w:tcW w:w="1276" w:type="dxa"/>
            <w:vAlign w:val="center"/>
          </w:tcPr>
          <w:p w:rsidR="00937D28" w:rsidRPr="00937D28" w:rsidRDefault="00937D28" w:rsidP="00937D28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37D28">
              <w:rPr>
                <w:rFonts w:asciiTheme="minorHAnsi" w:hAnsiTheme="minorHAnsi" w:cs="Arial"/>
                <w:color w:val="000000"/>
                <w:sz w:val="20"/>
                <w:szCs w:val="20"/>
              </w:rPr>
              <w:t>363,9</w:t>
            </w:r>
          </w:p>
        </w:tc>
      </w:tr>
    </w:tbl>
    <w:p w:rsidR="00C417CF" w:rsidRPr="006F08D3" w:rsidRDefault="00C417CF" w:rsidP="00C417CF">
      <w:pPr>
        <w:rPr>
          <w:rFonts w:cs="Arial"/>
        </w:rPr>
      </w:pPr>
    </w:p>
    <w:p w:rsidR="00C417CF" w:rsidRDefault="00C417CF" w:rsidP="00C417CF">
      <w:pPr>
        <w:rPr>
          <w:rFonts w:cs="Arial"/>
        </w:rPr>
      </w:pPr>
      <w:r w:rsidRPr="006F08D3">
        <w:rPr>
          <w:rFonts w:cs="Arial"/>
        </w:rPr>
        <w:br w:type="page"/>
      </w:r>
    </w:p>
    <w:p w:rsidR="001D7B5E" w:rsidRPr="007B602B" w:rsidRDefault="001D7B5E" w:rsidP="001D7B5E">
      <w:pPr>
        <w:jc w:val="right"/>
        <w:rPr>
          <w:i/>
          <w:iCs/>
          <w:color w:val="000000"/>
          <w:sz w:val="22"/>
          <w:szCs w:val="22"/>
        </w:rPr>
      </w:pPr>
      <w:r w:rsidRPr="007B602B">
        <w:rPr>
          <w:i/>
          <w:iCs/>
          <w:color w:val="000000"/>
          <w:sz w:val="22"/>
          <w:szCs w:val="22"/>
        </w:rPr>
        <w:t>Приложение 12.3</w:t>
      </w:r>
      <w:r w:rsidR="00824B96" w:rsidRPr="007B602B">
        <w:rPr>
          <w:i/>
          <w:iCs/>
          <w:color w:val="000000"/>
          <w:sz w:val="22"/>
          <w:szCs w:val="22"/>
        </w:rPr>
        <w:t>.1</w:t>
      </w:r>
    </w:p>
    <w:p w:rsidR="001D7B5E" w:rsidRPr="006B246F" w:rsidRDefault="002E0F0B" w:rsidP="005219A6">
      <w:pPr>
        <w:pStyle w:val="1"/>
        <w:ind w:left="0"/>
        <w:jc w:val="center"/>
        <w:rPr>
          <w:rFonts w:ascii="Calibri" w:hAnsi="Calibri"/>
          <w:sz w:val="26"/>
          <w:szCs w:val="26"/>
        </w:rPr>
      </w:pPr>
      <w:bookmarkStart w:id="41" w:name="_Toc533515548"/>
      <w:bookmarkStart w:id="42" w:name="_Toc35458635"/>
      <w:r w:rsidRPr="006B246F">
        <w:rPr>
          <w:rFonts w:ascii="Calibri" w:hAnsi="Calibri"/>
          <w:sz w:val="26"/>
          <w:szCs w:val="26"/>
        </w:rPr>
        <w:t>МЕЖДУНАРОДНАЯ ИНВЕСТИЦИОННАЯ ПОЗИЦИЯ БАНКОВСКОГО СЕКТОРА</w:t>
      </w:r>
      <w:bookmarkEnd w:id="41"/>
      <w:r w:rsidRPr="006B246F">
        <w:rPr>
          <w:rFonts w:ascii="Calibri" w:hAnsi="Calibri"/>
          <w:sz w:val="26"/>
          <w:szCs w:val="26"/>
        </w:rPr>
        <w:t xml:space="preserve"> ЗА 201</w:t>
      </w:r>
      <w:r w:rsidR="00824B96" w:rsidRPr="006B246F">
        <w:rPr>
          <w:rFonts w:ascii="Calibri" w:hAnsi="Calibri"/>
          <w:sz w:val="26"/>
          <w:szCs w:val="26"/>
          <w:lang w:val="ru-RU"/>
        </w:rPr>
        <w:t>4-2016</w:t>
      </w:r>
      <w:r w:rsidRPr="006B246F">
        <w:rPr>
          <w:rFonts w:ascii="Calibri" w:hAnsi="Calibri"/>
          <w:sz w:val="26"/>
          <w:szCs w:val="26"/>
        </w:rPr>
        <w:t xml:space="preserve"> </w:t>
      </w:r>
      <w:r w:rsidR="00824B96" w:rsidRPr="006B246F">
        <w:rPr>
          <w:rFonts w:ascii="Calibri" w:hAnsi="Calibri"/>
          <w:sz w:val="26"/>
          <w:szCs w:val="26"/>
          <w:lang w:val="ru-RU"/>
        </w:rPr>
        <w:t>Г</w:t>
      </w:r>
      <w:r w:rsidRPr="006B246F">
        <w:rPr>
          <w:rFonts w:ascii="Calibri" w:hAnsi="Calibri"/>
          <w:sz w:val="26"/>
          <w:szCs w:val="26"/>
        </w:rPr>
        <w:t>Г</w:t>
      </w:r>
      <w:r w:rsidR="00824B96" w:rsidRPr="006B246F">
        <w:rPr>
          <w:rFonts w:ascii="Calibri" w:hAnsi="Calibri"/>
          <w:sz w:val="26"/>
          <w:szCs w:val="26"/>
          <w:lang w:val="ru-RU"/>
        </w:rPr>
        <w:t>.</w:t>
      </w:r>
      <w:bookmarkEnd w:id="42"/>
    </w:p>
    <w:p w:rsidR="00FE3B53" w:rsidRDefault="001D7B5E" w:rsidP="00BD5534">
      <w:pPr>
        <w:jc w:val="center"/>
        <w:rPr>
          <w:i/>
          <w:iCs/>
          <w:color w:val="000000"/>
        </w:rPr>
      </w:pPr>
      <w:r w:rsidRPr="006F08D3">
        <w:rPr>
          <w:i/>
          <w:iCs/>
          <w:color w:val="000000"/>
        </w:rPr>
        <w:t>(в разбивке по основным компонентам)</w:t>
      </w:r>
    </w:p>
    <w:p w:rsidR="007B602B" w:rsidRPr="00343190" w:rsidRDefault="007B602B" w:rsidP="007B602B">
      <w:pPr>
        <w:jc w:val="right"/>
        <w:rPr>
          <w:i/>
          <w:iCs/>
          <w:color w:val="000000"/>
          <w:sz w:val="20"/>
          <w:szCs w:val="20"/>
        </w:rPr>
      </w:pPr>
      <w:r w:rsidRPr="00343190">
        <w:rPr>
          <w:i/>
          <w:iCs/>
          <w:color w:val="000000"/>
          <w:sz w:val="20"/>
          <w:szCs w:val="20"/>
        </w:rPr>
        <w:t>(млн. долл.)</w:t>
      </w:r>
    </w:p>
    <w:tbl>
      <w:tblPr>
        <w:tblW w:w="1508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20"/>
      </w:tblPr>
      <w:tblGrid>
        <w:gridCol w:w="2324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7B602B" w:rsidRPr="000862FF" w:rsidTr="00B85C09">
        <w:trPr>
          <w:trHeight w:val="988"/>
        </w:trPr>
        <w:tc>
          <w:tcPr>
            <w:tcW w:w="2324" w:type="dxa"/>
            <w:vAlign w:val="center"/>
          </w:tcPr>
          <w:p w:rsidR="007B602B" w:rsidRPr="000862FF" w:rsidRDefault="007B602B" w:rsidP="00B85C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7B602B" w:rsidRPr="000862FF" w:rsidRDefault="007B602B" w:rsidP="00B85C09">
            <w:pPr>
              <w:autoSpaceDE w:val="0"/>
              <w:autoSpaceDN w:val="0"/>
              <w:adjustRightInd w:val="0"/>
              <w:ind w:right="8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vAlign w:val="center"/>
          </w:tcPr>
          <w:p w:rsidR="007B602B" w:rsidRPr="00CC2DAA" w:rsidRDefault="007B602B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Операции платёжного баланса</w:t>
            </w:r>
          </w:p>
        </w:tc>
        <w:tc>
          <w:tcPr>
            <w:tcW w:w="1276" w:type="dxa"/>
            <w:vAlign w:val="center"/>
          </w:tcPr>
          <w:p w:rsidR="007B602B" w:rsidRPr="00CC2DAA" w:rsidRDefault="007B602B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Неопера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ционные изменения</w:t>
            </w:r>
          </w:p>
        </w:tc>
        <w:tc>
          <w:tcPr>
            <w:tcW w:w="1276" w:type="dxa"/>
            <w:vAlign w:val="center"/>
          </w:tcPr>
          <w:p w:rsidR="007B602B" w:rsidRPr="000862FF" w:rsidRDefault="007B602B" w:rsidP="00B85C09">
            <w:pPr>
              <w:autoSpaceDE w:val="0"/>
              <w:autoSpaceDN w:val="0"/>
              <w:adjustRightInd w:val="0"/>
              <w:ind w:right="119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1276" w:type="dxa"/>
            <w:vAlign w:val="center"/>
          </w:tcPr>
          <w:p w:rsidR="007B602B" w:rsidRPr="00CC2DAA" w:rsidRDefault="007B602B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Операции платёжного баланса</w:t>
            </w:r>
          </w:p>
        </w:tc>
        <w:tc>
          <w:tcPr>
            <w:tcW w:w="1276" w:type="dxa"/>
            <w:vAlign w:val="center"/>
          </w:tcPr>
          <w:p w:rsidR="007B602B" w:rsidRPr="00CC2DAA" w:rsidRDefault="007B602B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Неопера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ционные изменения</w:t>
            </w:r>
          </w:p>
        </w:tc>
        <w:tc>
          <w:tcPr>
            <w:tcW w:w="1276" w:type="dxa"/>
            <w:vAlign w:val="center"/>
          </w:tcPr>
          <w:p w:rsidR="007B602B" w:rsidRPr="000862FF" w:rsidRDefault="007B602B" w:rsidP="00B85C09">
            <w:pPr>
              <w:autoSpaceDE w:val="0"/>
              <w:autoSpaceDN w:val="0"/>
              <w:adjustRightInd w:val="0"/>
              <w:ind w:right="14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z-Cyrl-U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1276" w:type="dxa"/>
            <w:vAlign w:val="center"/>
          </w:tcPr>
          <w:p w:rsidR="007B602B" w:rsidRPr="00CC2DAA" w:rsidRDefault="007B602B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Операции платёжного баланса</w:t>
            </w:r>
          </w:p>
        </w:tc>
        <w:tc>
          <w:tcPr>
            <w:tcW w:w="1276" w:type="dxa"/>
            <w:vAlign w:val="center"/>
          </w:tcPr>
          <w:p w:rsidR="007B602B" w:rsidRPr="00CC2DAA" w:rsidRDefault="007B602B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Неопера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ционные изменения</w:t>
            </w:r>
          </w:p>
        </w:tc>
        <w:tc>
          <w:tcPr>
            <w:tcW w:w="1276" w:type="dxa"/>
            <w:vAlign w:val="center"/>
          </w:tcPr>
          <w:p w:rsidR="007B602B" w:rsidRPr="000862FF" w:rsidRDefault="007B602B" w:rsidP="00B85C09">
            <w:pPr>
              <w:autoSpaceDE w:val="0"/>
              <w:autoSpaceDN w:val="0"/>
              <w:adjustRightInd w:val="0"/>
              <w:ind w:right="35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z-Cyrl-U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01.01.2017</w:t>
            </w:r>
          </w:p>
        </w:tc>
      </w:tr>
      <w:tr w:rsidR="00076F70" w:rsidRPr="000862FF" w:rsidTr="00B85C09">
        <w:trPr>
          <w:trHeight w:val="510"/>
        </w:trPr>
        <w:tc>
          <w:tcPr>
            <w:tcW w:w="2324" w:type="dxa"/>
            <w:shd w:val="clear" w:color="auto" w:fill="DEEAF6"/>
            <w:vAlign w:val="center"/>
          </w:tcPr>
          <w:p w:rsidR="00076F70" w:rsidRPr="00CC2DAA" w:rsidRDefault="00076F70" w:rsidP="00076F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Чистая инвестиционная позиция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2 052,0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-357,5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-24,2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1 670,2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-350,1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-11,8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1 308,3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525,1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1 845,7</w:t>
            </w:r>
          </w:p>
        </w:tc>
      </w:tr>
      <w:tr w:rsidR="00076F70" w:rsidRPr="000862FF" w:rsidTr="00B85C09">
        <w:trPr>
          <w:trHeight w:val="510"/>
        </w:trPr>
        <w:tc>
          <w:tcPr>
            <w:tcW w:w="2324" w:type="dxa"/>
            <w:shd w:val="clear" w:color="auto" w:fill="DEEAF6"/>
            <w:vAlign w:val="center"/>
          </w:tcPr>
          <w:p w:rsidR="00076F70" w:rsidRPr="00CC2DAA" w:rsidRDefault="00076F70" w:rsidP="00076F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Активы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2 492,0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-251,8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-40,0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2 200,2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-276,4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-27,8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1 896,0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659,7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-6,5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2 549,2</w:t>
            </w:r>
          </w:p>
        </w:tc>
      </w:tr>
      <w:tr w:rsidR="00076F70" w:rsidRPr="000862FF" w:rsidTr="008F1C69">
        <w:trPr>
          <w:trHeight w:val="510"/>
        </w:trPr>
        <w:tc>
          <w:tcPr>
            <w:tcW w:w="2324" w:type="dxa"/>
            <w:vAlign w:val="center"/>
          </w:tcPr>
          <w:p w:rsidR="00076F70" w:rsidRPr="007B602B" w:rsidRDefault="00076F70" w:rsidP="008F1C69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 xml:space="preserve">Прямые инвестиции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12,8</w:t>
            </w:r>
          </w:p>
        </w:tc>
      </w:tr>
      <w:tr w:rsidR="00076F70" w:rsidRPr="000862FF" w:rsidTr="008F1C69">
        <w:trPr>
          <w:trHeight w:val="510"/>
        </w:trPr>
        <w:tc>
          <w:tcPr>
            <w:tcW w:w="2324" w:type="dxa"/>
            <w:vAlign w:val="center"/>
          </w:tcPr>
          <w:p w:rsidR="00076F70" w:rsidRPr="007B602B" w:rsidRDefault="00076F70" w:rsidP="008F1C69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>Портфельные инвестиции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1,2</w:t>
            </w:r>
          </w:p>
        </w:tc>
      </w:tr>
      <w:tr w:rsidR="00076F70" w:rsidRPr="000862FF" w:rsidTr="008F1C69">
        <w:trPr>
          <w:trHeight w:val="510"/>
        </w:trPr>
        <w:tc>
          <w:tcPr>
            <w:tcW w:w="2324" w:type="dxa"/>
            <w:vAlign w:val="center"/>
          </w:tcPr>
          <w:p w:rsidR="00076F70" w:rsidRPr="007B602B" w:rsidRDefault="00076F70" w:rsidP="008F1C69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 xml:space="preserve">Валюта и депозиты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2 478,3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-251,8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-40,0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2 186,5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-276,4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-27,8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1 882,3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659,7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-6,9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2 535,1</w:t>
            </w:r>
          </w:p>
        </w:tc>
      </w:tr>
      <w:tr w:rsidR="00076F70" w:rsidRPr="000862FF" w:rsidTr="008F1C69">
        <w:trPr>
          <w:trHeight w:val="510"/>
        </w:trPr>
        <w:tc>
          <w:tcPr>
            <w:tcW w:w="2324" w:type="dxa"/>
            <w:vAlign w:val="center"/>
          </w:tcPr>
          <w:p w:rsidR="00076F70" w:rsidRPr="007B602B" w:rsidRDefault="00076F70" w:rsidP="008F1C69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 xml:space="preserve">Ссуды и займы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</w:tr>
      <w:tr w:rsidR="00076F70" w:rsidRPr="000862FF" w:rsidTr="00B85C09">
        <w:trPr>
          <w:trHeight w:val="510"/>
        </w:trPr>
        <w:tc>
          <w:tcPr>
            <w:tcW w:w="2324" w:type="dxa"/>
            <w:shd w:val="clear" w:color="auto" w:fill="DEEAF6"/>
            <w:vAlign w:val="center"/>
          </w:tcPr>
          <w:p w:rsidR="00076F70" w:rsidRPr="00CC2DAA" w:rsidRDefault="00076F70" w:rsidP="00076F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Обязательства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-15,8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-15,9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587,7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134,6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-18,9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703,5</w:t>
            </w:r>
          </w:p>
        </w:tc>
      </w:tr>
      <w:tr w:rsidR="00076F70" w:rsidRPr="000862FF" w:rsidTr="008F1C69">
        <w:trPr>
          <w:trHeight w:val="510"/>
        </w:trPr>
        <w:tc>
          <w:tcPr>
            <w:tcW w:w="2324" w:type="dxa"/>
            <w:vAlign w:val="center"/>
          </w:tcPr>
          <w:p w:rsidR="00076F70" w:rsidRPr="007B602B" w:rsidRDefault="00076F70" w:rsidP="008F1C69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 xml:space="preserve">Прямые инвестиции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-10,5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-19,6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-23,3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215,0</w:t>
            </w:r>
          </w:p>
        </w:tc>
      </w:tr>
      <w:tr w:rsidR="00076F70" w:rsidRPr="000862FF" w:rsidTr="008F1C69">
        <w:trPr>
          <w:trHeight w:val="510"/>
        </w:trPr>
        <w:tc>
          <w:tcPr>
            <w:tcW w:w="2324" w:type="dxa"/>
            <w:vAlign w:val="center"/>
          </w:tcPr>
          <w:p w:rsidR="00076F70" w:rsidRPr="007B602B" w:rsidRDefault="00076F70" w:rsidP="008F1C69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>Портфельные инвестиции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0,2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-0,4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-0,6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4,2</w:t>
            </w:r>
          </w:p>
        </w:tc>
      </w:tr>
      <w:tr w:rsidR="00076F70" w:rsidRPr="000862FF" w:rsidTr="008F1C69">
        <w:trPr>
          <w:trHeight w:val="510"/>
        </w:trPr>
        <w:tc>
          <w:tcPr>
            <w:tcW w:w="2324" w:type="dxa"/>
            <w:vAlign w:val="center"/>
          </w:tcPr>
          <w:p w:rsidR="00076F70" w:rsidRPr="007B602B" w:rsidRDefault="00076F70" w:rsidP="008F1C69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>Финансовые деривативы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</w:tr>
      <w:tr w:rsidR="00076F70" w:rsidRPr="000862FF" w:rsidTr="008F1C69">
        <w:trPr>
          <w:trHeight w:val="510"/>
        </w:trPr>
        <w:tc>
          <w:tcPr>
            <w:tcW w:w="2324" w:type="dxa"/>
            <w:vAlign w:val="center"/>
          </w:tcPr>
          <w:p w:rsidR="00076F70" w:rsidRPr="007B602B" w:rsidRDefault="00076F70" w:rsidP="008F1C69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 xml:space="preserve">Валюта и депозиты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-14,8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-2,2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-10,8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-2,0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-7,4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31,7</w:t>
            </w:r>
          </w:p>
        </w:tc>
      </w:tr>
      <w:tr w:rsidR="00076F70" w:rsidRPr="000862FF" w:rsidTr="008F1C69">
        <w:trPr>
          <w:trHeight w:val="510"/>
        </w:trPr>
        <w:tc>
          <w:tcPr>
            <w:tcW w:w="2324" w:type="dxa"/>
            <w:vAlign w:val="center"/>
          </w:tcPr>
          <w:p w:rsidR="00076F70" w:rsidRPr="007B602B" w:rsidRDefault="00076F70" w:rsidP="008F1C69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 xml:space="preserve">Ссуды и займы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261,2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90,1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-2,6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348,6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52,8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6,2 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407,6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6" w:type="dxa"/>
            <w:vAlign w:val="center"/>
          </w:tcPr>
          <w:p w:rsidR="00076F70" w:rsidRPr="00076F70" w:rsidRDefault="00076F70" w:rsidP="00076F7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6F70">
              <w:rPr>
                <w:rFonts w:asciiTheme="minorHAnsi" w:hAnsiTheme="minorHAnsi" w:cs="Arial"/>
                <w:color w:val="000000"/>
                <w:sz w:val="20"/>
                <w:szCs w:val="20"/>
              </w:rPr>
              <w:t>452,6</w:t>
            </w:r>
          </w:p>
        </w:tc>
      </w:tr>
    </w:tbl>
    <w:p w:rsidR="007B602B" w:rsidRPr="006F08D3" w:rsidRDefault="007B602B" w:rsidP="007B602B">
      <w:pPr>
        <w:rPr>
          <w:rFonts w:cs="Arial"/>
        </w:rPr>
      </w:pPr>
    </w:p>
    <w:p w:rsidR="007B602B" w:rsidRDefault="007B602B" w:rsidP="007B602B">
      <w:pPr>
        <w:rPr>
          <w:rFonts w:cs="Arial"/>
        </w:rPr>
      </w:pPr>
      <w:r w:rsidRPr="006F08D3">
        <w:rPr>
          <w:rFonts w:cs="Arial"/>
        </w:rPr>
        <w:br w:type="page"/>
      </w:r>
    </w:p>
    <w:p w:rsidR="00076F70" w:rsidRPr="007B602B" w:rsidRDefault="00076F70" w:rsidP="00076F70">
      <w:pPr>
        <w:jc w:val="right"/>
        <w:rPr>
          <w:i/>
          <w:iCs/>
          <w:color w:val="000000"/>
          <w:sz w:val="22"/>
          <w:szCs w:val="22"/>
        </w:rPr>
      </w:pPr>
      <w:r w:rsidRPr="007B602B">
        <w:rPr>
          <w:i/>
          <w:iCs/>
          <w:color w:val="000000"/>
          <w:sz w:val="22"/>
          <w:szCs w:val="22"/>
        </w:rPr>
        <w:t>Приложение 12.3</w:t>
      </w:r>
      <w:r>
        <w:rPr>
          <w:i/>
          <w:iCs/>
          <w:color w:val="000000"/>
          <w:sz w:val="22"/>
          <w:szCs w:val="22"/>
        </w:rPr>
        <w:t>.2</w:t>
      </w:r>
    </w:p>
    <w:p w:rsidR="00076F70" w:rsidRPr="006B246F" w:rsidRDefault="00076F70" w:rsidP="00076F70">
      <w:pPr>
        <w:pStyle w:val="1"/>
        <w:ind w:left="0"/>
        <w:jc w:val="center"/>
        <w:rPr>
          <w:rFonts w:ascii="Calibri" w:hAnsi="Calibri"/>
          <w:sz w:val="26"/>
          <w:szCs w:val="26"/>
        </w:rPr>
      </w:pPr>
      <w:bookmarkStart w:id="43" w:name="_Toc35458636"/>
      <w:r w:rsidRPr="006B246F">
        <w:rPr>
          <w:rFonts w:ascii="Calibri" w:hAnsi="Calibri"/>
          <w:sz w:val="26"/>
          <w:szCs w:val="26"/>
        </w:rPr>
        <w:t>МЕЖДУНАРОДНАЯ ИНВЕСТИЦИОННАЯ ПОЗИЦИЯ БАНКОВСКОГО СЕКТОРА ЗА 201</w:t>
      </w:r>
      <w:r w:rsidR="008F1C69" w:rsidRPr="006B246F">
        <w:rPr>
          <w:rFonts w:ascii="Calibri" w:hAnsi="Calibri"/>
          <w:sz w:val="26"/>
          <w:szCs w:val="26"/>
          <w:lang w:val="ru-RU"/>
        </w:rPr>
        <w:t>7</w:t>
      </w:r>
      <w:r w:rsidRPr="006B246F">
        <w:rPr>
          <w:rFonts w:ascii="Calibri" w:hAnsi="Calibri"/>
          <w:sz w:val="26"/>
          <w:szCs w:val="26"/>
          <w:lang w:val="ru-RU"/>
        </w:rPr>
        <w:t>-201</w:t>
      </w:r>
      <w:r w:rsidR="008F1C69" w:rsidRPr="006B246F">
        <w:rPr>
          <w:rFonts w:ascii="Calibri" w:hAnsi="Calibri"/>
          <w:sz w:val="26"/>
          <w:szCs w:val="26"/>
          <w:lang w:val="ru-RU"/>
        </w:rPr>
        <w:t>9</w:t>
      </w:r>
      <w:r w:rsidRPr="006B246F">
        <w:rPr>
          <w:rFonts w:ascii="Calibri" w:hAnsi="Calibri"/>
          <w:sz w:val="26"/>
          <w:szCs w:val="26"/>
        </w:rPr>
        <w:t xml:space="preserve"> </w:t>
      </w:r>
      <w:r w:rsidRPr="006B246F">
        <w:rPr>
          <w:rFonts w:ascii="Calibri" w:hAnsi="Calibri"/>
          <w:sz w:val="26"/>
          <w:szCs w:val="26"/>
          <w:lang w:val="ru-RU"/>
        </w:rPr>
        <w:t>Г</w:t>
      </w:r>
      <w:r w:rsidRPr="006B246F">
        <w:rPr>
          <w:rFonts w:ascii="Calibri" w:hAnsi="Calibri"/>
          <w:sz w:val="26"/>
          <w:szCs w:val="26"/>
        </w:rPr>
        <w:t>Г</w:t>
      </w:r>
      <w:r w:rsidRPr="006B246F">
        <w:rPr>
          <w:rFonts w:ascii="Calibri" w:hAnsi="Calibri"/>
          <w:sz w:val="26"/>
          <w:szCs w:val="26"/>
          <w:lang w:val="ru-RU"/>
        </w:rPr>
        <w:t>.</w:t>
      </w:r>
      <w:bookmarkEnd w:id="43"/>
    </w:p>
    <w:p w:rsidR="00076F70" w:rsidRDefault="00076F70" w:rsidP="00076F70">
      <w:pPr>
        <w:jc w:val="center"/>
        <w:rPr>
          <w:i/>
          <w:iCs/>
          <w:color w:val="000000"/>
        </w:rPr>
      </w:pPr>
      <w:r w:rsidRPr="006F08D3">
        <w:rPr>
          <w:i/>
          <w:iCs/>
          <w:color w:val="000000"/>
        </w:rPr>
        <w:t>(в разбивке по основным компонентам)</w:t>
      </w:r>
    </w:p>
    <w:p w:rsidR="00076F70" w:rsidRPr="00343190" w:rsidRDefault="00076F70" w:rsidP="00076F70">
      <w:pPr>
        <w:jc w:val="right"/>
        <w:rPr>
          <w:i/>
          <w:iCs/>
          <w:color w:val="000000"/>
          <w:sz w:val="20"/>
          <w:szCs w:val="20"/>
        </w:rPr>
      </w:pPr>
      <w:r w:rsidRPr="00343190">
        <w:rPr>
          <w:i/>
          <w:iCs/>
          <w:color w:val="000000"/>
          <w:sz w:val="20"/>
          <w:szCs w:val="20"/>
        </w:rPr>
        <w:t>(млн. долл.)</w:t>
      </w:r>
    </w:p>
    <w:tbl>
      <w:tblPr>
        <w:tblW w:w="1508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20"/>
      </w:tblPr>
      <w:tblGrid>
        <w:gridCol w:w="2324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076F70" w:rsidRPr="000862FF" w:rsidTr="00B85C09">
        <w:trPr>
          <w:trHeight w:val="988"/>
        </w:trPr>
        <w:tc>
          <w:tcPr>
            <w:tcW w:w="2324" w:type="dxa"/>
            <w:vAlign w:val="center"/>
          </w:tcPr>
          <w:p w:rsidR="00076F70" w:rsidRPr="000862FF" w:rsidRDefault="00076F70" w:rsidP="00B85C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076F70" w:rsidRPr="000862FF" w:rsidRDefault="00076F70" w:rsidP="00B85C09">
            <w:pPr>
              <w:autoSpaceDE w:val="0"/>
              <w:autoSpaceDN w:val="0"/>
              <w:adjustRightInd w:val="0"/>
              <w:ind w:right="8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276" w:type="dxa"/>
            <w:vAlign w:val="center"/>
          </w:tcPr>
          <w:p w:rsidR="00076F70" w:rsidRPr="00CC2DAA" w:rsidRDefault="00076F70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Операции платёжного баланса</w:t>
            </w:r>
          </w:p>
        </w:tc>
        <w:tc>
          <w:tcPr>
            <w:tcW w:w="1276" w:type="dxa"/>
            <w:vAlign w:val="center"/>
          </w:tcPr>
          <w:p w:rsidR="00076F70" w:rsidRPr="00CC2DAA" w:rsidRDefault="00076F70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Неопера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ционные изменения</w:t>
            </w:r>
          </w:p>
        </w:tc>
        <w:tc>
          <w:tcPr>
            <w:tcW w:w="1276" w:type="dxa"/>
            <w:vAlign w:val="center"/>
          </w:tcPr>
          <w:p w:rsidR="00076F70" w:rsidRPr="000862FF" w:rsidRDefault="00076F70" w:rsidP="00B85C09">
            <w:pPr>
              <w:autoSpaceDE w:val="0"/>
              <w:autoSpaceDN w:val="0"/>
              <w:adjustRightInd w:val="0"/>
              <w:ind w:right="119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vAlign w:val="center"/>
          </w:tcPr>
          <w:p w:rsidR="00076F70" w:rsidRPr="00CC2DAA" w:rsidRDefault="00076F70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Операции платёжного баланса</w:t>
            </w:r>
          </w:p>
        </w:tc>
        <w:tc>
          <w:tcPr>
            <w:tcW w:w="1276" w:type="dxa"/>
            <w:vAlign w:val="center"/>
          </w:tcPr>
          <w:p w:rsidR="00076F70" w:rsidRPr="00CC2DAA" w:rsidRDefault="00076F70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Неопера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ционные изменения</w:t>
            </w:r>
          </w:p>
        </w:tc>
        <w:tc>
          <w:tcPr>
            <w:tcW w:w="1276" w:type="dxa"/>
            <w:vAlign w:val="center"/>
          </w:tcPr>
          <w:p w:rsidR="00076F70" w:rsidRPr="000862FF" w:rsidRDefault="00076F70" w:rsidP="00B85C09">
            <w:pPr>
              <w:autoSpaceDE w:val="0"/>
              <w:autoSpaceDN w:val="0"/>
              <w:adjustRightInd w:val="0"/>
              <w:ind w:right="14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z-Cyrl-U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1276" w:type="dxa"/>
            <w:vAlign w:val="center"/>
          </w:tcPr>
          <w:p w:rsidR="00076F70" w:rsidRPr="00CC2DAA" w:rsidRDefault="00076F70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Операции платёжного баланса</w:t>
            </w:r>
          </w:p>
        </w:tc>
        <w:tc>
          <w:tcPr>
            <w:tcW w:w="1276" w:type="dxa"/>
            <w:vAlign w:val="center"/>
          </w:tcPr>
          <w:p w:rsidR="00076F70" w:rsidRPr="00CC2DAA" w:rsidRDefault="00076F70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Неопера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ционные изменения</w:t>
            </w:r>
          </w:p>
        </w:tc>
        <w:tc>
          <w:tcPr>
            <w:tcW w:w="1276" w:type="dxa"/>
            <w:vAlign w:val="center"/>
          </w:tcPr>
          <w:p w:rsidR="00076F70" w:rsidRPr="000862FF" w:rsidRDefault="00076F70" w:rsidP="00B85C09">
            <w:pPr>
              <w:autoSpaceDE w:val="0"/>
              <w:autoSpaceDN w:val="0"/>
              <w:adjustRightInd w:val="0"/>
              <w:ind w:right="35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z-Cyrl-U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01.01.2020</w:t>
            </w:r>
          </w:p>
        </w:tc>
      </w:tr>
      <w:tr w:rsidR="008F1C69" w:rsidRPr="000862FF" w:rsidTr="00B85C09">
        <w:trPr>
          <w:trHeight w:val="510"/>
        </w:trPr>
        <w:tc>
          <w:tcPr>
            <w:tcW w:w="2324" w:type="dxa"/>
            <w:shd w:val="clear" w:color="auto" w:fill="DEEAF6"/>
            <w:vAlign w:val="center"/>
          </w:tcPr>
          <w:p w:rsidR="008F1C69" w:rsidRPr="00CC2DAA" w:rsidRDefault="008F1C69" w:rsidP="008F1C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Чистая инвестиционная позиция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1 845,7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168,2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2 056,8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-1 158,2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-9,4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889,1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-3 040,7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1 015,9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-1 135,6</w:t>
            </w:r>
          </w:p>
        </w:tc>
      </w:tr>
      <w:tr w:rsidR="008F1C69" w:rsidRPr="000862FF" w:rsidTr="00B85C09">
        <w:trPr>
          <w:trHeight w:val="510"/>
        </w:trPr>
        <w:tc>
          <w:tcPr>
            <w:tcW w:w="2324" w:type="dxa"/>
            <w:shd w:val="clear" w:color="auto" w:fill="DEEAF6"/>
            <w:vAlign w:val="center"/>
          </w:tcPr>
          <w:p w:rsidR="008F1C69" w:rsidRPr="00CC2DAA" w:rsidRDefault="008F1C69" w:rsidP="008F1C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Активы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2 549,2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366,2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2 948,2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-750,3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-22,6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2 175,3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-1 060,7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1 002,4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2 117,0</w:t>
            </w:r>
          </w:p>
        </w:tc>
      </w:tr>
      <w:tr w:rsidR="008F1C69" w:rsidRPr="000862FF" w:rsidTr="008F1C69">
        <w:trPr>
          <w:trHeight w:val="510"/>
        </w:trPr>
        <w:tc>
          <w:tcPr>
            <w:tcW w:w="2324" w:type="dxa"/>
            <w:vAlign w:val="center"/>
          </w:tcPr>
          <w:p w:rsidR="008F1C69" w:rsidRPr="007B602B" w:rsidRDefault="008F1C69" w:rsidP="008F1C69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 xml:space="preserve">Прямые инвестиции 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12,8</w:t>
            </w:r>
          </w:p>
        </w:tc>
      </w:tr>
      <w:tr w:rsidR="008F1C69" w:rsidRPr="000862FF" w:rsidTr="008F1C69">
        <w:trPr>
          <w:trHeight w:val="510"/>
        </w:trPr>
        <w:tc>
          <w:tcPr>
            <w:tcW w:w="2324" w:type="dxa"/>
            <w:vAlign w:val="center"/>
          </w:tcPr>
          <w:p w:rsidR="008F1C69" w:rsidRPr="007B602B" w:rsidRDefault="008F1C69" w:rsidP="008F1C69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>Портфельные инвестиции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1,2</w:t>
            </w:r>
          </w:p>
        </w:tc>
      </w:tr>
      <w:tr w:rsidR="008F1C69" w:rsidRPr="000862FF" w:rsidTr="008F1C69">
        <w:trPr>
          <w:trHeight w:val="510"/>
        </w:trPr>
        <w:tc>
          <w:tcPr>
            <w:tcW w:w="2324" w:type="dxa"/>
            <w:vAlign w:val="center"/>
          </w:tcPr>
          <w:p w:rsidR="008F1C69" w:rsidRPr="007B602B" w:rsidRDefault="008F1C69" w:rsidP="008F1C69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 xml:space="preserve">Валюта и депозиты 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2 535,1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366,2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2 934,0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-753,3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-22,2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2 158,5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-1 059,4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1 002,1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2 101,2</w:t>
            </w:r>
          </w:p>
        </w:tc>
      </w:tr>
      <w:tr w:rsidR="008F1C69" w:rsidRPr="000862FF" w:rsidTr="008F1C69">
        <w:trPr>
          <w:trHeight w:val="510"/>
        </w:trPr>
        <w:tc>
          <w:tcPr>
            <w:tcW w:w="2324" w:type="dxa"/>
            <w:vAlign w:val="center"/>
          </w:tcPr>
          <w:p w:rsidR="008F1C69" w:rsidRPr="007B602B" w:rsidRDefault="008F1C69" w:rsidP="008F1C69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 xml:space="preserve">Ссуды и займы 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1,7</w:t>
            </w:r>
          </w:p>
        </w:tc>
      </w:tr>
      <w:tr w:rsidR="008F1C69" w:rsidRPr="000862FF" w:rsidTr="00B85C09">
        <w:trPr>
          <w:trHeight w:val="510"/>
        </w:trPr>
        <w:tc>
          <w:tcPr>
            <w:tcW w:w="2324" w:type="dxa"/>
            <w:shd w:val="clear" w:color="auto" w:fill="DEEAF6"/>
            <w:vAlign w:val="center"/>
          </w:tcPr>
          <w:p w:rsidR="008F1C69" w:rsidRPr="00CC2DAA" w:rsidRDefault="008F1C69" w:rsidP="008F1C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Обязательства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703,5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323,4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-135,4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891,4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407,9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-13,1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1 286,2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1 980,0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-13,6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3 252,6</w:t>
            </w:r>
          </w:p>
        </w:tc>
      </w:tr>
      <w:tr w:rsidR="008F1C69" w:rsidRPr="000862FF" w:rsidTr="008F1C69">
        <w:trPr>
          <w:trHeight w:val="510"/>
        </w:trPr>
        <w:tc>
          <w:tcPr>
            <w:tcW w:w="2324" w:type="dxa"/>
            <w:vAlign w:val="center"/>
          </w:tcPr>
          <w:p w:rsidR="008F1C69" w:rsidRPr="007B602B" w:rsidRDefault="008F1C69" w:rsidP="008F1C69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 xml:space="preserve">Прямые инвестиции 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-143,2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-18,5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180,7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-23,1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215,5</w:t>
            </w:r>
          </w:p>
        </w:tc>
      </w:tr>
      <w:tr w:rsidR="008F1C69" w:rsidRPr="000862FF" w:rsidTr="008F1C69">
        <w:trPr>
          <w:trHeight w:val="510"/>
        </w:trPr>
        <w:tc>
          <w:tcPr>
            <w:tcW w:w="2324" w:type="dxa"/>
            <w:vAlign w:val="center"/>
          </w:tcPr>
          <w:p w:rsidR="008F1C69" w:rsidRPr="007B602B" w:rsidRDefault="008F1C69" w:rsidP="008F1C69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>Портфельные инвестиции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-3,3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303,1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323,0</w:t>
            </w:r>
          </w:p>
        </w:tc>
      </w:tr>
      <w:tr w:rsidR="008F1C69" w:rsidRPr="000862FF" w:rsidTr="008F1C69">
        <w:trPr>
          <w:trHeight w:val="510"/>
        </w:trPr>
        <w:tc>
          <w:tcPr>
            <w:tcW w:w="2324" w:type="dxa"/>
            <w:vAlign w:val="center"/>
          </w:tcPr>
          <w:p w:rsidR="008F1C69" w:rsidRPr="007B602B" w:rsidRDefault="008F1C69" w:rsidP="008F1C69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>Финансовые деривативы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-4,3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3,8</w:t>
            </w:r>
          </w:p>
        </w:tc>
      </w:tr>
      <w:tr w:rsidR="008F1C69" w:rsidRPr="000862FF" w:rsidTr="008F1C69">
        <w:trPr>
          <w:trHeight w:val="510"/>
        </w:trPr>
        <w:tc>
          <w:tcPr>
            <w:tcW w:w="2324" w:type="dxa"/>
            <w:vAlign w:val="center"/>
          </w:tcPr>
          <w:p w:rsidR="008F1C69" w:rsidRPr="007B602B" w:rsidRDefault="008F1C69" w:rsidP="008F1C69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 xml:space="preserve">Валюта и депозиты 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-17,2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-3,3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-5,5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167,9</w:t>
            </w:r>
          </w:p>
        </w:tc>
      </w:tr>
      <w:tr w:rsidR="008F1C69" w:rsidRPr="000862FF" w:rsidTr="008F1C69">
        <w:trPr>
          <w:trHeight w:val="510"/>
        </w:trPr>
        <w:tc>
          <w:tcPr>
            <w:tcW w:w="2324" w:type="dxa"/>
            <w:vAlign w:val="center"/>
          </w:tcPr>
          <w:p w:rsidR="008F1C69" w:rsidRPr="007B602B" w:rsidRDefault="008F1C69" w:rsidP="008F1C69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 xml:space="preserve">Ссуды и займы 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452,6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584,0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400,2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-7,3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976,8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1 565,5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1C69" w:rsidRPr="008F1C69" w:rsidRDefault="008F1C69" w:rsidP="008F1C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F1C69">
              <w:rPr>
                <w:rFonts w:asciiTheme="minorHAnsi" w:hAnsiTheme="minorHAnsi" w:cs="Arial"/>
                <w:color w:val="000000"/>
                <w:sz w:val="20"/>
                <w:szCs w:val="20"/>
              </w:rPr>
              <w:t>2 542,4</w:t>
            </w:r>
          </w:p>
        </w:tc>
      </w:tr>
    </w:tbl>
    <w:p w:rsidR="006446B6" w:rsidRDefault="006446B6" w:rsidP="00076F70">
      <w:pPr>
        <w:rPr>
          <w:rFonts w:cs="Arial"/>
        </w:rPr>
      </w:pPr>
    </w:p>
    <w:p w:rsidR="006446B6" w:rsidRDefault="006446B6">
      <w:pPr>
        <w:rPr>
          <w:rFonts w:cs="Arial"/>
        </w:rPr>
      </w:pPr>
      <w:r>
        <w:rPr>
          <w:rFonts w:cs="Arial"/>
        </w:rPr>
        <w:br w:type="page"/>
      </w:r>
    </w:p>
    <w:p w:rsidR="001D7B5E" w:rsidRPr="006446B6" w:rsidRDefault="006C407D" w:rsidP="003A13F3">
      <w:pPr>
        <w:ind w:right="82"/>
        <w:jc w:val="right"/>
        <w:rPr>
          <w:i/>
          <w:iCs/>
          <w:color w:val="000000"/>
          <w:sz w:val="22"/>
          <w:szCs w:val="22"/>
        </w:rPr>
      </w:pPr>
      <w:r w:rsidRPr="006446B6">
        <w:rPr>
          <w:i/>
          <w:iCs/>
          <w:color w:val="000000"/>
          <w:sz w:val="22"/>
          <w:szCs w:val="22"/>
        </w:rPr>
        <w:t>Приложение 12.4</w:t>
      </w:r>
      <w:r w:rsidR="006446B6">
        <w:rPr>
          <w:i/>
          <w:iCs/>
          <w:color w:val="000000"/>
          <w:sz w:val="22"/>
          <w:szCs w:val="22"/>
        </w:rPr>
        <w:t>.1</w:t>
      </w:r>
    </w:p>
    <w:p w:rsidR="001D7B5E" w:rsidRPr="006B246F" w:rsidRDefault="002E0F0B" w:rsidP="006B6793">
      <w:pPr>
        <w:pStyle w:val="1"/>
        <w:ind w:left="0"/>
        <w:jc w:val="center"/>
        <w:rPr>
          <w:rFonts w:ascii="Calibri" w:hAnsi="Calibri"/>
          <w:sz w:val="26"/>
          <w:szCs w:val="26"/>
        </w:rPr>
      </w:pPr>
      <w:bookmarkStart w:id="44" w:name="_Toc533515549"/>
      <w:bookmarkStart w:id="45" w:name="_Toc35458637"/>
      <w:r w:rsidRPr="006B246F">
        <w:rPr>
          <w:rFonts w:ascii="Calibri" w:hAnsi="Calibri"/>
          <w:sz w:val="26"/>
          <w:szCs w:val="26"/>
        </w:rPr>
        <w:t>МЕЖДУНАРОДНАЯ ИНВЕСТИЦИОННАЯ ПОЗИЦИЯ ДРУГИХ СЕКТОРОВ</w:t>
      </w:r>
      <w:bookmarkEnd w:id="44"/>
      <w:r w:rsidRPr="006B246F">
        <w:rPr>
          <w:rFonts w:ascii="Calibri" w:hAnsi="Calibri"/>
          <w:sz w:val="26"/>
          <w:szCs w:val="26"/>
        </w:rPr>
        <w:t xml:space="preserve"> ЗА 201</w:t>
      </w:r>
      <w:r w:rsidR="000C1C9F" w:rsidRPr="006B246F">
        <w:rPr>
          <w:rFonts w:ascii="Calibri" w:hAnsi="Calibri"/>
          <w:sz w:val="26"/>
          <w:szCs w:val="26"/>
          <w:lang w:val="ru-RU"/>
        </w:rPr>
        <w:t>4-2016</w:t>
      </w:r>
      <w:r w:rsidRPr="006B246F">
        <w:rPr>
          <w:rFonts w:ascii="Calibri" w:hAnsi="Calibri"/>
          <w:sz w:val="26"/>
          <w:szCs w:val="26"/>
        </w:rPr>
        <w:t xml:space="preserve"> Г</w:t>
      </w:r>
      <w:r w:rsidR="000C1C9F" w:rsidRPr="006B246F">
        <w:rPr>
          <w:rFonts w:ascii="Calibri" w:hAnsi="Calibri"/>
          <w:sz w:val="26"/>
          <w:szCs w:val="26"/>
          <w:lang w:val="ru-RU"/>
        </w:rPr>
        <w:t>Г.</w:t>
      </w:r>
      <w:bookmarkEnd w:id="45"/>
    </w:p>
    <w:p w:rsidR="001D7B5E" w:rsidRDefault="001D7B5E" w:rsidP="00BD5534">
      <w:pPr>
        <w:jc w:val="center"/>
        <w:rPr>
          <w:i/>
          <w:color w:val="000000"/>
        </w:rPr>
      </w:pPr>
      <w:r w:rsidRPr="006F08D3">
        <w:rPr>
          <w:i/>
          <w:iCs/>
          <w:color w:val="000000"/>
        </w:rPr>
        <w:t>(в разбивке по основным компонентам)</w:t>
      </w:r>
      <w:r w:rsidRPr="006F08D3">
        <w:rPr>
          <w:i/>
          <w:color w:val="000000"/>
        </w:rPr>
        <w:t xml:space="preserve"> </w:t>
      </w:r>
    </w:p>
    <w:p w:rsidR="006446B6" w:rsidRPr="00343190" w:rsidRDefault="006446B6" w:rsidP="006446B6">
      <w:pPr>
        <w:jc w:val="right"/>
        <w:rPr>
          <w:i/>
          <w:iCs/>
          <w:color w:val="000000"/>
          <w:sz w:val="20"/>
          <w:szCs w:val="20"/>
        </w:rPr>
      </w:pPr>
      <w:r w:rsidRPr="00343190">
        <w:rPr>
          <w:i/>
          <w:iCs/>
          <w:color w:val="000000"/>
          <w:sz w:val="20"/>
          <w:szCs w:val="20"/>
        </w:rPr>
        <w:t>(млн. долл.)</w:t>
      </w:r>
    </w:p>
    <w:tbl>
      <w:tblPr>
        <w:tblW w:w="1508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20"/>
      </w:tblPr>
      <w:tblGrid>
        <w:gridCol w:w="2324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6446B6" w:rsidRPr="000862FF" w:rsidTr="00B85C09">
        <w:trPr>
          <w:trHeight w:val="988"/>
        </w:trPr>
        <w:tc>
          <w:tcPr>
            <w:tcW w:w="2324" w:type="dxa"/>
            <w:vAlign w:val="center"/>
          </w:tcPr>
          <w:p w:rsidR="006446B6" w:rsidRPr="000862FF" w:rsidRDefault="006446B6" w:rsidP="00B85C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6446B6" w:rsidRPr="000862FF" w:rsidRDefault="006446B6" w:rsidP="00B85C09">
            <w:pPr>
              <w:autoSpaceDE w:val="0"/>
              <w:autoSpaceDN w:val="0"/>
              <w:adjustRightInd w:val="0"/>
              <w:ind w:right="8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vAlign w:val="center"/>
          </w:tcPr>
          <w:p w:rsidR="006446B6" w:rsidRPr="00CC2DAA" w:rsidRDefault="006446B6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Операции платёжного баланса</w:t>
            </w:r>
          </w:p>
        </w:tc>
        <w:tc>
          <w:tcPr>
            <w:tcW w:w="1276" w:type="dxa"/>
            <w:vAlign w:val="center"/>
          </w:tcPr>
          <w:p w:rsidR="006446B6" w:rsidRPr="00CC2DAA" w:rsidRDefault="006446B6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Неопера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ционные изменения</w:t>
            </w:r>
          </w:p>
        </w:tc>
        <w:tc>
          <w:tcPr>
            <w:tcW w:w="1276" w:type="dxa"/>
            <w:vAlign w:val="center"/>
          </w:tcPr>
          <w:p w:rsidR="006446B6" w:rsidRPr="000862FF" w:rsidRDefault="006446B6" w:rsidP="00B85C09">
            <w:pPr>
              <w:autoSpaceDE w:val="0"/>
              <w:autoSpaceDN w:val="0"/>
              <w:adjustRightInd w:val="0"/>
              <w:ind w:right="119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1276" w:type="dxa"/>
            <w:vAlign w:val="center"/>
          </w:tcPr>
          <w:p w:rsidR="006446B6" w:rsidRPr="00CC2DAA" w:rsidRDefault="006446B6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Операции платёжного баланса</w:t>
            </w:r>
          </w:p>
        </w:tc>
        <w:tc>
          <w:tcPr>
            <w:tcW w:w="1276" w:type="dxa"/>
            <w:vAlign w:val="center"/>
          </w:tcPr>
          <w:p w:rsidR="006446B6" w:rsidRPr="00CC2DAA" w:rsidRDefault="006446B6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Неопера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ционные изменения</w:t>
            </w:r>
          </w:p>
        </w:tc>
        <w:tc>
          <w:tcPr>
            <w:tcW w:w="1276" w:type="dxa"/>
            <w:vAlign w:val="center"/>
          </w:tcPr>
          <w:p w:rsidR="006446B6" w:rsidRPr="000862FF" w:rsidRDefault="006446B6" w:rsidP="00B85C09">
            <w:pPr>
              <w:autoSpaceDE w:val="0"/>
              <w:autoSpaceDN w:val="0"/>
              <w:adjustRightInd w:val="0"/>
              <w:ind w:right="14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z-Cyrl-U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1276" w:type="dxa"/>
            <w:vAlign w:val="center"/>
          </w:tcPr>
          <w:p w:rsidR="006446B6" w:rsidRPr="00CC2DAA" w:rsidRDefault="006446B6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Операции платёжного баланса</w:t>
            </w:r>
          </w:p>
        </w:tc>
        <w:tc>
          <w:tcPr>
            <w:tcW w:w="1276" w:type="dxa"/>
            <w:vAlign w:val="center"/>
          </w:tcPr>
          <w:p w:rsidR="006446B6" w:rsidRPr="00CC2DAA" w:rsidRDefault="006446B6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Неопера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ционные изменения</w:t>
            </w:r>
          </w:p>
        </w:tc>
        <w:tc>
          <w:tcPr>
            <w:tcW w:w="1276" w:type="dxa"/>
            <w:vAlign w:val="center"/>
          </w:tcPr>
          <w:p w:rsidR="006446B6" w:rsidRPr="000862FF" w:rsidRDefault="006446B6" w:rsidP="00B85C09">
            <w:pPr>
              <w:autoSpaceDE w:val="0"/>
              <w:autoSpaceDN w:val="0"/>
              <w:adjustRightInd w:val="0"/>
              <w:ind w:right="35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z-Cyrl-U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</w:t>
            </w:r>
            <w:r w:rsidR="00FE7F1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B417FA" w:rsidRPr="000862FF" w:rsidTr="00B85C09">
        <w:trPr>
          <w:trHeight w:val="510"/>
        </w:trPr>
        <w:tc>
          <w:tcPr>
            <w:tcW w:w="2324" w:type="dxa"/>
            <w:shd w:val="clear" w:color="auto" w:fill="DEEAF6"/>
            <w:vAlign w:val="center"/>
          </w:tcPr>
          <w:p w:rsidR="00B417FA" w:rsidRPr="00CC2DAA" w:rsidRDefault="00B417FA" w:rsidP="00B417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Чистая инвестиционная позиция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-4 860,2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-180,0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-693,6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-5 733,8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299,0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-1 315,5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-6 750,3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450,5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-6 168,9</w:t>
            </w:r>
          </w:p>
        </w:tc>
      </w:tr>
      <w:tr w:rsidR="00B417FA" w:rsidRPr="000862FF" w:rsidTr="00B85C09">
        <w:trPr>
          <w:trHeight w:val="510"/>
        </w:trPr>
        <w:tc>
          <w:tcPr>
            <w:tcW w:w="2324" w:type="dxa"/>
            <w:shd w:val="clear" w:color="auto" w:fill="DEEAF6"/>
            <w:vAlign w:val="center"/>
          </w:tcPr>
          <w:p w:rsidR="00B417FA" w:rsidRPr="00CC2DAA" w:rsidRDefault="00B417FA" w:rsidP="00B417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Активы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4 987,0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1 960,1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-740,0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6 207,0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1 768,6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-1 368,9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6 606,7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2 362,3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8 969,3</w:t>
            </w:r>
          </w:p>
        </w:tc>
      </w:tr>
      <w:tr w:rsidR="00B417FA" w:rsidRPr="000862FF" w:rsidTr="00B85C09">
        <w:trPr>
          <w:trHeight w:val="510"/>
        </w:trPr>
        <w:tc>
          <w:tcPr>
            <w:tcW w:w="2324" w:type="dxa"/>
            <w:vAlign w:val="center"/>
          </w:tcPr>
          <w:p w:rsidR="00B417FA" w:rsidRPr="007B602B" w:rsidRDefault="00B417FA" w:rsidP="00B417FA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 xml:space="preserve">Прямые инвестиции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150,1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154,5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164,9</w:t>
            </w:r>
          </w:p>
        </w:tc>
      </w:tr>
      <w:tr w:rsidR="00B417FA" w:rsidRPr="000862FF" w:rsidTr="00B85C09">
        <w:trPr>
          <w:trHeight w:val="510"/>
        </w:trPr>
        <w:tc>
          <w:tcPr>
            <w:tcW w:w="2324" w:type="dxa"/>
            <w:vAlign w:val="center"/>
          </w:tcPr>
          <w:p w:rsidR="00B417FA" w:rsidRPr="007B602B" w:rsidRDefault="00B417FA" w:rsidP="00B417FA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>Портфельные инвестиции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</w:tr>
      <w:tr w:rsidR="00B417FA" w:rsidRPr="000862FF" w:rsidTr="00B85C09">
        <w:trPr>
          <w:trHeight w:val="510"/>
        </w:trPr>
        <w:tc>
          <w:tcPr>
            <w:tcW w:w="2324" w:type="dxa"/>
            <w:vAlign w:val="center"/>
          </w:tcPr>
          <w:p w:rsidR="00B417FA" w:rsidRPr="007B602B" w:rsidRDefault="00B417FA" w:rsidP="00B417FA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 xml:space="preserve">Валюта и депозиты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1 199,0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2 290,7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-740,0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2 749,7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1 699,0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-1 368,9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3 079,7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3 091,7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6 171,7</w:t>
            </w:r>
          </w:p>
        </w:tc>
      </w:tr>
      <w:tr w:rsidR="00B417FA" w:rsidRPr="000862FF" w:rsidTr="00B85C09">
        <w:trPr>
          <w:trHeight w:val="510"/>
        </w:trPr>
        <w:tc>
          <w:tcPr>
            <w:tcW w:w="2324" w:type="dxa"/>
            <w:vAlign w:val="center"/>
          </w:tcPr>
          <w:p w:rsidR="00B417FA" w:rsidRPr="007B602B" w:rsidRDefault="00B417FA" w:rsidP="00B417FA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 xml:space="preserve">Ссуды и займы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1,1</w:t>
            </w:r>
          </w:p>
        </w:tc>
      </w:tr>
      <w:tr w:rsidR="00B417FA" w:rsidRPr="000862FF" w:rsidTr="00B85C09">
        <w:trPr>
          <w:trHeight w:val="510"/>
        </w:trPr>
        <w:tc>
          <w:tcPr>
            <w:tcW w:w="2324" w:type="dxa"/>
            <w:vAlign w:val="center"/>
          </w:tcPr>
          <w:p w:rsidR="00B417FA" w:rsidRPr="007B602B" w:rsidRDefault="00B417FA" w:rsidP="00B417FA">
            <w:pPr>
              <w:rPr>
                <w:sz w:val="20"/>
                <w:szCs w:val="20"/>
              </w:rPr>
            </w:pPr>
            <w:r w:rsidRPr="006446B6">
              <w:rPr>
                <w:sz w:val="20"/>
                <w:szCs w:val="20"/>
              </w:rPr>
              <w:t>Торговые кредиты и авансы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3 636,8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-335,1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3 301,7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65,0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3 366,8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-735,2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2 631,6</w:t>
            </w:r>
          </w:p>
        </w:tc>
      </w:tr>
      <w:tr w:rsidR="00B417FA" w:rsidRPr="000862FF" w:rsidTr="00B85C09">
        <w:trPr>
          <w:trHeight w:val="510"/>
        </w:trPr>
        <w:tc>
          <w:tcPr>
            <w:tcW w:w="2324" w:type="dxa"/>
            <w:shd w:val="clear" w:color="auto" w:fill="DEEAF6"/>
            <w:vAlign w:val="center"/>
          </w:tcPr>
          <w:p w:rsidR="00B417FA" w:rsidRPr="00CC2DAA" w:rsidRDefault="00B417FA" w:rsidP="00B417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Обязательства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9 847,2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2 140,1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-46,4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11 940,9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1 469,6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-53,5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13 357,0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1 911,9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-130,7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15 138,1</w:t>
            </w:r>
          </w:p>
        </w:tc>
      </w:tr>
      <w:tr w:rsidR="00B417FA" w:rsidRPr="000862FF" w:rsidTr="00B85C09">
        <w:trPr>
          <w:trHeight w:val="510"/>
        </w:trPr>
        <w:tc>
          <w:tcPr>
            <w:tcW w:w="2324" w:type="dxa"/>
            <w:vAlign w:val="center"/>
          </w:tcPr>
          <w:p w:rsidR="00B417FA" w:rsidRPr="007B602B" w:rsidRDefault="00B417FA" w:rsidP="00B417FA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 xml:space="preserve">Прямые инвестиции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5 314,7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778,4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-46,4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6 046,8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1 009,5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-58,2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6 998,1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1 561,0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-113,8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8 445,3</w:t>
            </w:r>
          </w:p>
        </w:tc>
      </w:tr>
      <w:tr w:rsidR="00B417FA" w:rsidRPr="000862FF" w:rsidTr="00B85C09">
        <w:trPr>
          <w:trHeight w:val="510"/>
        </w:trPr>
        <w:tc>
          <w:tcPr>
            <w:tcW w:w="2324" w:type="dxa"/>
            <w:vAlign w:val="center"/>
          </w:tcPr>
          <w:p w:rsidR="00B417FA" w:rsidRPr="007B602B" w:rsidRDefault="00B417FA" w:rsidP="00B417FA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>Портфельные инвестиции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1,5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-0,4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0,6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-0,7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5,2</w:t>
            </w:r>
          </w:p>
        </w:tc>
      </w:tr>
      <w:tr w:rsidR="00B417FA" w:rsidRPr="000862FF" w:rsidTr="00B85C09">
        <w:trPr>
          <w:trHeight w:val="510"/>
        </w:trPr>
        <w:tc>
          <w:tcPr>
            <w:tcW w:w="2324" w:type="dxa"/>
            <w:vAlign w:val="center"/>
          </w:tcPr>
          <w:p w:rsidR="00B417FA" w:rsidRPr="007B602B" w:rsidRDefault="00B417FA" w:rsidP="00B417FA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>Ссуды и займы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4 277,3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1 298,7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0,4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5 576,4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417,0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4,8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5 998,2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339,9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-16,8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6 321,3</w:t>
            </w:r>
          </w:p>
        </w:tc>
      </w:tr>
      <w:tr w:rsidR="00B417FA" w:rsidRPr="000862FF" w:rsidTr="00B85C09">
        <w:trPr>
          <w:trHeight w:val="510"/>
        </w:trPr>
        <w:tc>
          <w:tcPr>
            <w:tcW w:w="2324" w:type="dxa"/>
            <w:vAlign w:val="center"/>
          </w:tcPr>
          <w:p w:rsidR="00B417FA" w:rsidRPr="007B602B" w:rsidRDefault="00B417FA" w:rsidP="00B417FA">
            <w:pPr>
              <w:rPr>
                <w:sz w:val="20"/>
                <w:szCs w:val="20"/>
              </w:rPr>
            </w:pPr>
            <w:r w:rsidRPr="006446B6">
              <w:rPr>
                <w:sz w:val="20"/>
                <w:szCs w:val="20"/>
              </w:rPr>
              <w:t>Торговые кредиты и авансы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56,9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-3,2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225,3</w:t>
            </w:r>
          </w:p>
        </w:tc>
      </w:tr>
      <w:tr w:rsidR="00B417FA" w:rsidRPr="000862FF" w:rsidTr="00B85C09">
        <w:trPr>
          <w:trHeight w:val="510"/>
        </w:trPr>
        <w:tc>
          <w:tcPr>
            <w:tcW w:w="2324" w:type="dxa"/>
            <w:vAlign w:val="center"/>
          </w:tcPr>
          <w:p w:rsidR="00B417FA" w:rsidRPr="007B602B" w:rsidRDefault="00B417FA" w:rsidP="00B417FA">
            <w:pPr>
              <w:rPr>
                <w:sz w:val="20"/>
                <w:szCs w:val="20"/>
              </w:rPr>
            </w:pPr>
            <w:r w:rsidRPr="00FE7F16">
              <w:rPr>
                <w:sz w:val="20"/>
                <w:szCs w:val="20"/>
              </w:rPr>
              <w:t>Прочая кредиторская задолженность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4,5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206,2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45,7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0,6 </w:t>
            </w:r>
          </w:p>
        </w:tc>
        <w:tc>
          <w:tcPr>
            <w:tcW w:w="1276" w:type="dxa"/>
            <w:vAlign w:val="center"/>
          </w:tcPr>
          <w:p w:rsidR="00B417FA" w:rsidRPr="00B417FA" w:rsidRDefault="00B417FA" w:rsidP="00B417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7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252,5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-111,5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417FA" w:rsidRPr="000C1C9F" w:rsidRDefault="00B417FA" w:rsidP="00B417FA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C1C9F">
              <w:rPr>
                <w:rFonts w:asciiTheme="minorHAnsi" w:hAnsiTheme="minorHAnsi" w:cs="Arial"/>
                <w:color w:val="000000"/>
                <w:sz w:val="20"/>
                <w:szCs w:val="20"/>
              </w:rPr>
              <w:t>141,0</w:t>
            </w:r>
          </w:p>
        </w:tc>
      </w:tr>
    </w:tbl>
    <w:p w:rsidR="00FE7F16" w:rsidRDefault="00FE7F16" w:rsidP="006446B6">
      <w:pPr>
        <w:rPr>
          <w:rFonts w:cs="Arial"/>
        </w:rPr>
      </w:pPr>
    </w:p>
    <w:p w:rsidR="00FE7F16" w:rsidRDefault="00FE7F16">
      <w:pPr>
        <w:rPr>
          <w:rFonts w:cs="Arial"/>
        </w:rPr>
      </w:pPr>
      <w:r>
        <w:rPr>
          <w:rFonts w:cs="Arial"/>
        </w:rPr>
        <w:br w:type="page"/>
      </w:r>
    </w:p>
    <w:p w:rsidR="000C1C9F" w:rsidRPr="006446B6" w:rsidRDefault="000C1C9F" w:rsidP="000C1C9F">
      <w:pPr>
        <w:ind w:right="82"/>
        <w:jc w:val="right"/>
        <w:rPr>
          <w:i/>
          <w:iCs/>
          <w:color w:val="000000"/>
          <w:sz w:val="22"/>
          <w:szCs w:val="22"/>
        </w:rPr>
      </w:pPr>
      <w:r w:rsidRPr="006446B6">
        <w:rPr>
          <w:i/>
          <w:iCs/>
          <w:color w:val="000000"/>
          <w:sz w:val="22"/>
          <w:szCs w:val="22"/>
        </w:rPr>
        <w:t>Приложение 12.4</w:t>
      </w:r>
      <w:r>
        <w:rPr>
          <w:i/>
          <w:iCs/>
          <w:color w:val="000000"/>
          <w:sz w:val="22"/>
          <w:szCs w:val="22"/>
        </w:rPr>
        <w:t>.2</w:t>
      </w:r>
    </w:p>
    <w:p w:rsidR="000C1C9F" w:rsidRPr="006B246F" w:rsidRDefault="000C1C9F" w:rsidP="000C1C9F">
      <w:pPr>
        <w:pStyle w:val="1"/>
        <w:ind w:left="0"/>
        <w:jc w:val="center"/>
        <w:rPr>
          <w:rFonts w:ascii="Calibri" w:hAnsi="Calibri"/>
          <w:sz w:val="26"/>
          <w:szCs w:val="26"/>
        </w:rPr>
      </w:pPr>
      <w:bookmarkStart w:id="46" w:name="_Toc35458638"/>
      <w:r w:rsidRPr="006B246F">
        <w:rPr>
          <w:rFonts w:ascii="Calibri" w:hAnsi="Calibri"/>
          <w:sz w:val="26"/>
          <w:szCs w:val="26"/>
        </w:rPr>
        <w:t>МЕЖДУНАРОДНАЯ ИНВЕСТИЦИОННАЯ ПОЗИЦИЯ ДРУГИХ СЕКТОРОВ ЗА 201</w:t>
      </w:r>
      <w:r w:rsidRPr="006B246F">
        <w:rPr>
          <w:rFonts w:ascii="Calibri" w:hAnsi="Calibri"/>
          <w:sz w:val="26"/>
          <w:szCs w:val="26"/>
          <w:lang w:val="ru-RU"/>
        </w:rPr>
        <w:t>7-2019</w:t>
      </w:r>
      <w:r w:rsidRPr="006B246F">
        <w:rPr>
          <w:rFonts w:ascii="Calibri" w:hAnsi="Calibri"/>
          <w:sz w:val="26"/>
          <w:szCs w:val="26"/>
        </w:rPr>
        <w:t xml:space="preserve"> Г</w:t>
      </w:r>
      <w:r w:rsidRPr="006B246F">
        <w:rPr>
          <w:rFonts w:ascii="Calibri" w:hAnsi="Calibri"/>
          <w:sz w:val="26"/>
          <w:szCs w:val="26"/>
          <w:lang w:val="ru-RU"/>
        </w:rPr>
        <w:t>Г.</w:t>
      </w:r>
      <w:bookmarkEnd w:id="46"/>
    </w:p>
    <w:p w:rsidR="000C1C9F" w:rsidRDefault="000C1C9F" w:rsidP="000C1C9F">
      <w:pPr>
        <w:jc w:val="center"/>
        <w:rPr>
          <w:i/>
          <w:color w:val="000000"/>
        </w:rPr>
      </w:pPr>
      <w:r w:rsidRPr="006F08D3">
        <w:rPr>
          <w:i/>
          <w:iCs/>
          <w:color w:val="000000"/>
        </w:rPr>
        <w:t>(в разбивке по основным компонентам)</w:t>
      </w:r>
      <w:r w:rsidRPr="006F08D3">
        <w:rPr>
          <w:i/>
          <w:color w:val="000000"/>
        </w:rPr>
        <w:t xml:space="preserve"> </w:t>
      </w:r>
    </w:p>
    <w:p w:rsidR="000C1C9F" w:rsidRPr="00343190" w:rsidRDefault="000C1C9F" w:rsidP="000C1C9F">
      <w:pPr>
        <w:jc w:val="right"/>
        <w:rPr>
          <w:i/>
          <w:iCs/>
          <w:color w:val="000000"/>
          <w:sz w:val="20"/>
          <w:szCs w:val="20"/>
        </w:rPr>
      </w:pPr>
      <w:r w:rsidRPr="00343190">
        <w:rPr>
          <w:i/>
          <w:iCs/>
          <w:color w:val="000000"/>
          <w:sz w:val="20"/>
          <w:szCs w:val="20"/>
        </w:rPr>
        <w:t>(млн. долл.)</w:t>
      </w:r>
    </w:p>
    <w:tbl>
      <w:tblPr>
        <w:tblW w:w="1508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20"/>
      </w:tblPr>
      <w:tblGrid>
        <w:gridCol w:w="2324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0C1C9F" w:rsidRPr="000862FF" w:rsidTr="00B85C09">
        <w:trPr>
          <w:trHeight w:val="988"/>
        </w:trPr>
        <w:tc>
          <w:tcPr>
            <w:tcW w:w="2324" w:type="dxa"/>
            <w:vAlign w:val="center"/>
          </w:tcPr>
          <w:p w:rsidR="000C1C9F" w:rsidRPr="000862FF" w:rsidRDefault="000C1C9F" w:rsidP="00B85C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0C1C9F" w:rsidRPr="000862FF" w:rsidRDefault="000C1C9F" w:rsidP="00B85C09">
            <w:pPr>
              <w:autoSpaceDE w:val="0"/>
              <w:autoSpaceDN w:val="0"/>
              <w:adjustRightInd w:val="0"/>
              <w:ind w:right="8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276" w:type="dxa"/>
            <w:vAlign w:val="center"/>
          </w:tcPr>
          <w:p w:rsidR="000C1C9F" w:rsidRPr="00CC2DAA" w:rsidRDefault="000C1C9F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Операции платёжного баланса</w:t>
            </w:r>
          </w:p>
        </w:tc>
        <w:tc>
          <w:tcPr>
            <w:tcW w:w="1276" w:type="dxa"/>
            <w:vAlign w:val="center"/>
          </w:tcPr>
          <w:p w:rsidR="000C1C9F" w:rsidRPr="00CC2DAA" w:rsidRDefault="000C1C9F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Неопера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ционные изменения</w:t>
            </w:r>
          </w:p>
        </w:tc>
        <w:tc>
          <w:tcPr>
            <w:tcW w:w="1276" w:type="dxa"/>
            <w:vAlign w:val="center"/>
          </w:tcPr>
          <w:p w:rsidR="000C1C9F" w:rsidRPr="000862FF" w:rsidRDefault="000C1C9F" w:rsidP="00B85C09">
            <w:pPr>
              <w:autoSpaceDE w:val="0"/>
              <w:autoSpaceDN w:val="0"/>
              <w:adjustRightInd w:val="0"/>
              <w:ind w:right="119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vAlign w:val="center"/>
          </w:tcPr>
          <w:p w:rsidR="000C1C9F" w:rsidRPr="00CC2DAA" w:rsidRDefault="000C1C9F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Операции платёжного баланса</w:t>
            </w:r>
          </w:p>
        </w:tc>
        <w:tc>
          <w:tcPr>
            <w:tcW w:w="1276" w:type="dxa"/>
            <w:vAlign w:val="center"/>
          </w:tcPr>
          <w:p w:rsidR="000C1C9F" w:rsidRPr="00CC2DAA" w:rsidRDefault="000C1C9F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Неопера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ционные изменения</w:t>
            </w:r>
          </w:p>
        </w:tc>
        <w:tc>
          <w:tcPr>
            <w:tcW w:w="1276" w:type="dxa"/>
            <w:vAlign w:val="center"/>
          </w:tcPr>
          <w:p w:rsidR="000C1C9F" w:rsidRPr="000862FF" w:rsidRDefault="000C1C9F" w:rsidP="00B85C09">
            <w:pPr>
              <w:autoSpaceDE w:val="0"/>
              <w:autoSpaceDN w:val="0"/>
              <w:adjustRightInd w:val="0"/>
              <w:ind w:right="14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z-Cyrl-U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1276" w:type="dxa"/>
            <w:vAlign w:val="center"/>
          </w:tcPr>
          <w:p w:rsidR="000C1C9F" w:rsidRPr="00CC2DAA" w:rsidRDefault="000C1C9F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Операции платёжного баланса</w:t>
            </w:r>
          </w:p>
        </w:tc>
        <w:tc>
          <w:tcPr>
            <w:tcW w:w="1276" w:type="dxa"/>
            <w:vAlign w:val="center"/>
          </w:tcPr>
          <w:p w:rsidR="000C1C9F" w:rsidRPr="00CC2DAA" w:rsidRDefault="000C1C9F" w:rsidP="00B85C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Неопера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ционные изменения</w:t>
            </w:r>
          </w:p>
        </w:tc>
        <w:tc>
          <w:tcPr>
            <w:tcW w:w="1276" w:type="dxa"/>
            <w:vAlign w:val="center"/>
          </w:tcPr>
          <w:p w:rsidR="000C1C9F" w:rsidRPr="000862FF" w:rsidRDefault="000C1C9F" w:rsidP="00B85C09">
            <w:pPr>
              <w:autoSpaceDE w:val="0"/>
              <w:autoSpaceDN w:val="0"/>
              <w:adjustRightInd w:val="0"/>
              <w:ind w:right="35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uz-Cyrl-U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01.01.2020</w:t>
            </w:r>
          </w:p>
        </w:tc>
      </w:tr>
      <w:tr w:rsidR="00ED5069" w:rsidRPr="000862FF" w:rsidTr="00B85C09">
        <w:trPr>
          <w:trHeight w:val="510"/>
        </w:trPr>
        <w:tc>
          <w:tcPr>
            <w:tcW w:w="2324" w:type="dxa"/>
            <w:shd w:val="clear" w:color="auto" w:fill="DEEAF6"/>
            <w:vAlign w:val="center"/>
          </w:tcPr>
          <w:p w:rsidR="00ED5069" w:rsidRPr="00CC2DAA" w:rsidRDefault="00ED5069" w:rsidP="00ED50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Чистая инвестиционная позиция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-6 168,9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232,7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275,3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-5 660,9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2 243,4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1 695,1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-1 722,4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912,8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433,5</w:t>
            </w:r>
          </w:p>
        </w:tc>
      </w:tr>
      <w:tr w:rsidR="00ED5069" w:rsidRPr="000862FF" w:rsidTr="00B85C09">
        <w:trPr>
          <w:trHeight w:val="510"/>
        </w:trPr>
        <w:tc>
          <w:tcPr>
            <w:tcW w:w="2324" w:type="dxa"/>
            <w:shd w:val="clear" w:color="auto" w:fill="DEEAF6"/>
            <w:vAlign w:val="center"/>
          </w:tcPr>
          <w:p w:rsidR="00ED5069" w:rsidRPr="00CC2DAA" w:rsidRDefault="00ED5069" w:rsidP="00ED50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Активы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8 969,3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2 466,1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11 435,9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2 307,4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13 743,3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2 809,0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16 552,5</w:t>
            </w:r>
          </w:p>
        </w:tc>
      </w:tr>
      <w:tr w:rsidR="00ED5069" w:rsidRPr="000862FF" w:rsidTr="00B85C09">
        <w:trPr>
          <w:trHeight w:val="510"/>
        </w:trPr>
        <w:tc>
          <w:tcPr>
            <w:tcW w:w="2324" w:type="dxa"/>
            <w:vAlign w:val="center"/>
          </w:tcPr>
          <w:p w:rsidR="00ED5069" w:rsidRPr="007B602B" w:rsidRDefault="00ED5069" w:rsidP="00ED5069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 xml:space="preserve">Прямые инвестиции 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164,9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173,9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176,7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179,2</w:t>
            </w:r>
          </w:p>
        </w:tc>
      </w:tr>
      <w:tr w:rsidR="00ED5069" w:rsidRPr="000862FF" w:rsidTr="00B85C09">
        <w:trPr>
          <w:trHeight w:val="510"/>
        </w:trPr>
        <w:tc>
          <w:tcPr>
            <w:tcW w:w="2324" w:type="dxa"/>
            <w:vAlign w:val="center"/>
          </w:tcPr>
          <w:p w:rsidR="00ED5069" w:rsidRPr="007B602B" w:rsidRDefault="00ED5069" w:rsidP="00ED5069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>Портфельные инвестиции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</w:tr>
      <w:tr w:rsidR="00ED5069" w:rsidRPr="000862FF" w:rsidTr="00B85C09">
        <w:trPr>
          <w:trHeight w:val="510"/>
        </w:trPr>
        <w:tc>
          <w:tcPr>
            <w:tcW w:w="2324" w:type="dxa"/>
            <w:vAlign w:val="center"/>
          </w:tcPr>
          <w:p w:rsidR="00ED5069" w:rsidRPr="007B602B" w:rsidRDefault="00ED5069" w:rsidP="00ED5069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 xml:space="preserve">Валюта и депозиты 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6 171,7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2 115,0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8 287,2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1 602,9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9 889,2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1 658,1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11 547,5</w:t>
            </w:r>
          </w:p>
        </w:tc>
      </w:tr>
      <w:tr w:rsidR="00ED5069" w:rsidRPr="000862FF" w:rsidTr="00B85C09">
        <w:trPr>
          <w:trHeight w:val="510"/>
        </w:trPr>
        <w:tc>
          <w:tcPr>
            <w:tcW w:w="2324" w:type="dxa"/>
            <w:vAlign w:val="center"/>
          </w:tcPr>
          <w:p w:rsidR="00ED5069" w:rsidRPr="007B602B" w:rsidRDefault="00ED5069" w:rsidP="00ED5069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 xml:space="preserve">Ссуды и займы 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1,1</w:t>
            </w:r>
          </w:p>
        </w:tc>
      </w:tr>
      <w:tr w:rsidR="00ED5069" w:rsidRPr="000862FF" w:rsidTr="00B85C09">
        <w:trPr>
          <w:trHeight w:val="510"/>
        </w:trPr>
        <w:tc>
          <w:tcPr>
            <w:tcW w:w="2324" w:type="dxa"/>
            <w:vAlign w:val="center"/>
          </w:tcPr>
          <w:p w:rsidR="00ED5069" w:rsidRPr="007B602B" w:rsidRDefault="00ED5069" w:rsidP="00ED5069">
            <w:pPr>
              <w:rPr>
                <w:sz w:val="20"/>
                <w:szCs w:val="20"/>
              </w:rPr>
            </w:pPr>
            <w:r w:rsidRPr="006446B6">
              <w:rPr>
                <w:sz w:val="20"/>
                <w:szCs w:val="20"/>
              </w:rPr>
              <w:t>Торговые кредиты и авансы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2 631,6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342,1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2 973,7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702,7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3 676,3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1 148,4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4 824,7</w:t>
            </w:r>
          </w:p>
        </w:tc>
      </w:tr>
      <w:tr w:rsidR="00ED5069" w:rsidRPr="000862FF" w:rsidTr="00B85C09">
        <w:trPr>
          <w:trHeight w:val="510"/>
        </w:trPr>
        <w:tc>
          <w:tcPr>
            <w:tcW w:w="2324" w:type="dxa"/>
            <w:shd w:val="clear" w:color="auto" w:fill="DEEAF6"/>
            <w:vAlign w:val="center"/>
          </w:tcPr>
          <w:p w:rsidR="00ED5069" w:rsidRPr="00CC2DAA" w:rsidRDefault="00ED5069" w:rsidP="00ED50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C2DA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Обязательства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15 138,1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2 233,4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-274,8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17 096,8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-1 695,1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15 465,7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1 896,2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-1 243,0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16 118,9</w:t>
            </w:r>
          </w:p>
        </w:tc>
      </w:tr>
      <w:tr w:rsidR="00ED5069" w:rsidRPr="000862FF" w:rsidTr="00B85C09">
        <w:trPr>
          <w:trHeight w:val="510"/>
        </w:trPr>
        <w:tc>
          <w:tcPr>
            <w:tcW w:w="2324" w:type="dxa"/>
            <w:vAlign w:val="center"/>
          </w:tcPr>
          <w:p w:rsidR="00ED5069" w:rsidRPr="007B602B" w:rsidRDefault="00ED5069" w:rsidP="00ED5069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 xml:space="preserve">Прямые инвестиции 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8 445,3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1 682,2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-270,5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9 857,0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612,4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-1 657,8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8 811,6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2 228,5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-1 751,5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9 288,6</w:t>
            </w:r>
          </w:p>
        </w:tc>
      </w:tr>
      <w:tr w:rsidR="00ED5069" w:rsidRPr="000862FF" w:rsidTr="00B85C09">
        <w:trPr>
          <w:trHeight w:val="510"/>
        </w:trPr>
        <w:tc>
          <w:tcPr>
            <w:tcW w:w="2324" w:type="dxa"/>
            <w:vAlign w:val="center"/>
          </w:tcPr>
          <w:p w:rsidR="00ED5069" w:rsidRPr="007B602B" w:rsidRDefault="00ED5069" w:rsidP="00ED5069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>Портфельные инвестиции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-16,3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36,4</w:t>
            </w:r>
          </w:p>
        </w:tc>
      </w:tr>
      <w:tr w:rsidR="00ED5069" w:rsidRPr="000862FF" w:rsidTr="00B85C09">
        <w:trPr>
          <w:trHeight w:val="510"/>
        </w:trPr>
        <w:tc>
          <w:tcPr>
            <w:tcW w:w="2324" w:type="dxa"/>
            <w:vAlign w:val="center"/>
          </w:tcPr>
          <w:p w:rsidR="00ED5069" w:rsidRPr="007B602B" w:rsidRDefault="00ED5069" w:rsidP="00ED5069">
            <w:pPr>
              <w:rPr>
                <w:sz w:val="20"/>
                <w:szCs w:val="20"/>
              </w:rPr>
            </w:pPr>
            <w:r w:rsidRPr="007B602B">
              <w:rPr>
                <w:sz w:val="20"/>
                <w:szCs w:val="20"/>
              </w:rPr>
              <w:t>Ссуды и займы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6 321,3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-17,8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-4,1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6 299,4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-743,8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-46,5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5 509,1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-660,1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-4,4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4 844,6</w:t>
            </w:r>
          </w:p>
        </w:tc>
      </w:tr>
      <w:tr w:rsidR="00ED5069" w:rsidRPr="000862FF" w:rsidTr="00B85C09">
        <w:trPr>
          <w:trHeight w:val="510"/>
        </w:trPr>
        <w:tc>
          <w:tcPr>
            <w:tcW w:w="2324" w:type="dxa"/>
            <w:vAlign w:val="center"/>
          </w:tcPr>
          <w:p w:rsidR="00ED5069" w:rsidRPr="007B602B" w:rsidRDefault="00ED5069" w:rsidP="00ED5069">
            <w:pPr>
              <w:rPr>
                <w:sz w:val="20"/>
                <w:szCs w:val="20"/>
              </w:rPr>
            </w:pPr>
            <w:r w:rsidRPr="006446B6">
              <w:rPr>
                <w:sz w:val="20"/>
                <w:szCs w:val="20"/>
              </w:rPr>
              <w:t>Торговые кредиты и авансы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225,3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193,3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418,6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331,0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749,7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215,2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964,9</w:t>
            </w:r>
          </w:p>
        </w:tc>
      </w:tr>
      <w:tr w:rsidR="00ED5069" w:rsidRPr="000862FF" w:rsidTr="00B85C09">
        <w:trPr>
          <w:trHeight w:val="510"/>
        </w:trPr>
        <w:tc>
          <w:tcPr>
            <w:tcW w:w="2324" w:type="dxa"/>
            <w:vAlign w:val="center"/>
          </w:tcPr>
          <w:p w:rsidR="00ED5069" w:rsidRPr="007B602B" w:rsidRDefault="00ED5069" w:rsidP="00ED5069">
            <w:pPr>
              <w:rPr>
                <w:sz w:val="20"/>
                <w:szCs w:val="20"/>
              </w:rPr>
            </w:pPr>
            <w:r w:rsidRPr="00FE7F16">
              <w:rPr>
                <w:sz w:val="20"/>
                <w:szCs w:val="20"/>
              </w:rPr>
              <w:t>Прочая кредиторская задолженность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515,7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-148,7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529,2</w:t>
            </w:r>
          </w:p>
        </w:tc>
        <w:tc>
          <w:tcPr>
            <w:tcW w:w="1276" w:type="dxa"/>
            <w:vAlign w:val="center"/>
          </w:tcPr>
          <w:p w:rsidR="00ED5069" w:rsidRPr="00ED5069" w:rsidRDefault="00ED5069" w:rsidP="00ED5069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D5069">
              <w:rPr>
                <w:rFonts w:asciiTheme="minorHAnsi" w:hAnsiTheme="minorHAnsi" w:cs="Arial"/>
                <w:color w:val="000000"/>
                <w:sz w:val="20"/>
                <w:szCs w:val="20"/>
              </w:rPr>
              <w:t>984,5</w:t>
            </w:r>
          </w:p>
        </w:tc>
      </w:tr>
    </w:tbl>
    <w:p w:rsidR="006446B6" w:rsidRDefault="006446B6" w:rsidP="00BD5534">
      <w:pPr>
        <w:jc w:val="center"/>
      </w:pPr>
    </w:p>
    <w:p w:rsidR="006446B6" w:rsidRPr="006F08D3" w:rsidRDefault="006446B6" w:rsidP="00BD5534">
      <w:pPr>
        <w:jc w:val="center"/>
      </w:pPr>
    </w:p>
    <w:p w:rsidR="00573179" w:rsidRPr="006F08D3" w:rsidRDefault="00573179" w:rsidP="00A00BB4">
      <w:pPr>
        <w:rPr>
          <w:rFonts w:cs="Arial"/>
        </w:rPr>
        <w:sectPr w:rsidR="00573179" w:rsidRPr="006F08D3" w:rsidSect="00353B97">
          <w:footerReference w:type="first" r:id="rId50"/>
          <w:pgSz w:w="16838" w:h="11906" w:orient="landscape" w:code="9"/>
          <w:pgMar w:top="567" w:right="1021" w:bottom="709" w:left="851" w:header="709" w:footer="709" w:gutter="0"/>
          <w:cols w:space="708"/>
          <w:titlePg/>
          <w:docGrid w:linePitch="360"/>
        </w:sectPr>
      </w:pPr>
    </w:p>
    <w:p w:rsidR="0028029B" w:rsidRPr="00413044" w:rsidRDefault="0028029B" w:rsidP="009D69FC">
      <w:pPr>
        <w:pStyle w:val="af2"/>
        <w:keepNext/>
        <w:jc w:val="right"/>
        <w:rPr>
          <w:color w:val="auto"/>
          <w:sz w:val="24"/>
          <w:szCs w:val="24"/>
        </w:rPr>
      </w:pPr>
      <w:r w:rsidRPr="00413044">
        <w:rPr>
          <w:color w:val="auto"/>
          <w:sz w:val="24"/>
          <w:szCs w:val="24"/>
        </w:rPr>
        <w:t xml:space="preserve">Приложение </w:t>
      </w:r>
      <w:r w:rsidR="00C6434B" w:rsidRPr="00413044">
        <w:rPr>
          <w:color w:val="auto"/>
          <w:sz w:val="24"/>
          <w:szCs w:val="24"/>
        </w:rPr>
        <w:t>13</w:t>
      </w:r>
      <w:r w:rsidR="006C407D">
        <w:rPr>
          <w:color w:val="auto"/>
          <w:sz w:val="24"/>
          <w:szCs w:val="24"/>
        </w:rPr>
        <w:t>.1</w:t>
      </w:r>
    </w:p>
    <w:p w:rsidR="005219A6" w:rsidRPr="006B246F" w:rsidRDefault="002E0F0B" w:rsidP="009D69FC">
      <w:pPr>
        <w:pStyle w:val="1"/>
        <w:ind w:left="0"/>
        <w:jc w:val="center"/>
        <w:rPr>
          <w:rFonts w:ascii="Calibri" w:hAnsi="Calibri"/>
          <w:sz w:val="26"/>
          <w:szCs w:val="26"/>
        </w:rPr>
      </w:pPr>
      <w:bookmarkStart w:id="47" w:name="_Toc35458639"/>
      <w:r w:rsidRPr="006B246F">
        <w:rPr>
          <w:rFonts w:ascii="Calibri" w:hAnsi="Calibri"/>
          <w:sz w:val="26"/>
          <w:szCs w:val="26"/>
        </w:rPr>
        <w:t>ИНФОРМАЦИЯ О ПОСТУПЛЕНИЯХ И ПЛАТЕЖАХ ПО ЧАСТНОМУ ВНЕШНЕМУ ДОЛГУ ЗА 2019 ГОД</w:t>
      </w:r>
      <w:bookmarkEnd w:id="47"/>
    </w:p>
    <w:p w:rsidR="007B1BA2" w:rsidRPr="00413044" w:rsidRDefault="007B1BA2" w:rsidP="009D69FC">
      <w:pPr>
        <w:jc w:val="center"/>
        <w:rPr>
          <w:b/>
        </w:rPr>
      </w:pPr>
      <w:r w:rsidRPr="00413044">
        <w:rPr>
          <w:i/>
        </w:rPr>
        <w:t>(тип заёмщика: все заёмщики)</w:t>
      </w:r>
    </w:p>
    <w:p w:rsidR="007B1BA2" w:rsidRPr="00413044" w:rsidRDefault="007B1BA2" w:rsidP="009D69FC">
      <w:pPr>
        <w:rPr>
          <w:b/>
        </w:rPr>
      </w:pPr>
    </w:p>
    <w:p w:rsidR="007B1BA2" w:rsidRPr="00413044" w:rsidRDefault="007B1BA2" w:rsidP="007B1BA2">
      <w:pPr>
        <w:jc w:val="right"/>
        <w:rPr>
          <w:i/>
        </w:rPr>
      </w:pPr>
    </w:p>
    <w:tbl>
      <w:tblPr>
        <w:tblpPr w:leftFromText="180" w:rightFromText="180" w:vertAnchor="page" w:horzAnchor="margin" w:tblpX="-147" w:tblpY="3218"/>
        <w:tblW w:w="1505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/>
      </w:tblPr>
      <w:tblGrid>
        <w:gridCol w:w="3240"/>
        <w:gridCol w:w="1850"/>
        <w:gridCol w:w="1565"/>
        <w:gridCol w:w="1594"/>
        <w:gridCol w:w="1536"/>
        <w:gridCol w:w="1850"/>
        <w:gridCol w:w="1711"/>
        <w:gridCol w:w="1708"/>
      </w:tblGrid>
      <w:tr w:rsidR="003A13F3" w:rsidRPr="00413044" w:rsidTr="00B133D5">
        <w:trPr>
          <w:trHeight w:val="259"/>
        </w:trPr>
        <w:tc>
          <w:tcPr>
            <w:tcW w:w="3240" w:type="dxa"/>
            <w:vMerge w:val="restart"/>
            <w:shd w:val="clear" w:color="auto" w:fill="DEEAF6"/>
            <w:vAlign w:val="center"/>
            <w:hideMark/>
          </w:tcPr>
          <w:p w:rsidR="003A13F3" w:rsidRPr="00413044" w:rsidRDefault="003A13F3" w:rsidP="00B133D5">
            <w:pPr>
              <w:jc w:val="center"/>
              <w:rPr>
                <w:b/>
              </w:rPr>
            </w:pPr>
            <w:r w:rsidRPr="00413044">
              <w:rPr>
                <w:b/>
              </w:rPr>
              <w:t>Тип кредитора</w:t>
            </w:r>
          </w:p>
        </w:tc>
        <w:tc>
          <w:tcPr>
            <w:tcW w:w="1850" w:type="dxa"/>
            <w:shd w:val="clear" w:color="auto" w:fill="DEEAF6"/>
            <w:vAlign w:val="center"/>
            <w:hideMark/>
          </w:tcPr>
          <w:p w:rsidR="003A13F3" w:rsidRPr="00413044" w:rsidRDefault="003A13F3" w:rsidP="00B133D5">
            <w:pPr>
              <w:jc w:val="center"/>
              <w:rPr>
                <w:b/>
              </w:rPr>
            </w:pPr>
            <w:r w:rsidRPr="00413044">
              <w:rPr>
                <w:b/>
              </w:rPr>
              <w:t>Начало периода</w:t>
            </w:r>
          </w:p>
        </w:tc>
        <w:tc>
          <w:tcPr>
            <w:tcW w:w="8256" w:type="dxa"/>
            <w:gridSpan w:val="5"/>
            <w:shd w:val="clear" w:color="auto" w:fill="DEEAF6"/>
            <w:noWrap/>
            <w:vAlign w:val="center"/>
            <w:hideMark/>
          </w:tcPr>
          <w:p w:rsidR="003A13F3" w:rsidRPr="00413044" w:rsidRDefault="003A13F3" w:rsidP="00B133D5">
            <w:pPr>
              <w:jc w:val="center"/>
              <w:rPr>
                <w:b/>
              </w:rPr>
            </w:pPr>
            <w:r w:rsidRPr="00413044">
              <w:rPr>
                <w:b/>
              </w:rPr>
              <w:t>Движение в течение периода</w:t>
            </w:r>
          </w:p>
        </w:tc>
        <w:tc>
          <w:tcPr>
            <w:tcW w:w="1708" w:type="dxa"/>
            <w:shd w:val="clear" w:color="auto" w:fill="DEEAF6"/>
            <w:vAlign w:val="center"/>
            <w:hideMark/>
          </w:tcPr>
          <w:p w:rsidR="003A13F3" w:rsidRPr="00413044" w:rsidRDefault="003A13F3" w:rsidP="00B133D5">
            <w:pPr>
              <w:jc w:val="center"/>
              <w:rPr>
                <w:b/>
              </w:rPr>
            </w:pPr>
            <w:r w:rsidRPr="00413044">
              <w:rPr>
                <w:b/>
              </w:rPr>
              <w:t>На конец периода</w:t>
            </w:r>
          </w:p>
        </w:tc>
      </w:tr>
      <w:tr w:rsidR="003A13F3" w:rsidRPr="00413044" w:rsidTr="00B133D5">
        <w:trPr>
          <w:trHeight w:val="519"/>
        </w:trPr>
        <w:tc>
          <w:tcPr>
            <w:tcW w:w="3240" w:type="dxa"/>
            <w:vMerge/>
            <w:shd w:val="clear" w:color="auto" w:fill="DEEAF6"/>
            <w:vAlign w:val="center"/>
            <w:hideMark/>
          </w:tcPr>
          <w:p w:rsidR="003A13F3" w:rsidRPr="00413044" w:rsidRDefault="003A13F3" w:rsidP="00B133D5">
            <w:pPr>
              <w:rPr>
                <w:b/>
              </w:rPr>
            </w:pPr>
          </w:p>
        </w:tc>
        <w:tc>
          <w:tcPr>
            <w:tcW w:w="1850" w:type="dxa"/>
            <w:shd w:val="clear" w:color="auto" w:fill="DEEAF6"/>
            <w:vAlign w:val="center"/>
            <w:hideMark/>
          </w:tcPr>
          <w:p w:rsidR="003A13F3" w:rsidRPr="00413044" w:rsidRDefault="003A13F3" w:rsidP="00B133D5">
            <w:pPr>
              <w:jc w:val="center"/>
              <w:rPr>
                <w:b/>
                <w:sz w:val="22"/>
              </w:rPr>
            </w:pPr>
            <w:r w:rsidRPr="00413044">
              <w:rPr>
                <w:b/>
                <w:sz w:val="22"/>
              </w:rPr>
              <w:t xml:space="preserve">Фактическая задолженность </w:t>
            </w:r>
          </w:p>
        </w:tc>
        <w:tc>
          <w:tcPr>
            <w:tcW w:w="1565" w:type="dxa"/>
            <w:shd w:val="clear" w:color="auto" w:fill="DEEAF6"/>
            <w:vAlign w:val="center"/>
            <w:hideMark/>
          </w:tcPr>
          <w:p w:rsidR="003A13F3" w:rsidRPr="00413044" w:rsidRDefault="00AC520C" w:rsidP="00B133D5">
            <w:pPr>
              <w:jc w:val="center"/>
              <w:rPr>
                <w:b/>
                <w:sz w:val="22"/>
              </w:rPr>
            </w:pPr>
            <w:r w:rsidRPr="00413044">
              <w:rPr>
                <w:b/>
                <w:sz w:val="22"/>
              </w:rPr>
              <w:t>Поступление</w:t>
            </w:r>
          </w:p>
        </w:tc>
        <w:tc>
          <w:tcPr>
            <w:tcW w:w="1594" w:type="dxa"/>
            <w:shd w:val="clear" w:color="auto" w:fill="DEEAF6"/>
            <w:vAlign w:val="center"/>
            <w:hideMark/>
          </w:tcPr>
          <w:p w:rsidR="003A13F3" w:rsidRPr="00413044" w:rsidRDefault="00AC520C" w:rsidP="00B133D5">
            <w:pPr>
              <w:jc w:val="center"/>
              <w:rPr>
                <w:b/>
                <w:sz w:val="22"/>
              </w:rPr>
            </w:pPr>
            <w:r w:rsidRPr="00413044">
              <w:rPr>
                <w:b/>
                <w:sz w:val="22"/>
              </w:rPr>
              <w:t>Погашено по основному д</w:t>
            </w:r>
            <w:r w:rsidR="003A13F3" w:rsidRPr="00413044">
              <w:rPr>
                <w:b/>
                <w:sz w:val="22"/>
              </w:rPr>
              <w:t>олгу</w:t>
            </w:r>
          </w:p>
        </w:tc>
        <w:tc>
          <w:tcPr>
            <w:tcW w:w="1536" w:type="dxa"/>
            <w:shd w:val="clear" w:color="auto" w:fill="DEEAF6"/>
            <w:vAlign w:val="center"/>
            <w:hideMark/>
          </w:tcPr>
          <w:p w:rsidR="003A13F3" w:rsidRPr="00413044" w:rsidRDefault="003A13F3" w:rsidP="00B133D5">
            <w:pPr>
              <w:jc w:val="center"/>
              <w:rPr>
                <w:b/>
                <w:sz w:val="22"/>
              </w:rPr>
            </w:pPr>
            <w:r w:rsidRPr="00413044">
              <w:rPr>
                <w:b/>
                <w:sz w:val="22"/>
              </w:rPr>
              <w:t>Погашено по процентным платежам</w:t>
            </w:r>
          </w:p>
        </w:tc>
        <w:tc>
          <w:tcPr>
            <w:tcW w:w="1850" w:type="dxa"/>
            <w:shd w:val="clear" w:color="auto" w:fill="DEEAF6"/>
            <w:vAlign w:val="center"/>
            <w:hideMark/>
          </w:tcPr>
          <w:p w:rsidR="003A13F3" w:rsidRPr="00413044" w:rsidRDefault="003A13F3" w:rsidP="00B133D5">
            <w:pPr>
              <w:jc w:val="center"/>
              <w:rPr>
                <w:b/>
                <w:sz w:val="22"/>
              </w:rPr>
            </w:pPr>
            <w:r w:rsidRPr="00413044">
              <w:rPr>
                <w:b/>
                <w:sz w:val="22"/>
              </w:rPr>
              <w:t>Перенесенные выплаты по основному долгу</w:t>
            </w:r>
          </w:p>
        </w:tc>
        <w:tc>
          <w:tcPr>
            <w:tcW w:w="1711" w:type="dxa"/>
            <w:shd w:val="clear" w:color="auto" w:fill="DEEAF6"/>
            <w:vAlign w:val="center"/>
            <w:hideMark/>
          </w:tcPr>
          <w:p w:rsidR="003A13F3" w:rsidRPr="00413044" w:rsidRDefault="003A13F3" w:rsidP="00B133D5">
            <w:pPr>
              <w:jc w:val="center"/>
              <w:rPr>
                <w:b/>
                <w:sz w:val="22"/>
              </w:rPr>
            </w:pPr>
            <w:r w:rsidRPr="00413044">
              <w:rPr>
                <w:b/>
                <w:sz w:val="22"/>
              </w:rPr>
              <w:t>Перенесенные выплаты по процентам</w:t>
            </w:r>
          </w:p>
        </w:tc>
        <w:tc>
          <w:tcPr>
            <w:tcW w:w="1708" w:type="dxa"/>
            <w:shd w:val="clear" w:color="auto" w:fill="DEEAF6"/>
            <w:vAlign w:val="center"/>
            <w:hideMark/>
          </w:tcPr>
          <w:p w:rsidR="003A13F3" w:rsidRPr="00413044" w:rsidRDefault="003A13F3" w:rsidP="00B133D5">
            <w:pPr>
              <w:jc w:val="center"/>
              <w:rPr>
                <w:b/>
                <w:sz w:val="22"/>
              </w:rPr>
            </w:pPr>
            <w:r w:rsidRPr="00413044">
              <w:rPr>
                <w:b/>
                <w:sz w:val="22"/>
              </w:rPr>
              <w:t>Фактиче</w:t>
            </w:r>
            <w:r w:rsidR="00E906D7">
              <w:rPr>
                <w:b/>
                <w:sz w:val="22"/>
              </w:rPr>
              <w:t>ская задолженность</w:t>
            </w:r>
          </w:p>
        </w:tc>
      </w:tr>
      <w:tr w:rsidR="003A13F3" w:rsidRPr="00413044" w:rsidTr="00B133D5">
        <w:trPr>
          <w:trHeight w:val="259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3A13F3" w:rsidRPr="00413044" w:rsidRDefault="003A13F3" w:rsidP="00B133D5">
            <w:pPr>
              <w:jc w:val="center"/>
            </w:pPr>
            <w:r w:rsidRPr="00413044">
              <w:t>1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3A13F3" w:rsidRPr="00413044" w:rsidRDefault="003A13F3" w:rsidP="00B133D5">
            <w:pPr>
              <w:jc w:val="center"/>
            </w:pPr>
            <w:r w:rsidRPr="00413044">
              <w:t>2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A13F3" w:rsidRPr="00413044" w:rsidRDefault="003A13F3" w:rsidP="00B133D5">
            <w:pPr>
              <w:jc w:val="center"/>
            </w:pPr>
            <w:r w:rsidRPr="00413044">
              <w:t>3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3A13F3" w:rsidRPr="00413044" w:rsidRDefault="003A13F3" w:rsidP="00B133D5">
            <w:pPr>
              <w:jc w:val="center"/>
            </w:pPr>
            <w:r w:rsidRPr="00413044">
              <w:t>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A13F3" w:rsidRPr="00413044" w:rsidRDefault="003A13F3" w:rsidP="00B133D5">
            <w:pPr>
              <w:jc w:val="center"/>
            </w:pPr>
            <w:r w:rsidRPr="00413044">
              <w:t>5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3A13F3" w:rsidRPr="00413044" w:rsidRDefault="003A13F3" w:rsidP="00B133D5">
            <w:pPr>
              <w:jc w:val="center"/>
            </w:pPr>
            <w:r w:rsidRPr="00413044">
              <w:t>6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3A13F3" w:rsidRPr="00413044" w:rsidRDefault="003A13F3" w:rsidP="00B133D5">
            <w:pPr>
              <w:jc w:val="center"/>
            </w:pPr>
            <w:r w:rsidRPr="00413044">
              <w:t>7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3A13F3" w:rsidRPr="00413044" w:rsidRDefault="003A13F3" w:rsidP="00B133D5">
            <w:pPr>
              <w:jc w:val="center"/>
            </w:pPr>
            <w:r w:rsidRPr="00413044">
              <w:t>8</w:t>
            </w:r>
          </w:p>
        </w:tc>
      </w:tr>
      <w:tr w:rsidR="009407BB" w:rsidRPr="00413044" w:rsidTr="00B133D5">
        <w:trPr>
          <w:trHeight w:val="600"/>
        </w:trPr>
        <w:tc>
          <w:tcPr>
            <w:tcW w:w="3240" w:type="dxa"/>
            <w:shd w:val="clear" w:color="auto" w:fill="auto"/>
            <w:vAlign w:val="center"/>
            <w:hideMark/>
          </w:tcPr>
          <w:p w:rsidR="009407BB" w:rsidRPr="00413044" w:rsidRDefault="009407BB" w:rsidP="00B133D5">
            <w:r w:rsidRPr="00413044">
              <w:t>Иностранные банки и другие финансовые институты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9407BB" w:rsidRPr="00413044" w:rsidRDefault="009407BB" w:rsidP="00B133D5">
            <w:pPr>
              <w:jc w:val="center"/>
            </w:pPr>
            <w:r w:rsidRPr="00413044">
              <w:t>5 723,8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407BB" w:rsidRPr="00F60A6A" w:rsidRDefault="009407BB" w:rsidP="00B133D5">
            <w:pPr>
              <w:jc w:val="center"/>
            </w:pPr>
            <w:r w:rsidRPr="00F60A6A">
              <w:t>1 840,9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9407BB" w:rsidRPr="00F60A6A" w:rsidRDefault="009407BB" w:rsidP="00B133D5">
            <w:pPr>
              <w:jc w:val="center"/>
            </w:pPr>
            <w:r w:rsidRPr="00F60A6A">
              <w:t>1 178,1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407BB" w:rsidRPr="00F60A6A" w:rsidRDefault="009407BB" w:rsidP="00B133D5">
            <w:pPr>
              <w:jc w:val="center"/>
            </w:pPr>
            <w:r w:rsidRPr="00F60A6A">
              <w:t>374,7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9407BB" w:rsidRPr="00F60A6A" w:rsidRDefault="009407BB" w:rsidP="00B133D5">
            <w:pPr>
              <w:jc w:val="center"/>
            </w:pPr>
            <w:r w:rsidRPr="00F60A6A">
              <w:t>-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9407BB" w:rsidRPr="00F60A6A" w:rsidRDefault="009407BB" w:rsidP="00B133D5">
            <w:pPr>
              <w:jc w:val="center"/>
            </w:pPr>
            <w:r w:rsidRPr="00F60A6A">
              <w:t>-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9407BB" w:rsidRPr="00F60A6A" w:rsidRDefault="009407BB" w:rsidP="00B133D5">
            <w:pPr>
              <w:jc w:val="center"/>
            </w:pPr>
            <w:r w:rsidRPr="00F60A6A">
              <w:t>6 393,3</w:t>
            </w:r>
          </w:p>
        </w:tc>
      </w:tr>
      <w:tr w:rsidR="009407BB" w:rsidRPr="00413044" w:rsidTr="00B133D5">
        <w:trPr>
          <w:trHeight w:val="519"/>
        </w:trPr>
        <w:tc>
          <w:tcPr>
            <w:tcW w:w="3240" w:type="dxa"/>
            <w:shd w:val="clear" w:color="auto" w:fill="auto"/>
            <w:vAlign w:val="center"/>
            <w:hideMark/>
          </w:tcPr>
          <w:p w:rsidR="009407BB" w:rsidRPr="00413044" w:rsidRDefault="009407BB" w:rsidP="00B133D5">
            <w:r w:rsidRPr="00413044">
              <w:t>Зарубежные материнские компании и филиалы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9407BB" w:rsidRPr="00B13B74" w:rsidRDefault="009407BB" w:rsidP="00B133D5">
            <w:pPr>
              <w:jc w:val="center"/>
              <w:rPr>
                <w:lang w:val="en-US"/>
              </w:rPr>
            </w:pPr>
            <w:r>
              <w:t>659</w:t>
            </w:r>
            <w:r w:rsidRPr="00413044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407BB" w:rsidRPr="00F60A6A" w:rsidRDefault="009407BB" w:rsidP="00B133D5">
            <w:pPr>
              <w:jc w:val="center"/>
            </w:pPr>
            <w:r w:rsidRPr="00F60A6A">
              <w:t>208,9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9407BB" w:rsidRPr="00F60A6A" w:rsidRDefault="009407BB" w:rsidP="00B133D5">
            <w:pPr>
              <w:jc w:val="center"/>
            </w:pPr>
            <w:r w:rsidRPr="00F60A6A">
              <w:t>73,3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407BB" w:rsidRPr="00F60A6A" w:rsidRDefault="009407BB" w:rsidP="00B133D5">
            <w:pPr>
              <w:jc w:val="center"/>
            </w:pPr>
            <w:r w:rsidRPr="00F60A6A">
              <w:t>9,3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9407BB" w:rsidRPr="00F60A6A" w:rsidRDefault="009407BB" w:rsidP="00B133D5">
            <w:pPr>
              <w:jc w:val="center"/>
            </w:pPr>
            <w:r w:rsidRPr="00F60A6A">
              <w:t>-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9407BB" w:rsidRPr="00F60A6A" w:rsidRDefault="009407BB" w:rsidP="00B133D5">
            <w:pPr>
              <w:jc w:val="center"/>
            </w:pPr>
            <w:r w:rsidRPr="00F60A6A">
              <w:t>-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9407BB" w:rsidRPr="00F60A6A" w:rsidRDefault="009407BB" w:rsidP="00B133D5">
            <w:pPr>
              <w:jc w:val="center"/>
            </w:pPr>
            <w:r w:rsidRPr="00F60A6A">
              <w:t>788,5</w:t>
            </w:r>
          </w:p>
        </w:tc>
      </w:tr>
      <w:tr w:rsidR="009407BB" w:rsidRPr="00413044" w:rsidTr="00B133D5">
        <w:trPr>
          <w:trHeight w:val="519"/>
        </w:trPr>
        <w:tc>
          <w:tcPr>
            <w:tcW w:w="3240" w:type="dxa"/>
            <w:shd w:val="clear" w:color="auto" w:fill="auto"/>
            <w:vAlign w:val="center"/>
            <w:hideMark/>
          </w:tcPr>
          <w:p w:rsidR="009407BB" w:rsidRPr="00413044" w:rsidRDefault="009407BB" w:rsidP="00B133D5">
            <w:r w:rsidRPr="00413044">
              <w:t>Экспортеры и другие частные источники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9407BB" w:rsidRPr="00413044" w:rsidRDefault="009407BB" w:rsidP="00B133D5">
            <w:pPr>
              <w:jc w:val="center"/>
            </w:pPr>
            <w:r>
              <w:t>361,6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407BB" w:rsidRPr="00F60A6A" w:rsidRDefault="009407BB" w:rsidP="00B133D5">
            <w:pPr>
              <w:jc w:val="center"/>
            </w:pPr>
            <w:r w:rsidRPr="00F60A6A">
              <w:t>357,7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9407BB" w:rsidRPr="00F60A6A" w:rsidRDefault="009407BB" w:rsidP="00B133D5">
            <w:pPr>
              <w:jc w:val="center"/>
            </w:pPr>
            <w:r w:rsidRPr="00F60A6A">
              <w:t>203,3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407BB" w:rsidRPr="00F60A6A" w:rsidRDefault="009407BB" w:rsidP="00B133D5">
            <w:pPr>
              <w:jc w:val="center"/>
            </w:pPr>
            <w:r w:rsidRPr="00F60A6A">
              <w:t>6,2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9407BB" w:rsidRPr="00F60A6A" w:rsidRDefault="009407BB" w:rsidP="00B133D5">
            <w:pPr>
              <w:jc w:val="center"/>
            </w:pPr>
            <w:r w:rsidRPr="00F60A6A">
              <w:t>-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9407BB" w:rsidRPr="00F60A6A" w:rsidRDefault="009407BB" w:rsidP="00B133D5">
            <w:pPr>
              <w:jc w:val="center"/>
            </w:pPr>
            <w:r w:rsidRPr="00F60A6A">
              <w:t>-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9407BB" w:rsidRPr="00F60A6A" w:rsidRDefault="009407BB" w:rsidP="00B133D5">
            <w:pPr>
              <w:jc w:val="center"/>
            </w:pPr>
            <w:r w:rsidRPr="00F60A6A">
              <w:t>510,7</w:t>
            </w:r>
          </w:p>
        </w:tc>
      </w:tr>
      <w:tr w:rsidR="009407BB" w:rsidRPr="00413044" w:rsidTr="00B133D5">
        <w:trPr>
          <w:trHeight w:val="666"/>
        </w:trPr>
        <w:tc>
          <w:tcPr>
            <w:tcW w:w="3240" w:type="dxa"/>
            <w:shd w:val="clear" w:color="auto" w:fill="auto"/>
            <w:vAlign w:val="center"/>
            <w:hideMark/>
          </w:tcPr>
          <w:p w:rsidR="009407BB" w:rsidRPr="00413044" w:rsidRDefault="009407BB" w:rsidP="00B133D5">
            <w:r w:rsidRPr="00413044">
              <w:t>Официальные источники (Правительства и международные организации)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9407BB" w:rsidRPr="00413044" w:rsidRDefault="009407BB" w:rsidP="00B133D5">
            <w:pPr>
              <w:jc w:val="center"/>
            </w:pPr>
            <w:r w:rsidRPr="00413044">
              <w:t>316,6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9407BB" w:rsidRPr="00F60A6A" w:rsidRDefault="009407BB" w:rsidP="00B133D5">
            <w:pPr>
              <w:jc w:val="center"/>
            </w:pPr>
            <w:r w:rsidRPr="00F60A6A">
              <w:t>138,8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9407BB" w:rsidRPr="00F60A6A" w:rsidRDefault="009407BB" w:rsidP="00B133D5">
            <w:pPr>
              <w:jc w:val="center"/>
            </w:pPr>
            <w:r w:rsidRPr="00F60A6A">
              <w:t>66,8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9407BB" w:rsidRPr="00F60A6A" w:rsidRDefault="009407BB" w:rsidP="00B133D5">
            <w:pPr>
              <w:jc w:val="center"/>
            </w:pPr>
            <w:r w:rsidRPr="00F60A6A">
              <w:t>21,5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9407BB" w:rsidRPr="00F60A6A" w:rsidRDefault="009407BB" w:rsidP="00B133D5">
            <w:pPr>
              <w:jc w:val="center"/>
            </w:pPr>
            <w:r w:rsidRPr="00F60A6A">
              <w:t>-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9407BB" w:rsidRPr="00F60A6A" w:rsidRDefault="009407BB" w:rsidP="00B133D5">
            <w:pPr>
              <w:jc w:val="center"/>
            </w:pPr>
            <w:r w:rsidRPr="00F60A6A">
              <w:t>-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9407BB" w:rsidRDefault="009407BB" w:rsidP="00B133D5">
            <w:pPr>
              <w:jc w:val="center"/>
            </w:pPr>
            <w:r w:rsidRPr="00F60A6A">
              <w:t>388,6</w:t>
            </w:r>
          </w:p>
        </w:tc>
      </w:tr>
      <w:tr w:rsidR="00C31CDE" w:rsidRPr="00413044" w:rsidTr="00B133D5">
        <w:trPr>
          <w:trHeight w:val="666"/>
        </w:trPr>
        <w:tc>
          <w:tcPr>
            <w:tcW w:w="3240" w:type="dxa"/>
            <w:shd w:val="clear" w:color="auto" w:fill="auto"/>
            <w:vAlign w:val="center"/>
          </w:tcPr>
          <w:p w:rsidR="00C31CDE" w:rsidRPr="00413044" w:rsidRDefault="00C31CDE" w:rsidP="00B133D5">
            <w:r>
              <w:t>Международные облигации</w:t>
            </w:r>
          </w:p>
        </w:tc>
        <w:tc>
          <w:tcPr>
            <w:tcW w:w="1850" w:type="dxa"/>
            <w:shd w:val="clear" w:color="auto" w:fill="auto"/>
            <w:noWrap/>
            <w:vAlign w:val="center"/>
          </w:tcPr>
          <w:p w:rsidR="00C31CDE" w:rsidRPr="00413044" w:rsidRDefault="00C31CDE" w:rsidP="00B133D5">
            <w:pPr>
              <w:jc w:val="center"/>
            </w:pPr>
            <w:r>
              <w:t>-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31CDE" w:rsidRPr="00434B1E" w:rsidRDefault="00C31CDE" w:rsidP="00B133D5">
            <w:pPr>
              <w:jc w:val="center"/>
            </w:pPr>
            <w:r w:rsidRPr="00434B1E">
              <w:t>295,6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C31CDE" w:rsidRPr="00434B1E" w:rsidRDefault="00C31CDE" w:rsidP="00B133D5">
            <w:pPr>
              <w:jc w:val="center"/>
            </w:pPr>
            <w:r w:rsidRPr="00434B1E">
              <w:t>-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C31CDE" w:rsidRPr="00434B1E" w:rsidRDefault="00C31CDE" w:rsidP="00B133D5">
            <w:pPr>
              <w:jc w:val="center"/>
            </w:pPr>
            <w:r w:rsidRPr="00434B1E">
              <w:t>-</w:t>
            </w:r>
          </w:p>
        </w:tc>
        <w:tc>
          <w:tcPr>
            <w:tcW w:w="1850" w:type="dxa"/>
            <w:shd w:val="clear" w:color="auto" w:fill="auto"/>
            <w:noWrap/>
            <w:vAlign w:val="center"/>
          </w:tcPr>
          <w:p w:rsidR="00C31CDE" w:rsidRPr="00434B1E" w:rsidRDefault="00C31CDE" w:rsidP="00B133D5">
            <w:pPr>
              <w:jc w:val="center"/>
            </w:pPr>
            <w:r w:rsidRPr="00434B1E">
              <w:t>-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31CDE" w:rsidRPr="00434B1E" w:rsidRDefault="00C31CDE" w:rsidP="00B133D5">
            <w:pPr>
              <w:jc w:val="center"/>
            </w:pPr>
            <w:r w:rsidRPr="00434B1E">
              <w:t>-</w:t>
            </w:r>
          </w:p>
        </w:tc>
        <w:tc>
          <w:tcPr>
            <w:tcW w:w="1708" w:type="dxa"/>
            <w:shd w:val="clear" w:color="auto" w:fill="auto"/>
            <w:noWrap/>
            <w:vAlign w:val="center"/>
          </w:tcPr>
          <w:p w:rsidR="00C31CDE" w:rsidRPr="00434B1E" w:rsidRDefault="00C31CDE" w:rsidP="00B133D5">
            <w:pPr>
              <w:jc w:val="center"/>
            </w:pPr>
            <w:r w:rsidRPr="00434B1E">
              <w:t>300,0</w:t>
            </w:r>
          </w:p>
        </w:tc>
      </w:tr>
      <w:tr w:rsidR="00C31CDE" w:rsidRPr="00413044" w:rsidTr="00B133D5">
        <w:trPr>
          <w:trHeight w:val="441"/>
        </w:trPr>
        <w:tc>
          <w:tcPr>
            <w:tcW w:w="3240" w:type="dxa"/>
            <w:shd w:val="clear" w:color="auto" w:fill="DEEAF6"/>
            <w:noWrap/>
            <w:vAlign w:val="center"/>
            <w:hideMark/>
          </w:tcPr>
          <w:p w:rsidR="00C31CDE" w:rsidRPr="00413044" w:rsidRDefault="00C31CDE" w:rsidP="00B133D5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  <w:tc>
          <w:tcPr>
            <w:tcW w:w="1850" w:type="dxa"/>
            <w:shd w:val="clear" w:color="auto" w:fill="DEEAF6"/>
            <w:noWrap/>
            <w:vAlign w:val="center"/>
            <w:hideMark/>
          </w:tcPr>
          <w:p w:rsidR="00C31CDE" w:rsidRPr="00413044" w:rsidRDefault="00C31CDE" w:rsidP="00B133D5">
            <w:pPr>
              <w:jc w:val="center"/>
            </w:pPr>
            <w:r w:rsidRPr="00413044">
              <w:t>7 060,9</w:t>
            </w:r>
          </w:p>
        </w:tc>
        <w:tc>
          <w:tcPr>
            <w:tcW w:w="1565" w:type="dxa"/>
            <w:shd w:val="clear" w:color="auto" w:fill="DEEAF6"/>
            <w:noWrap/>
            <w:vAlign w:val="center"/>
            <w:hideMark/>
          </w:tcPr>
          <w:p w:rsidR="00C31CDE" w:rsidRPr="00434B1E" w:rsidRDefault="00C31CDE" w:rsidP="00B133D5">
            <w:pPr>
              <w:jc w:val="center"/>
            </w:pPr>
            <w:r w:rsidRPr="00434B1E">
              <w:t>2 842,0</w:t>
            </w:r>
          </w:p>
        </w:tc>
        <w:tc>
          <w:tcPr>
            <w:tcW w:w="1594" w:type="dxa"/>
            <w:shd w:val="clear" w:color="auto" w:fill="DEEAF6"/>
            <w:noWrap/>
            <w:vAlign w:val="center"/>
            <w:hideMark/>
          </w:tcPr>
          <w:p w:rsidR="00C31CDE" w:rsidRPr="00434B1E" w:rsidRDefault="00C31CDE" w:rsidP="00B133D5">
            <w:pPr>
              <w:jc w:val="center"/>
            </w:pPr>
            <w:r w:rsidRPr="00434B1E">
              <w:t>1 521,4</w:t>
            </w:r>
          </w:p>
        </w:tc>
        <w:tc>
          <w:tcPr>
            <w:tcW w:w="1536" w:type="dxa"/>
            <w:shd w:val="clear" w:color="auto" w:fill="DEEAF6"/>
            <w:noWrap/>
            <w:vAlign w:val="center"/>
            <w:hideMark/>
          </w:tcPr>
          <w:p w:rsidR="00C31CDE" w:rsidRPr="00434B1E" w:rsidRDefault="00C31CDE" w:rsidP="00B133D5">
            <w:pPr>
              <w:jc w:val="center"/>
            </w:pPr>
            <w:r w:rsidRPr="00434B1E">
              <w:t>411,8</w:t>
            </w:r>
          </w:p>
        </w:tc>
        <w:tc>
          <w:tcPr>
            <w:tcW w:w="1850" w:type="dxa"/>
            <w:shd w:val="clear" w:color="auto" w:fill="DEEAF6"/>
            <w:noWrap/>
            <w:vAlign w:val="center"/>
            <w:hideMark/>
          </w:tcPr>
          <w:p w:rsidR="00C31CDE" w:rsidRPr="00434B1E" w:rsidRDefault="00C31CDE" w:rsidP="00B133D5">
            <w:pPr>
              <w:jc w:val="center"/>
            </w:pPr>
            <w:r w:rsidRPr="00434B1E">
              <w:t>-</w:t>
            </w:r>
          </w:p>
        </w:tc>
        <w:tc>
          <w:tcPr>
            <w:tcW w:w="1711" w:type="dxa"/>
            <w:shd w:val="clear" w:color="auto" w:fill="DEEAF6"/>
            <w:noWrap/>
            <w:vAlign w:val="center"/>
            <w:hideMark/>
          </w:tcPr>
          <w:p w:rsidR="00C31CDE" w:rsidRPr="00434B1E" w:rsidRDefault="00C31CDE" w:rsidP="00B133D5">
            <w:pPr>
              <w:jc w:val="center"/>
            </w:pPr>
            <w:r w:rsidRPr="00434B1E">
              <w:t>-</w:t>
            </w:r>
          </w:p>
        </w:tc>
        <w:tc>
          <w:tcPr>
            <w:tcW w:w="1708" w:type="dxa"/>
            <w:shd w:val="clear" w:color="auto" w:fill="DEEAF6"/>
            <w:noWrap/>
            <w:vAlign w:val="center"/>
            <w:hideMark/>
          </w:tcPr>
          <w:p w:rsidR="00C31CDE" w:rsidRDefault="00C31CDE" w:rsidP="00B133D5">
            <w:pPr>
              <w:jc w:val="center"/>
            </w:pPr>
            <w:r w:rsidRPr="00434B1E">
              <w:t>8 381,0</w:t>
            </w:r>
          </w:p>
        </w:tc>
      </w:tr>
    </w:tbl>
    <w:p w:rsidR="00343A41" w:rsidRPr="00343190" w:rsidRDefault="00BB46BB" w:rsidP="003A13F3">
      <w:pPr>
        <w:ind w:right="-31"/>
        <w:jc w:val="right"/>
        <w:rPr>
          <w:b/>
          <w:i/>
          <w:sz w:val="20"/>
          <w:szCs w:val="20"/>
        </w:rPr>
      </w:pPr>
      <w:r w:rsidRPr="00343190">
        <w:rPr>
          <w:i/>
          <w:sz w:val="20"/>
          <w:szCs w:val="20"/>
        </w:rPr>
        <w:t xml:space="preserve"> (млн. долл.)</w:t>
      </w:r>
    </w:p>
    <w:p w:rsidR="00343A41" w:rsidRPr="00343A41" w:rsidRDefault="00343A41" w:rsidP="00343A41"/>
    <w:p w:rsidR="00343A41" w:rsidRPr="00343A41" w:rsidRDefault="00343A41" w:rsidP="00343A41"/>
    <w:p w:rsidR="00343A41" w:rsidRPr="00343A41" w:rsidRDefault="00343A41" w:rsidP="00343A41"/>
    <w:p w:rsidR="00343A41" w:rsidRPr="00343A41" w:rsidRDefault="00343A41" w:rsidP="00343A41">
      <w:pPr>
        <w:jc w:val="right"/>
      </w:pPr>
    </w:p>
    <w:p w:rsidR="00CE52A0" w:rsidRPr="006B246F" w:rsidRDefault="0028029B" w:rsidP="003A13F3">
      <w:pPr>
        <w:ind w:right="-31"/>
        <w:jc w:val="right"/>
        <w:rPr>
          <w:i/>
          <w:sz w:val="22"/>
          <w:szCs w:val="22"/>
        </w:rPr>
      </w:pPr>
      <w:r w:rsidRPr="00343A41">
        <w:br w:type="page"/>
      </w:r>
      <w:r w:rsidR="006C407D" w:rsidRPr="006B246F">
        <w:rPr>
          <w:i/>
          <w:sz w:val="22"/>
          <w:szCs w:val="22"/>
        </w:rPr>
        <w:t>Приложение 13.2</w:t>
      </w:r>
    </w:p>
    <w:p w:rsidR="005219A6" w:rsidRPr="006B246F" w:rsidRDefault="002E0F0B" w:rsidP="000A560D">
      <w:pPr>
        <w:pStyle w:val="1"/>
        <w:spacing w:before="120"/>
        <w:ind w:left="0"/>
        <w:jc w:val="center"/>
        <w:rPr>
          <w:rFonts w:ascii="Calibri" w:hAnsi="Calibri"/>
          <w:sz w:val="26"/>
          <w:szCs w:val="26"/>
        </w:rPr>
      </w:pPr>
      <w:bookmarkStart w:id="48" w:name="_Toc35458640"/>
      <w:r w:rsidRPr="006B246F">
        <w:rPr>
          <w:rFonts w:ascii="Calibri" w:hAnsi="Calibri"/>
          <w:sz w:val="26"/>
          <w:szCs w:val="26"/>
        </w:rPr>
        <w:t>ПРОГНОЗ БУДУЩИХ ПЛАТЕЖЕЙ ПО ОСНОВНОМУ ДОЛГУ И ПРОЦЕНТАМ</w:t>
      </w:r>
      <w:bookmarkEnd w:id="48"/>
    </w:p>
    <w:p w:rsidR="00CE52A0" w:rsidRPr="00413044" w:rsidRDefault="00CE52A0" w:rsidP="00CE52A0">
      <w:pPr>
        <w:jc w:val="center"/>
      </w:pPr>
      <w:r w:rsidRPr="00413044">
        <w:rPr>
          <w:i/>
        </w:rPr>
        <w:t>(тип заёмщика: все заёмщики)</w:t>
      </w:r>
    </w:p>
    <w:tbl>
      <w:tblPr>
        <w:tblW w:w="4988" w:type="pct"/>
        <w:tblLayout w:type="fixed"/>
        <w:tblLook w:val="04A0"/>
      </w:tblPr>
      <w:tblGrid>
        <w:gridCol w:w="4518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233"/>
      </w:tblGrid>
      <w:tr w:rsidR="00BB46BB" w:rsidRPr="00413044" w:rsidTr="00E906D7">
        <w:trPr>
          <w:trHeight w:val="76"/>
        </w:trPr>
        <w:tc>
          <w:tcPr>
            <w:tcW w:w="1531" w:type="pct"/>
            <w:tcBorders>
              <w:bottom w:val="single" w:sz="4" w:space="0" w:color="5B9BD5" w:themeColor="accent1"/>
            </w:tcBorders>
            <w:vAlign w:val="center"/>
            <w:hideMark/>
          </w:tcPr>
          <w:p w:rsidR="00BB46BB" w:rsidRPr="00413044" w:rsidRDefault="000A560D" w:rsidP="00C729F1">
            <w:pPr>
              <w:rPr>
                <w:b/>
              </w:rPr>
            </w:pPr>
            <w:r w:rsidRPr="00413044">
              <w:rPr>
                <w:b/>
              </w:rPr>
              <w:t>Основной долг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C729F1">
            <w:pPr>
              <w:rPr>
                <w:b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C729F1">
            <w:pPr>
              <w:rPr>
                <w:b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C729F1">
            <w:pPr>
              <w:rPr>
                <w:b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C729F1">
            <w:pPr>
              <w:rPr>
                <w:b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C729F1">
            <w:pPr>
              <w:rPr>
                <w:b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C729F1">
            <w:pPr>
              <w:rPr>
                <w:b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C729F1">
            <w:pPr>
              <w:rPr>
                <w:b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C729F1">
            <w:pPr>
              <w:rPr>
                <w:b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C729F1">
            <w:pPr>
              <w:jc w:val="right"/>
              <w:rPr>
                <w:b/>
                <w:sz w:val="20"/>
                <w:szCs w:val="20"/>
              </w:rPr>
            </w:pPr>
            <w:r w:rsidRPr="00413044">
              <w:rPr>
                <w:i/>
                <w:sz w:val="20"/>
                <w:szCs w:val="20"/>
              </w:rPr>
              <w:t>(млн. долл.)</w:t>
            </w:r>
          </w:p>
        </w:tc>
      </w:tr>
      <w:tr w:rsidR="00A4353E" w:rsidRPr="00413044" w:rsidTr="00E906D7">
        <w:trPr>
          <w:trHeight w:val="262"/>
        </w:trPr>
        <w:tc>
          <w:tcPr>
            <w:tcW w:w="15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Тип кредитора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2020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2021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2025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2026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</w:t>
            </w:r>
            <w:r>
              <w:rPr>
                <w:b/>
              </w:rPr>
              <w:t>7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после 202</w:t>
            </w:r>
            <w:r>
              <w:rPr>
                <w:b/>
              </w:rPr>
              <w:t>7</w:t>
            </w:r>
          </w:p>
        </w:tc>
        <w:tc>
          <w:tcPr>
            <w:tcW w:w="41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</w:tr>
      <w:tr w:rsidR="003F2038" w:rsidRPr="00413044" w:rsidTr="00E906D7">
        <w:trPr>
          <w:trHeight w:val="585"/>
        </w:trPr>
        <w:tc>
          <w:tcPr>
            <w:tcW w:w="15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F2038" w:rsidRPr="00413044" w:rsidRDefault="003F2038" w:rsidP="003F2038">
            <w:r w:rsidRPr="00413044">
              <w:t>Иностранные банки и другие финансовые институты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1 416,1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911,8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969,3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965,4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644,8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515,4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540,6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279,0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150,8</w:t>
            </w:r>
          </w:p>
        </w:tc>
        <w:tc>
          <w:tcPr>
            <w:tcW w:w="41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6</w:t>
            </w:r>
            <w:r w:rsidR="003F4FB1">
              <w:t> </w:t>
            </w:r>
            <w:r w:rsidRPr="003F2038">
              <w:t>393</w:t>
            </w:r>
            <w:r w:rsidR="003F4FB1">
              <w:t>,3</w:t>
            </w:r>
          </w:p>
        </w:tc>
      </w:tr>
      <w:tr w:rsidR="003F2038" w:rsidRPr="00413044" w:rsidTr="00E906D7">
        <w:trPr>
          <w:trHeight w:val="525"/>
        </w:trPr>
        <w:tc>
          <w:tcPr>
            <w:tcW w:w="15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F2038" w:rsidRPr="00413044" w:rsidRDefault="003F2038" w:rsidP="003F2038">
            <w:r w:rsidRPr="00413044">
              <w:t>Зарубежные материнские компании и филиалы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293,8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63,3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335,7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80,5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6,7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1,2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1,2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1,2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4,9</w:t>
            </w:r>
          </w:p>
        </w:tc>
        <w:tc>
          <w:tcPr>
            <w:tcW w:w="41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F2038" w:rsidRPr="003F2038" w:rsidRDefault="003F4FB1" w:rsidP="003F2038">
            <w:pPr>
              <w:jc w:val="center"/>
            </w:pPr>
            <w:r>
              <w:t>788,5</w:t>
            </w:r>
          </w:p>
        </w:tc>
      </w:tr>
      <w:tr w:rsidR="003F2038" w:rsidRPr="00413044" w:rsidTr="00E906D7">
        <w:trPr>
          <w:trHeight w:val="525"/>
        </w:trPr>
        <w:tc>
          <w:tcPr>
            <w:tcW w:w="15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F2038" w:rsidRPr="00413044" w:rsidRDefault="003F2038" w:rsidP="003F2038">
            <w:r w:rsidRPr="00413044">
              <w:t>Экспортеры и другие частные источники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223,9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101,1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88,3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53,0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15,2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7,9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21,1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0,2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-</w:t>
            </w:r>
          </w:p>
        </w:tc>
        <w:tc>
          <w:tcPr>
            <w:tcW w:w="41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F2038" w:rsidRPr="003F2038" w:rsidRDefault="003F4FB1" w:rsidP="003F2038">
            <w:pPr>
              <w:jc w:val="center"/>
            </w:pPr>
            <w:r>
              <w:t>510,7</w:t>
            </w:r>
          </w:p>
        </w:tc>
      </w:tr>
      <w:tr w:rsidR="003F2038" w:rsidRPr="00413044" w:rsidTr="00E906D7">
        <w:trPr>
          <w:trHeight w:val="522"/>
        </w:trPr>
        <w:tc>
          <w:tcPr>
            <w:tcW w:w="15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F2038" w:rsidRPr="00413044" w:rsidRDefault="003F2038" w:rsidP="003F2038">
            <w:r w:rsidRPr="00413044">
              <w:t>Официальные источники (Правительства и международные организации)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108,0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98,2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77,2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67,3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20,6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17,3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-</w:t>
            </w:r>
          </w:p>
        </w:tc>
        <w:tc>
          <w:tcPr>
            <w:tcW w:w="41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F2038" w:rsidRPr="003F2038" w:rsidRDefault="003F4FB1" w:rsidP="003F2038">
            <w:pPr>
              <w:jc w:val="center"/>
            </w:pPr>
            <w:r>
              <w:t>388,6</w:t>
            </w:r>
          </w:p>
        </w:tc>
      </w:tr>
      <w:tr w:rsidR="003F2038" w:rsidRPr="00413044" w:rsidTr="00E906D7">
        <w:trPr>
          <w:trHeight w:val="522"/>
        </w:trPr>
        <w:tc>
          <w:tcPr>
            <w:tcW w:w="15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3F2038" w:rsidRPr="00413044" w:rsidRDefault="003F2038" w:rsidP="003F2038">
            <w:r>
              <w:t>Международные облигации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F2038" w:rsidRPr="003F2038" w:rsidRDefault="003F2038" w:rsidP="003F2038">
            <w:pPr>
              <w:jc w:val="center"/>
            </w:pPr>
            <w:r w:rsidRPr="003F2038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F2038" w:rsidRPr="003F2038" w:rsidRDefault="003F2038" w:rsidP="003F2038">
            <w:pPr>
              <w:jc w:val="center"/>
            </w:pPr>
            <w:r w:rsidRPr="003F2038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F2038" w:rsidRPr="003F2038" w:rsidRDefault="003F2038" w:rsidP="003F2038">
            <w:pPr>
              <w:jc w:val="center"/>
            </w:pPr>
            <w:r w:rsidRPr="003F2038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F2038" w:rsidRPr="003F2038" w:rsidRDefault="003F2038" w:rsidP="003F2038">
            <w:pPr>
              <w:jc w:val="center"/>
            </w:pPr>
            <w:r w:rsidRPr="003F2038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F2038" w:rsidRPr="003F2038" w:rsidRDefault="003F2038" w:rsidP="003F2038">
            <w:pPr>
              <w:jc w:val="center"/>
            </w:pPr>
            <w:r w:rsidRPr="003F2038">
              <w:t>300,0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F2038" w:rsidRPr="003F2038" w:rsidRDefault="003F2038" w:rsidP="003F2038">
            <w:pPr>
              <w:jc w:val="center"/>
            </w:pPr>
            <w:r w:rsidRPr="003F2038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F2038" w:rsidRPr="003F2038" w:rsidRDefault="003F2038" w:rsidP="003F2038">
            <w:pPr>
              <w:jc w:val="center"/>
            </w:pPr>
            <w:r w:rsidRPr="003F2038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F2038" w:rsidRPr="003F2038" w:rsidRDefault="003F2038" w:rsidP="003F2038">
            <w:pPr>
              <w:jc w:val="center"/>
            </w:pPr>
            <w:r w:rsidRPr="003F2038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F2038" w:rsidRPr="003F2038" w:rsidRDefault="003F2038" w:rsidP="003F2038">
            <w:pPr>
              <w:jc w:val="center"/>
            </w:pPr>
            <w:r w:rsidRPr="003F2038">
              <w:t>-</w:t>
            </w:r>
          </w:p>
        </w:tc>
        <w:tc>
          <w:tcPr>
            <w:tcW w:w="41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3F2038" w:rsidRPr="003F2038" w:rsidRDefault="003F2038" w:rsidP="003F2038">
            <w:pPr>
              <w:jc w:val="center"/>
            </w:pPr>
            <w:r w:rsidRPr="003F2038">
              <w:t>300</w:t>
            </w:r>
            <w:r w:rsidR="003F4FB1">
              <w:t>,0</w:t>
            </w:r>
          </w:p>
        </w:tc>
      </w:tr>
      <w:tr w:rsidR="003F2038" w:rsidRPr="00413044" w:rsidTr="00E906D7">
        <w:trPr>
          <w:trHeight w:val="411"/>
        </w:trPr>
        <w:tc>
          <w:tcPr>
            <w:tcW w:w="15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F2038" w:rsidRPr="00413044" w:rsidRDefault="003F2038" w:rsidP="003F2038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2 041,8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1 174,4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1 470,5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1 166,2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987,3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541,8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563,0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280,4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155,7</w:t>
            </w:r>
          </w:p>
        </w:tc>
        <w:tc>
          <w:tcPr>
            <w:tcW w:w="41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8</w:t>
            </w:r>
            <w:r w:rsidR="003F4FB1">
              <w:t> </w:t>
            </w:r>
            <w:r w:rsidRPr="003F2038">
              <w:t>381</w:t>
            </w:r>
            <w:r w:rsidR="003F4FB1">
              <w:t>,0</w:t>
            </w:r>
          </w:p>
        </w:tc>
      </w:tr>
      <w:tr w:rsidR="00CE52A0" w:rsidRPr="00413044" w:rsidTr="00E906D7">
        <w:trPr>
          <w:trHeight w:val="82"/>
        </w:trPr>
        <w:tc>
          <w:tcPr>
            <w:tcW w:w="1531" w:type="pct"/>
            <w:vMerge w:val="restart"/>
            <w:tcBorders>
              <w:top w:val="single" w:sz="4" w:space="0" w:color="5B9BD5" w:themeColor="accent1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  <w:r w:rsidRPr="00413044">
              <w:rPr>
                <w:b/>
              </w:rPr>
              <w:t>Проценты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67199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67199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67199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67199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67199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67199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67199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671993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671993">
            <w:pPr>
              <w:jc w:val="center"/>
            </w:pPr>
          </w:p>
        </w:tc>
        <w:tc>
          <w:tcPr>
            <w:tcW w:w="419" w:type="pct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671993">
            <w:pPr>
              <w:jc w:val="center"/>
            </w:pPr>
          </w:p>
        </w:tc>
      </w:tr>
      <w:tr w:rsidR="00BB46BB" w:rsidRPr="00413044" w:rsidTr="00E906D7">
        <w:trPr>
          <w:trHeight w:val="72"/>
        </w:trPr>
        <w:tc>
          <w:tcPr>
            <w:tcW w:w="1531" w:type="pct"/>
            <w:vMerge/>
            <w:tcBorders>
              <w:bottom w:val="single" w:sz="4" w:space="0" w:color="5B9BD5" w:themeColor="accent1"/>
            </w:tcBorders>
            <w:vAlign w:val="center"/>
            <w:hideMark/>
          </w:tcPr>
          <w:p w:rsidR="00BB46BB" w:rsidRPr="00413044" w:rsidRDefault="00BB46BB" w:rsidP="00BB46BB"/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right"/>
              <w:rPr>
                <w:b/>
                <w:sz w:val="20"/>
                <w:szCs w:val="20"/>
              </w:rPr>
            </w:pPr>
            <w:r w:rsidRPr="00413044">
              <w:rPr>
                <w:i/>
                <w:sz w:val="20"/>
                <w:szCs w:val="20"/>
              </w:rPr>
              <w:t>(млн. долл.)</w:t>
            </w:r>
          </w:p>
        </w:tc>
      </w:tr>
      <w:tr w:rsidR="00A4353E" w:rsidRPr="00413044" w:rsidTr="00E906D7">
        <w:trPr>
          <w:trHeight w:val="262"/>
        </w:trPr>
        <w:tc>
          <w:tcPr>
            <w:tcW w:w="15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Тип кредитора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2020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2021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2025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2026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</w:t>
            </w:r>
            <w:r>
              <w:rPr>
                <w:b/>
              </w:rPr>
              <w:t>7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после 202</w:t>
            </w:r>
            <w:r>
              <w:rPr>
                <w:b/>
              </w:rPr>
              <w:t>7</w:t>
            </w:r>
          </w:p>
        </w:tc>
        <w:tc>
          <w:tcPr>
            <w:tcW w:w="41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</w:tr>
      <w:tr w:rsidR="003F2038" w:rsidRPr="00413044" w:rsidTr="00E906D7">
        <w:trPr>
          <w:trHeight w:val="573"/>
        </w:trPr>
        <w:tc>
          <w:tcPr>
            <w:tcW w:w="15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F2038" w:rsidRPr="00413044" w:rsidRDefault="003F2038" w:rsidP="003F2038">
            <w:r w:rsidRPr="00413044">
              <w:t>Иностранные банки и другие финансовые институты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273,2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227,0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195,6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156,5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115,3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71,9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59,6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31,1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13,3</w:t>
            </w:r>
          </w:p>
        </w:tc>
        <w:tc>
          <w:tcPr>
            <w:tcW w:w="41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1</w:t>
            </w:r>
            <w:r w:rsidR="001A5038">
              <w:t> </w:t>
            </w:r>
            <w:r w:rsidRPr="003F2038">
              <w:t>143</w:t>
            </w:r>
            <w:r w:rsidR="001A5038">
              <w:t>,5</w:t>
            </w:r>
          </w:p>
        </w:tc>
      </w:tr>
      <w:tr w:rsidR="003F2038" w:rsidRPr="00413044" w:rsidTr="00E906D7">
        <w:trPr>
          <w:trHeight w:val="421"/>
        </w:trPr>
        <w:tc>
          <w:tcPr>
            <w:tcW w:w="15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F2038" w:rsidRPr="00413044" w:rsidRDefault="003F2038" w:rsidP="003F2038">
            <w:r w:rsidRPr="00413044">
              <w:t>Зарубежные материнские компании и филиалы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77,7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37,2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35,6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35,5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21,4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1,2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0,0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0,1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-</w:t>
            </w:r>
          </w:p>
        </w:tc>
        <w:tc>
          <w:tcPr>
            <w:tcW w:w="41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F2038" w:rsidRPr="003F2038" w:rsidRDefault="001A5038" w:rsidP="003F2038">
            <w:pPr>
              <w:jc w:val="center"/>
            </w:pPr>
            <w:r>
              <w:t>208,9</w:t>
            </w:r>
          </w:p>
        </w:tc>
      </w:tr>
      <w:tr w:rsidR="003F2038" w:rsidRPr="00413044" w:rsidTr="00E906D7">
        <w:trPr>
          <w:trHeight w:val="369"/>
        </w:trPr>
        <w:tc>
          <w:tcPr>
            <w:tcW w:w="15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F2038" w:rsidRPr="00413044" w:rsidRDefault="003F2038" w:rsidP="003F2038">
            <w:r w:rsidRPr="00413044">
              <w:t>Экспортеры и другие частные источники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7,3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4,9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4,0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2,1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0,4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0,3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0,1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-</w:t>
            </w:r>
          </w:p>
        </w:tc>
        <w:tc>
          <w:tcPr>
            <w:tcW w:w="41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19</w:t>
            </w:r>
            <w:r w:rsidR="001A5038">
              <w:t>,2</w:t>
            </w:r>
          </w:p>
        </w:tc>
      </w:tr>
      <w:tr w:rsidR="003F2038" w:rsidRPr="00413044" w:rsidTr="00E906D7">
        <w:trPr>
          <w:trHeight w:val="725"/>
        </w:trPr>
        <w:tc>
          <w:tcPr>
            <w:tcW w:w="15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F2038" w:rsidRPr="00413044" w:rsidRDefault="003F2038" w:rsidP="003F2038">
            <w:r w:rsidRPr="00413044">
              <w:t>Официальные источники (Правительства и международные организации)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38,3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13,3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8,9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4,6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3,3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1,8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0,4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-</w:t>
            </w:r>
          </w:p>
        </w:tc>
        <w:tc>
          <w:tcPr>
            <w:tcW w:w="41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F2038" w:rsidRPr="003F2038" w:rsidRDefault="001A5038" w:rsidP="003F2038">
            <w:pPr>
              <w:jc w:val="center"/>
            </w:pPr>
            <w:r>
              <w:t>70,7</w:t>
            </w:r>
          </w:p>
        </w:tc>
      </w:tr>
      <w:tr w:rsidR="003F2038" w:rsidRPr="00413044" w:rsidTr="00E906D7">
        <w:trPr>
          <w:trHeight w:val="407"/>
        </w:trPr>
        <w:tc>
          <w:tcPr>
            <w:tcW w:w="15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3F2038" w:rsidRPr="00413044" w:rsidRDefault="003F2038" w:rsidP="003F2038">
            <w:r>
              <w:t>Международные облигации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F2038" w:rsidRPr="003F2038" w:rsidRDefault="003F2038" w:rsidP="003F2038">
            <w:pPr>
              <w:jc w:val="center"/>
            </w:pPr>
            <w:r w:rsidRPr="003F2038">
              <w:t>17,3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F2038" w:rsidRPr="003F2038" w:rsidRDefault="003F2038" w:rsidP="003F2038">
            <w:pPr>
              <w:jc w:val="center"/>
            </w:pPr>
            <w:r w:rsidRPr="003F2038">
              <w:t>17,3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F2038" w:rsidRPr="003F2038" w:rsidRDefault="003F2038" w:rsidP="003F2038">
            <w:pPr>
              <w:jc w:val="center"/>
            </w:pPr>
            <w:r w:rsidRPr="003F2038">
              <w:t>17,3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F2038" w:rsidRPr="003F2038" w:rsidRDefault="003F2038" w:rsidP="003F2038">
            <w:pPr>
              <w:jc w:val="center"/>
            </w:pPr>
            <w:r w:rsidRPr="003F2038">
              <w:t>17,3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F2038" w:rsidRPr="003F2038" w:rsidRDefault="003F2038" w:rsidP="003F2038">
            <w:pPr>
              <w:jc w:val="center"/>
            </w:pPr>
            <w:r w:rsidRPr="003F2038">
              <w:t>17,3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F2038" w:rsidRPr="003F2038" w:rsidRDefault="003F2038" w:rsidP="003F2038">
            <w:pPr>
              <w:jc w:val="center"/>
            </w:pPr>
            <w:r w:rsidRPr="003F2038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F2038" w:rsidRPr="003F2038" w:rsidRDefault="003F2038" w:rsidP="003F2038">
            <w:pPr>
              <w:jc w:val="center"/>
            </w:pPr>
            <w:r w:rsidRPr="003F2038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F2038" w:rsidRPr="003F2038" w:rsidRDefault="003F2038" w:rsidP="003F2038">
            <w:pPr>
              <w:jc w:val="center"/>
            </w:pPr>
            <w:r w:rsidRPr="003F2038">
              <w:t>-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F2038" w:rsidRPr="003F2038" w:rsidRDefault="003F2038" w:rsidP="003F2038">
            <w:pPr>
              <w:jc w:val="center"/>
            </w:pPr>
            <w:r w:rsidRPr="003F2038">
              <w:t>-</w:t>
            </w:r>
          </w:p>
        </w:tc>
        <w:tc>
          <w:tcPr>
            <w:tcW w:w="41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3F2038" w:rsidRPr="003F2038" w:rsidRDefault="003F2038" w:rsidP="003F2038">
            <w:pPr>
              <w:jc w:val="center"/>
            </w:pPr>
            <w:r w:rsidRPr="003F2038">
              <w:t>86</w:t>
            </w:r>
            <w:r w:rsidR="001A5038">
              <w:t>,3</w:t>
            </w:r>
          </w:p>
        </w:tc>
      </w:tr>
      <w:tr w:rsidR="003F2038" w:rsidRPr="00413044" w:rsidTr="00E906D7">
        <w:trPr>
          <w:trHeight w:val="460"/>
        </w:trPr>
        <w:tc>
          <w:tcPr>
            <w:tcW w:w="1531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F2038" w:rsidRPr="00413044" w:rsidRDefault="003F2038" w:rsidP="003F2038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413,8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299,8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261,4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216,0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157,7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75,2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60,2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31,2</w:t>
            </w:r>
          </w:p>
        </w:tc>
        <w:tc>
          <w:tcPr>
            <w:tcW w:w="33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F2038" w:rsidRPr="003F2038" w:rsidRDefault="003F2038" w:rsidP="003F2038">
            <w:pPr>
              <w:jc w:val="center"/>
            </w:pPr>
            <w:r w:rsidRPr="003F2038">
              <w:t>13,3</w:t>
            </w:r>
          </w:p>
        </w:tc>
        <w:tc>
          <w:tcPr>
            <w:tcW w:w="419" w:type="pc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vAlign w:val="center"/>
            <w:hideMark/>
          </w:tcPr>
          <w:p w:rsidR="003F2038" w:rsidRPr="003F2038" w:rsidRDefault="001A5038" w:rsidP="003F2038">
            <w:pPr>
              <w:jc w:val="center"/>
            </w:pPr>
            <w:r>
              <w:t>1 528,5</w:t>
            </w:r>
          </w:p>
        </w:tc>
      </w:tr>
    </w:tbl>
    <w:p w:rsidR="00E906D7" w:rsidRDefault="00E906D7" w:rsidP="002E0F14">
      <w:pPr>
        <w:jc w:val="right"/>
        <w:rPr>
          <w:i/>
        </w:rPr>
      </w:pPr>
    </w:p>
    <w:p w:rsidR="00CE52A0" w:rsidRPr="006B246F" w:rsidRDefault="00CE52A0" w:rsidP="002E0F14">
      <w:pPr>
        <w:jc w:val="right"/>
        <w:rPr>
          <w:i/>
          <w:sz w:val="22"/>
          <w:szCs w:val="22"/>
        </w:rPr>
      </w:pPr>
      <w:r w:rsidRPr="006B246F">
        <w:rPr>
          <w:i/>
          <w:sz w:val="22"/>
          <w:szCs w:val="22"/>
        </w:rPr>
        <w:t>Приложение 1</w:t>
      </w:r>
      <w:r w:rsidR="006C407D" w:rsidRPr="006B246F">
        <w:rPr>
          <w:i/>
          <w:sz w:val="22"/>
          <w:szCs w:val="22"/>
        </w:rPr>
        <w:t>3.3</w:t>
      </w:r>
    </w:p>
    <w:p w:rsidR="00CE52A0" w:rsidRPr="00413044" w:rsidRDefault="00CE52A0" w:rsidP="00CE52A0">
      <w:pPr>
        <w:jc w:val="center"/>
        <w:rPr>
          <w:b/>
        </w:rPr>
      </w:pPr>
    </w:p>
    <w:p w:rsidR="00CE52A0" w:rsidRPr="00413044" w:rsidRDefault="002E0F0B" w:rsidP="00CE52A0">
      <w:pPr>
        <w:jc w:val="center"/>
        <w:rPr>
          <w:b/>
        </w:rPr>
      </w:pPr>
      <w:r w:rsidRPr="006B246F">
        <w:rPr>
          <w:b/>
          <w:sz w:val="26"/>
          <w:szCs w:val="26"/>
        </w:rPr>
        <w:t>ИНФОРМАЦИЯ О ПОСТУПЛЕНИЯХ И ПЛАТЕЖАХ ПО ЧАСТНОМУ ВНЕШНЕМУ ДОЛГУ ЗА 2019 ГОД</w:t>
      </w:r>
      <w:r w:rsidRPr="00413044">
        <w:rPr>
          <w:b/>
          <w:sz w:val="26"/>
          <w:szCs w:val="26"/>
        </w:rPr>
        <w:br/>
      </w:r>
      <w:r w:rsidRPr="00413044">
        <w:rPr>
          <w:i/>
        </w:rPr>
        <w:t>(</w:t>
      </w:r>
      <w:r w:rsidR="00682C26" w:rsidRPr="00413044">
        <w:rPr>
          <w:i/>
        </w:rPr>
        <w:t>тип заёмщика: банки</w:t>
      </w:r>
      <w:r w:rsidRPr="00413044">
        <w:rPr>
          <w:i/>
        </w:rPr>
        <w:t>)</w:t>
      </w:r>
    </w:p>
    <w:p w:rsidR="00CE52A0" w:rsidRPr="00413044" w:rsidRDefault="00BB46BB" w:rsidP="00CE52A0">
      <w:pPr>
        <w:ind w:right="-172"/>
        <w:jc w:val="right"/>
        <w:rPr>
          <w:i/>
          <w:sz w:val="20"/>
          <w:szCs w:val="20"/>
        </w:rPr>
      </w:pPr>
      <w:r w:rsidRPr="00413044">
        <w:rPr>
          <w:i/>
          <w:sz w:val="20"/>
          <w:szCs w:val="20"/>
        </w:rPr>
        <w:t>(</w:t>
      </w:r>
      <w:r w:rsidR="00CE52A0" w:rsidRPr="00413044">
        <w:rPr>
          <w:i/>
          <w:sz w:val="20"/>
          <w:szCs w:val="20"/>
        </w:rPr>
        <w:t>млн. долл.</w:t>
      </w:r>
      <w:r w:rsidRPr="00413044">
        <w:rPr>
          <w:i/>
          <w:sz w:val="20"/>
          <w:szCs w:val="20"/>
        </w:rPr>
        <w:t>)</w:t>
      </w:r>
    </w:p>
    <w:tbl>
      <w:tblPr>
        <w:tblW w:w="1486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/>
      </w:tblPr>
      <w:tblGrid>
        <w:gridCol w:w="3646"/>
        <w:gridCol w:w="1748"/>
        <w:gridCol w:w="1492"/>
        <w:gridCol w:w="1503"/>
        <w:gridCol w:w="1484"/>
        <w:gridCol w:w="1683"/>
        <w:gridCol w:w="1685"/>
        <w:gridCol w:w="1699"/>
      </w:tblGrid>
      <w:tr w:rsidR="00CE52A0" w:rsidRPr="00413044" w:rsidTr="00E906D7">
        <w:trPr>
          <w:trHeight w:val="282"/>
        </w:trPr>
        <w:tc>
          <w:tcPr>
            <w:tcW w:w="3646" w:type="dxa"/>
            <w:vMerge w:val="restart"/>
            <w:shd w:val="clear" w:color="auto" w:fill="DEEAF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</w:rPr>
            </w:pPr>
            <w:r w:rsidRPr="00413044">
              <w:rPr>
                <w:b/>
              </w:rPr>
              <w:t>Тип кредитора</w:t>
            </w:r>
          </w:p>
        </w:tc>
        <w:tc>
          <w:tcPr>
            <w:tcW w:w="1748" w:type="dxa"/>
            <w:shd w:val="clear" w:color="auto" w:fill="DEEAF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</w:rPr>
            </w:pPr>
            <w:r w:rsidRPr="00413044">
              <w:rPr>
                <w:b/>
              </w:rPr>
              <w:t>Начало периода</w:t>
            </w:r>
          </w:p>
        </w:tc>
        <w:tc>
          <w:tcPr>
            <w:tcW w:w="7847" w:type="dxa"/>
            <w:gridSpan w:val="5"/>
            <w:shd w:val="clear" w:color="auto" w:fill="DEEAF6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</w:rPr>
            </w:pPr>
            <w:r w:rsidRPr="00413044">
              <w:rPr>
                <w:b/>
              </w:rPr>
              <w:t>Движение в течение периода</w:t>
            </w:r>
          </w:p>
        </w:tc>
        <w:tc>
          <w:tcPr>
            <w:tcW w:w="1623" w:type="dxa"/>
            <w:shd w:val="clear" w:color="auto" w:fill="DEEAF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</w:rPr>
            </w:pPr>
            <w:r w:rsidRPr="00413044">
              <w:rPr>
                <w:b/>
              </w:rPr>
              <w:t>На конец периода</w:t>
            </w:r>
          </w:p>
        </w:tc>
      </w:tr>
      <w:tr w:rsidR="00CE52A0" w:rsidRPr="00413044" w:rsidTr="00E906D7">
        <w:trPr>
          <w:trHeight w:val="1022"/>
        </w:trPr>
        <w:tc>
          <w:tcPr>
            <w:tcW w:w="3646" w:type="dxa"/>
            <w:vMerge/>
            <w:shd w:val="clear" w:color="auto" w:fill="DEEAF6"/>
            <w:vAlign w:val="center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748" w:type="dxa"/>
            <w:shd w:val="clear" w:color="auto" w:fill="DEEAF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  <w:sz w:val="22"/>
              </w:rPr>
            </w:pPr>
            <w:r w:rsidRPr="00413044">
              <w:rPr>
                <w:b/>
                <w:sz w:val="22"/>
              </w:rPr>
              <w:t xml:space="preserve">Фактическая задолженность </w:t>
            </w:r>
          </w:p>
        </w:tc>
        <w:tc>
          <w:tcPr>
            <w:tcW w:w="1492" w:type="dxa"/>
            <w:shd w:val="clear" w:color="auto" w:fill="DEEAF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  <w:sz w:val="22"/>
              </w:rPr>
            </w:pPr>
            <w:r w:rsidRPr="00413044">
              <w:rPr>
                <w:b/>
                <w:sz w:val="22"/>
              </w:rPr>
              <w:t>Поступление</w:t>
            </w:r>
          </w:p>
        </w:tc>
        <w:tc>
          <w:tcPr>
            <w:tcW w:w="1503" w:type="dxa"/>
            <w:shd w:val="clear" w:color="auto" w:fill="DEEAF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  <w:sz w:val="22"/>
              </w:rPr>
            </w:pPr>
            <w:r w:rsidRPr="00413044">
              <w:rPr>
                <w:b/>
                <w:sz w:val="22"/>
              </w:rPr>
              <w:t>Погашено по основному долгу</w:t>
            </w:r>
          </w:p>
        </w:tc>
        <w:tc>
          <w:tcPr>
            <w:tcW w:w="1484" w:type="dxa"/>
            <w:shd w:val="clear" w:color="auto" w:fill="DEEAF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  <w:sz w:val="22"/>
              </w:rPr>
            </w:pPr>
            <w:r w:rsidRPr="00413044">
              <w:rPr>
                <w:b/>
                <w:sz w:val="22"/>
              </w:rPr>
              <w:t>Погашено по процентным платежам</w:t>
            </w:r>
          </w:p>
        </w:tc>
        <w:tc>
          <w:tcPr>
            <w:tcW w:w="1683" w:type="dxa"/>
            <w:shd w:val="clear" w:color="auto" w:fill="DEEAF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  <w:sz w:val="22"/>
              </w:rPr>
            </w:pPr>
            <w:r w:rsidRPr="00413044">
              <w:rPr>
                <w:b/>
                <w:sz w:val="22"/>
              </w:rPr>
              <w:t>Перенесенные выплаты по основному долгу</w:t>
            </w:r>
          </w:p>
        </w:tc>
        <w:tc>
          <w:tcPr>
            <w:tcW w:w="1683" w:type="dxa"/>
            <w:shd w:val="clear" w:color="auto" w:fill="DEEAF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  <w:sz w:val="22"/>
              </w:rPr>
            </w:pPr>
            <w:r w:rsidRPr="00413044">
              <w:rPr>
                <w:b/>
                <w:sz w:val="22"/>
              </w:rPr>
              <w:t>Перенесенные выплаты по процентам</w:t>
            </w:r>
          </w:p>
        </w:tc>
        <w:tc>
          <w:tcPr>
            <w:tcW w:w="1623" w:type="dxa"/>
            <w:shd w:val="clear" w:color="auto" w:fill="DEEAF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  <w:sz w:val="22"/>
              </w:rPr>
            </w:pPr>
            <w:r w:rsidRPr="00413044">
              <w:rPr>
                <w:b/>
                <w:sz w:val="22"/>
              </w:rPr>
              <w:t xml:space="preserve">Фактическая задолженность </w:t>
            </w:r>
          </w:p>
        </w:tc>
      </w:tr>
      <w:tr w:rsidR="00CE52A0" w:rsidRPr="00413044" w:rsidTr="00E906D7">
        <w:trPr>
          <w:trHeight w:val="282"/>
        </w:trPr>
        <w:tc>
          <w:tcPr>
            <w:tcW w:w="3646" w:type="dxa"/>
            <w:tcBorders>
              <w:bottom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1</w:t>
            </w:r>
          </w:p>
        </w:tc>
        <w:tc>
          <w:tcPr>
            <w:tcW w:w="1748" w:type="dxa"/>
            <w:tcBorders>
              <w:bottom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2</w:t>
            </w:r>
          </w:p>
        </w:tc>
        <w:tc>
          <w:tcPr>
            <w:tcW w:w="1492" w:type="dxa"/>
            <w:tcBorders>
              <w:bottom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3</w:t>
            </w:r>
          </w:p>
        </w:tc>
        <w:tc>
          <w:tcPr>
            <w:tcW w:w="1503" w:type="dxa"/>
            <w:tcBorders>
              <w:bottom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4</w:t>
            </w:r>
          </w:p>
        </w:tc>
        <w:tc>
          <w:tcPr>
            <w:tcW w:w="1484" w:type="dxa"/>
            <w:tcBorders>
              <w:bottom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5</w:t>
            </w:r>
          </w:p>
        </w:tc>
        <w:tc>
          <w:tcPr>
            <w:tcW w:w="1683" w:type="dxa"/>
            <w:tcBorders>
              <w:bottom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6</w:t>
            </w:r>
          </w:p>
        </w:tc>
        <w:tc>
          <w:tcPr>
            <w:tcW w:w="1683" w:type="dxa"/>
            <w:tcBorders>
              <w:bottom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7</w:t>
            </w:r>
          </w:p>
        </w:tc>
        <w:tc>
          <w:tcPr>
            <w:tcW w:w="1623" w:type="dxa"/>
            <w:tcBorders>
              <w:bottom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8</w:t>
            </w:r>
          </w:p>
        </w:tc>
      </w:tr>
      <w:tr w:rsidR="00752F8E" w:rsidRPr="00413044" w:rsidTr="00E906D7">
        <w:trPr>
          <w:trHeight w:val="846"/>
        </w:trPr>
        <w:tc>
          <w:tcPr>
            <w:tcW w:w="36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752F8E" w:rsidRPr="00413044" w:rsidRDefault="00752F8E" w:rsidP="00752F8E">
            <w:r w:rsidRPr="00413044">
              <w:t>Иностранные банки и другие финансовые институты</w:t>
            </w:r>
          </w:p>
        </w:tc>
        <w:tc>
          <w:tcPr>
            <w:tcW w:w="17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789,8</w:t>
            </w:r>
          </w:p>
        </w:tc>
        <w:tc>
          <w:tcPr>
            <w:tcW w:w="14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1 596,7</w:t>
            </w:r>
          </w:p>
        </w:tc>
        <w:tc>
          <w:tcPr>
            <w:tcW w:w="150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227,8</w:t>
            </w:r>
          </w:p>
        </w:tc>
        <w:tc>
          <w:tcPr>
            <w:tcW w:w="148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55,1</w:t>
            </w:r>
          </w:p>
        </w:tc>
        <w:tc>
          <w:tcPr>
            <w:tcW w:w="16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6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6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2 163,7</w:t>
            </w:r>
          </w:p>
        </w:tc>
      </w:tr>
      <w:tr w:rsidR="00752F8E" w:rsidRPr="00413044" w:rsidTr="00E906D7">
        <w:trPr>
          <w:trHeight w:val="564"/>
        </w:trPr>
        <w:tc>
          <w:tcPr>
            <w:tcW w:w="36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752F8E" w:rsidRPr="00413044" w:rsidRDefault="00752F8E" w:rsidP="00752F8E">
            <w:r w:rsidRPr="00413044">
              <w:t>Зарубежные материнские компании и филиалы</w:t>
            </w:r>
          </w:p>
        </w:tc>
        <w:tc>
          <w:tcPr>
            <w:tcW w:w="17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4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50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48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6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6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6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</w:tr>
      <w:tr w:rsidR="00752F8E" w:rsidRPr="00413044" w:rsidTr="00E906D7">
        <w:trPr>
          <w:trHeight w:val="564"/>
        </w:trPr>
        <w:tc>
          <w:tcPr>
            <w:tcW w:w="36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752F8E" w:rsidRPr="00413044" w:rsidRDefault="00752F8E" w:rsidP="00752F8E">
            <w:r w:rsidRPr="00413044">
              <w:t>Экспортеры и другие частные источники</w:t>
            </w:r>
          </w:p>
        </w:tc>
        <w:tc>
          <w:tcPr>
            <w:tcW w:w="17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4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85,1</w:t>
            </w:r>
          </w:p>
        </w:tc>
        <w:tc>
          <w:tcPr>
            <w:tcW w:w="150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48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0,2</w:t>
            </w:r>
          </w:p>
        </w:tc>
        <w:tc>
          <w:tcPr>
            <w:tcW w:w="16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6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6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86,0</w:t>
            </w:r>
          </w:p>
        </w:tc>
      </w:tr>
      <w:tr w:rsidR="00752F8E" w:rsidRPr="00413044" w:rsidTr="00E906D7">
        <w:trPr>
          <w:trHeight w:val="1128"/>
        </w:trPr>
        <w:tc>
          <w:tcPr>
            <w:tcW w:w="36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752F8E" w:rsidRPr="00413044" w:rsidRDefault="00752F8E" w:rsidP="00752F8E">
            <w:r w:rsidRPr="00413044">
              <w:t>Официальные источники (Правительства и международные организации)</w:t>
            </w:r>
          </w:p>
        </w:tc>
        <w:tc>
          <w:tcPr>
            <w:tcW w:w="17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164,8</w:t>
            </w:r>
          </w:p>
        </w:tc>
        <w:tc>
          <w:tcPr>
            <w:tcW w:w="14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128,6</w:t>
            </w:r>
          </w:p>
        </w:tc>
        <w:tc>
          <w:tcPr>
            <w:tcW w:w="150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38,3</w:t>
            </w:r>
          </w:p>
        </w:tc>
        <w:tc>
          <w:tcPr>
            <w:tcW w:w="148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12,8</w:t>
            </w:r>
          </w:p>
        </w:tc>
        <w:tc>
          <w:tcPr>
            <w:tcW w:w="16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6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6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255,1</w:t>
            </w:r>
          </w:p>
        </w:tc>
      </w:tr>
      <w:tr w:rsidR="00752F8E" w:rsidRPr="00413044" w:rsidTr="00E906D7">
        <w:trPr>
          <w:trHeight w:val="718"/>
        </w:trPr>
        <w:tc>
          <w:tcPr>
            <w:tcW w:w="36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752F8E" w:rsidRPr="00413044" w:rsidRDefault="00752F8E" w:rsidP="00752F8E">
            <w:r>
              <w:t>Международные облигации</w:t>
            </w:r>
          </w:p>
        </w:tc>
        <w:tc>
          <w:tcPr>
            <w:tcW w:w="17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4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752F8E" w:rsidRPr="00752F8E" w:rsidRDefault="00752F8E" w:rsidP="00752F8E">
            <w:pPr>
              <w:jc w:val="center"/>
            </w:pPr>
            <w:r w:rsidRPr="00752F8E">
              <w:t>295,6</w:t>
            </w:r>
          </w:p>
        </w:tc>
        <w:tc>
          <w:tcPr>
            <w:tcW w:w="150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48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6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68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62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752F8E" w:rsidRPr="00752F8E" w:rsidRDefault="00752F8E" w:rsidP="00752F8E">
            <w:pPr>
              <w:jc w:val="center"/>
            </w:pPr>
            <w:r w:rsidRPr="00752F8E">
              <w:t>300,0</w:t>
            </w:r>
          </w:p>
        </w:tc>
      </w:tr>
      <w:tr w:rsidR="00752F8E" w:rsidRPr="00413044" w:rsidTr="00E906D7">
        <w:trPr>
          <w:trHeight w:val="437"/>
        </w:trPr>
        <w:tc>
          <w:tcPr>
            <w:tcW w:w="3646" w:type="dxa"/>
            <w:tcBorders>
              <w:top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752F8E" w:rsidRPr="00413044" w:rsidRDefault="00752F8E" w:rsidP="00752F8E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  <w:tc>
          <w:tcPr>
            <w:tcW w:w="1748" w:type="dxa"/>
            <w:tcBorders>
              <w:top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954,6</w:t>
            </w:r>
          </w:p>
        </w:tc>
        <w:tc>
          <w:tcPr>
            <w:tcW w:w="1492" w:type="dxa"/>
            <w:tcBorders>
              <w:top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2 106,0</w:t>
            </w:r>
          </w:p>
        </w:tc>
        <w:tc>
          <w:tcPr>
            <w:tcW w:w="1503" w:type="dxa"/>
            <w:tcBorders>
              <w:top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266,0</w:t>
            </w:r>
          </w:p>
        </w:tc>
        <w:tc>
          <w:tcPr>
            <w:tcW w:w="1484" w:type="dxa"/>
            <w:tcBorders>
              <w:top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68,2</w:t>
            </w:r>
          </w:p>
        </w:tc>
        <w:tc>
          <w:tcPr>
            <w:tcW w:w="1683" w:type="dxa"/>
            <w:tcBorders>
              <w:top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683" w:type="dxa"/>
            <w:tcBorders>
              <w:top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623" w:type="dxa"/>
            <w:tcBorders>
              <w:top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2 804,9</w:t>
            </w:r>
          </w:p>
        </w:tc>
      </w:tr>
    </w:tbl>
    <w:p w:rsidR="00CE52A0" w:rsidRPr="00413044" w:rsidRDefault="00CE52A0" w:rsidP="00CE52A0">
      <w:pPr>
        <w:tabs>
          <w:tab w:val="left" w:pos="6255"/>
        </w:tabs>
        <w:ind w:right="-456"/>
        <w:rPr>
          <w:i/>
        </w:rPr>
      </w:pPr>
    </w:p>
    <w:p w:rsidR="00CE52A0" w:rsidRPr="00413044" w:rsidRDefault="00CE52A0" w:rsidP="00CE52A0">
      <w:pPr>
        <w:tabs>
          <w:tab w:val="left" w:pos="6255"/>
        </w:tabs>
        <w:ind w:right="-456"/>
        <w:rPr>
          <w:i/>
        </w:rPr>
      </w:pPr>
    </w:p>
    <w:p w:rsidR="006C2833" w:rsidRPr="00413044" w:rsidRDefault="006C2833" w:rsidP="0028029B">
      <w:pPr>
        <w:rPr>
          <w:b/>
        </w:rPr>
      </w:pPr>
    </w:p>
    <w:p w:rsidR="00CE52A0" w:rsidRPr="006B246F" w:rsidRDefault="00CE52A0" w:rsidP="00BB46BB">
      <w:pPr>
        <w:jc w:val="right"/>
        <w:rPr>
          <w:i/>
          <w:sz w:val="22"/>
          <w:szCs w:val="22"/>
        </w:rPr>
      </w:pPr>
      <w:r w:rsidRPr="00413044">
        <w:rPr>
          <w:b/>
        </w:rPr>
        <w:br w:type="page"/>
      </w:r>
      <w:r w:rsidR="006C407D" w:rsidRPr="006B246F">
        <w:rPr>
          <w:i/>
          <w:sz w:val="22"/>
          <w:szCs w:val="22"/>
        </w:rPr>
        <w:t>Приложение 13.4</w:t>
      </w:r>
    </w:p>
    <w:p w:rsidR="00CE52A0" w:rsidRPr="00413044" w:rsidRDefault="002E0F0B" w:rsidP="00CE52A0">
      <w:pPr>
        <w:jc w:val="center"/>
      </w:pPr>
      <w:r w:rsidRPr="006B246F">
        <w:rPr>
          <w:b/>
          <w:sz w:val="26"/>
          <w:szCs w:val="26"/>
        </w:rPr>
        <w:t>ПРОГНОЗ БУДУЩИХ ПЛАТЕЖЕЙ ПО ОСНОВНОМУ ДОЛГУ И ПРОЦЕНТАМ</w:t>
      </w:r>
      <w:r w:rsidR="00CE52A0" w:rsidRPr="00413044">
        <w:rPr>
          <w:b/>
        </w:rPr>
        <w:br/>
      </w:r>
      <w:r w:rsidR="00CE52A0" w:rsidRPr="00413044">
        <w:rPr>
          <w:i/>
        </w:rPr>
        <w:t>(тип заёмщика: банки)</w:t>
      </w:r>
    </w:p>
    <w:tbl>
      <w:tblPr>
        <w:tblW w:w="14709" w:type="dxa"/>
        <w:tblLayout w:type="fixed"/>
        <w:tblLook w:val="04A0"/>
      </w:tblPr>
      <w:tblGrid>
        <w:gridCol w:w="4395"/>
        <w:gridCol w:w="963"/>
        <w:gridCol w:w="68"/>
        <w:gridCol w:w="896"/>
        <w:gridCol w:w="135"/>
        <w:gridCol w:w="829"/>
        <w:gridCol w:w="203"/>
        <w:gridCol w:w="761"/>
        <w:gridCol w:w="270"/>
        <w:gridCol w:w="694"/>
        <w:gridCol w:w="338"/>
        <w:gridCol w:w="626"/>
        <w:gridCol w:w="405"/>
        <w:gridCol w:w="559"/>
        <w:gridCol w:w="472"/>
        <w:gridCol w:w="492"/>
        <w:gridCol w:w="540"/>
        <w:gridCol w:w="424"/>
        <w:gridCol w:w="607"/>
        <w:gridCol w:w="1032"/>
      </w:tblGrid>
      <w:tr w:rsidR="00CE52A0" w:rsidRPr="00413044" w:rsidTr="00E906D7">
        <w:trPr>
          <w:trHeight w:val="70"/>
        </w:trPr>
        <w:tc>
          <w:tcPr>
            <w:tcW w:w="4395" w:type="dxa"/>
            <w:tcBorders>
              <w:bottom w:val="single" w:sz="4" w:space="0" w:color="5B9BD5" w:themeColor="accent1"/>
            </w:tcBorders>
            <w:vAlign w:val="center"/>
            <w:hideMark/>
          </w:tcPr>
          <w:p w:rsidR="00CE52A0" w:rsidRPr="00413044" w:rsidRDefault="00752F8E" w:rsidP="00C729F1">
            <w:pPr>
              <w:rPr>
                <w:b/>
              </w:rPr>
            </w:pPr>
            <w:r w:rsidRPr="00413044">
              <w:rPr>
                <w:b/>
              </w:rPr>
              <w:t>Основной долг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BB46BB" w:rsidP="00C729F1">
            <w:pPr>
              <w:jc w:val="right"/>
              <w:rPr>
                <w:i/>
                <w:sz w:val="20"/>
                <w:szCs w:val="20"/>
              </w:rPr>
            </w:pPr>
            <w:r w:rsidRPr="00413044">
              <w:rPr>
                <w:i/>
                <w:sz w:val="20"/>
                <w:szCs w:val="20"/>
              </w:rPr>
              <w:t>(</w:t>
            </w:r>
            <w:r w:rsidR="00CE52A0" w:rsidRPr="00413044">
              <w:rPr>
                <w:i/>
                <w:sz w:val="20"/>
                <w:szCs w:val="20"/>
              </w:rPr>
              <w:t>млн. долл.</w:t>
            </w:r>
            <w:r w:rsidRPr="00413044">
              <w:rPr>
                <w:i/>
                <w:sz w:val="20"/>
                <w:szCs w:val="20"/>
              </w:rPr>
              <w:t>)</w:t>
            </w:r>
          </w:p>
        </w:tc>
      </w:tr>
      <w:tr w:rsidR="00A4353E" w:rsidRPr="00413044" w:rsidTr="00E906D7">
        <w:trPr>
          <w:trHeight w:val="255"/>
        </w:trPr>
        <w:tc>
          <w:tcPr>
            <w:tcW w:w="43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rPr>
                <w:b/>
              </w:rPr>
            </w:pPr>
            <w:r w:rsidRPr="00413044">
              <w:rPr>
                <w:b/>
              </w:rPr>
              <w:t>Тип кредитора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2020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2021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2022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2023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2024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2025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2026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</w:t>
            </w:r>
            <w:r>
              <w:rPr>
                <w:b/>
              </w:rPr>
              <w:t>7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после 202</w:t>
            </w:r>
            <w:r>
              <w:rPr>
                <w:b/>
              </w:rPr>
              <w:t>7</w:t>
            </w:r>
          </w:p>
        </w:tc>
        <w:tc>
          <w:tcPr>
            <w:tcW w:w="10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</w:tr>
      <w:tr w:rsidR="00752F8E" w:rsidRPr="00413044" w:rsidTr="00E906D7">
        <w:trPr>
          <w:trHeight w:val="399"/>
        </w:trPr>
        <w:tc>
          <w:tcPr>
            <w:tcW w:w="43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752F8E" w:rsidRPr="00413044" w:rsidRDefault="00752F8E" w:rsidP="00752F8E">
            <w:r w:rsidRPr="00413044">
              <w:t>Иностранные банки и другие финансовые институты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465,7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346,9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326,6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308,9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256,6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174,0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138,6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112,5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34,0</w:t>
            </w:r>
          </w:p>
        </w:tc>
        <w:tc>
          <w:tcPr>
            <w:tcW w:w="10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752F8E" w:rsidRPr="00752F8E" w:rsidRDefault="003871D6" w:rsidP="00752F8E">
            <w:pPr>
              <w:jc w:val="center"/>
            </w:pPr>
            <w:r>
              <w:t>2 163,7</w:t>
            </w:r>
          </w:p>
        </w:tc>
      </w:tr>
      <w:tr w:rsidR="00752F8E" w:rsidRPr="00413044" w:rsidTr="00E906D7">
        <w:trPr>
          <w:trHeight w:val="349"/>
        </w:trPr>
        <w:tc>
          <w:tcPr>
            <w:tcW w:w="43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752F8E" w:rsidRPr="00413044" w:rsidRDefault="00752F8E" w:rsidP="00752F8E">
            <w:r w:rsidRPr="00413044">
              <w:t>Зарубежные материнские компании и филиалы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0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</w:tr>
      <w:tr w:rsidR="00752F8E" w:rsidRPr="00413044" w:rsidTr="00E906D7">
        <w:trPr>
          <w:trHeight w:val="314"/>
        </w:trPr>
        <w:tc>
          <w:tcPr>
            <w:tcW w:w="43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752F8E" w:rsidRPr="00413044" w:rsidRDefault="00752F8E" w:rsidP="00752F8E">
            <w:r w:rsidRPr="00413044">
              <w:t>Экспортеры и другие частные источники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35,1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48,7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2,2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0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86</w:t>
            </w:r>
            <w:r w:rsidR="003871D6">
              <w:t>,0</w:t>
            </w:r>
          </w:p>
        </w:tc>
      </w:tr>
      <w:tr w:rsidR="00752F8E" w:rsidRPr="00413044" w:rsidTr="00E906D7">
        <w:trPr>
          <w:trHeight w:val="545"/>
        </w:trPr>
        <w:tc>
          <w:tcPr>
            <w:tcW w:w="43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752F8E" w:rsidRPr="00413044" w:rsidRDefault="00752F8E" w:rsidP="00752F8E">
            <w:r w:rsidRPr="00413044">
              <w:t>Официальные источники (Правительства и международные организации)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65,8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73,6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47,5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43,7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7,2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17,3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0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255</w:t>
            </w:r>
            <w:r w:rsidR="003871D6">
              <w:t>,1</w:t>
            </w:r>
          </w:p>
        </w:tc>
      </w:tr>
      <w:tr w:rsidR="00752F8E" w:rsidRPr="00413044" w:rsidTr="00E906D7">
        <w:trPr>
          <w:trHeight w:val="545"/>
        </w:trPr>
        <w:tc>
          <w:tcPr>
            <w:tcW w:w="43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752F8E" w:rsidRPr="00413044" w:rsidRDefault="00752F8E" w:rsidP="00752F8E">
            <w:r>
              <w:t>Международные облигации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752F8E" w:rsidRPr="00752F8E" w:rsidRDefault="00752F8E" w:rsidP="00752F8E">
            <w:pPr>
              <w:jc w:val="center"/>
            </w:pPr>
            <w:r w:rsidRPr="00752F8E">
              <w:t>300,0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752F8E" w:rsidRPr="00752F8E" w:rsidRDefault="00752F8E" w:rsidP="00752F8E">
            <w:pPr>
              <w:jc w:val="center"/>
            </w:pPr>
            <w:r w:rsidRPr="00752F8E">
              <w:t>-</w:t>
            </w:r>
          </w:p>
        </w:tc>
        <w:tc>
          <w:tcPr>
            <w:tcW w:w="10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752F8E" w:rsidRPr="00752F8E" w:rsidRDefault="00752F8E" w:rsidP="00752F8E">
            <w:pPr>
              <w:jc w:val="center"/>
            </w:pPr>
            <w:r w:rsidRPr="00752F8E">
              <w:t>300</w:t>
            </w:r>
            <w:r w:rsidR="003871D6">
              <w:t>,0</w:t>
            </w:r>
          </w:p>
        </w:tc>
      </w:tr>
      <w:tr w:rsidR="00752F8E" w:rsidRPr="00413044" w:rsidTr="00E906D7">
        <w:trPr>
          <w:trHeight w:val="425"/>
        </w:trPr>
        <w:tc>
          <w:tcPr>
            <w:tcW w:w="43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752F8E" w:rsidRPr="00413044" w:rsidRDefault="00752F8E" w:rsidP="00752F8E">
            <w:pPr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531,5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455,6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422,9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354,8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563,9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191,3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138,6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112,5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752F8E" w:rsidRPr="00752F8E" w:rsidRDefault="00752F8E" w:rsidP="00752F8E">
            <w:pPr>
              <w:jc w:val="center"/>
            </w:pPr>
            <w:r w:rsidRPr="00752F8E">
              <w:t>34,0</w:t>
            </w:r>
          </w:p>
        </w:tc>
        <w:tc>
          <w:tcPr>
            <w:tcW w:w="10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vAlign w:val="center"/>
            <w:hideMark/>
          </w:tcPr>
          <w:p w:rsidR="00752F8E" w:rsidRPr="00752F8E" w:rsidRDefault="003871D6" w:rsidP="00752F8E">
            <w:pPr>
              <w:jc w:val="center"/>
            </w:pPr>
            <w:r>
              <w:t>2 804,9</w:t>
            </w:r>
          </w:p>
        </w:tc>
      </w:tr>
      <w:tr w:rsidR="00CE52A0" w:rsidRPr="00413044" w:rsidTr="00E906D7">
        <w:trPr>
          <w:trHeight w:val="429"/>
        </w:trPr>
        <w:tc>
          <w:tcPr>
            <w:tcW w:w="4395" w:type="dxa"/>
            <w:vMerge w:val="restart"/>
            <w:tcBorders>
              <w:top w:val="single" w:sz="4" w:space="0" w:color="5B9BD5" w:themeColor="accent1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  <w:r w:rsidRPr="00413044">
              <w:rPr>
                <w:b/>
              </w:rPr>
              <w:t>Проценты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jc w:val="center"/>
              <w:rPr>
                <w:b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032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</w:tr>
      <w:tr w:rsidR="00BB46BB" w:rsidRPr="00413044" w:rsidTr="00E906D7">
        <w:trPr>
          <w:trHeight w:val="80"/>
        </w:trPr>
        <w:tc>
          <w:tcPr>
            <w:tcW w:w="4395" w:type="dxa"/>
            <w:vMerge/>
            <w:tcBorders>
              <w:bottom w:val="single" w:sz="4" w:space="0" w:color="5B9BD5" w:themeColor="accent1"/>
            </w:tcBorders>
            <w:vAlign w:val="center"/>
            <w:hideMark/>
          </w:tcPr>
          <w:p w:rsidR="00BB46BB" w:rsidRPr="00413044" w:rsidRDefault="00BB46BB" w:rsidP="00BB46BB">
            <w:pPr>
              <w:rPr>
                <w:b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rPr>
                <w:b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rPr>
                <w:b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rPr>
                <w:b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rPr>
                <w:b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rPr>
                <w:b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rPr>
                <w:b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rPr>
                <w:b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rPr>
                <w:b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right"/>
              <w:rPr>
                <w:i/>
                <w:sz w:val="20"/>
                <w:szCs w:val="20"/>
              </w:rPr>
            </w:pPr>
            <w:r w:rsidRPr="00413044">
              <w:rPr>
                <w:i/>
                <w:sz w:val="20"/>
                <w:szCs w:val="20"/>
              </w:rPr>
              <w:t>(млн. долл.)</w:t>
            </w:r>
          </w:p>
        </w:tc>
      </w:tr>
      <w:tr w:rsidR="00A4353E" w:rsidRPr="00413044" w:rsidTr="00E906D7">
        <w:trPr>
          <w:trHeight w:val="380"/>
        </w:trPr>
        <w:tc>
          <w:tcPr>
            <w:tcW w:w="43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rPr>
                <w:b/>
              </w:rPr>
            </w:pPr>
            <w:r w:rsidRPr="00413044">
              <w:rPr>
                <w:b/>
              </w:rPr>
              <w:t>Тип кредитора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2020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2021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2022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2023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2024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2025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2026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</w:t>
            </w:r>
            <w:r>
              <w:rPr>
                <w:b/>
              </w:rPr>
              <w:t>7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после 202</w:t>
            </w:r>
            <w:r>
              <w:rPr>
                <w:b/>
              </w:rPr>
              <w:t>7</w:t>
            </w:r>
          </w:p>
        </w:tc>
        <w:tc>
          <w:tcPr>
            <w:tcW w:w="10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</w:tr>
      <w:tr w:rsidR="003871D6" w:rsidRPr="00413044" w:rsidTr="00E906D7">
        <w:trPr>
          <w:trHeight w:val="20"/>
        </w:trPr>
        <w:tc>
          <w:tcPr>
            <w:tcW w:w="43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871D6" w:rsidRPr="00413044" w:rsidRDefault="003871D6" w:rsidP="003871D6">
            <w:r w:rsidRPr="00413044">
              <w:t>Иностранные банки и другие финансовые институты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73,8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46,0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39,0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26,8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15,7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8,8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7,9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8,2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13,3</w:t>
            </w:r>
          </w:p>
        </w:tc>
        <w:tc>
          <w:tcPr>
            <w:tcW w:w="10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239,4</w:t>
            </w:r>
          </w:p>
        </w:tc>
      </w:tr>
      <w:tr w:rsidR="003871D6" w:rsidRPr="00413044" w:rsidTr="00E906D7">
        <w:trPr>
          <w:trHeight w:val="20"/>
        </w:trPr>
        <w:tc>
          <w:tcPr>
            <w:tcW w:w="43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871D6" w:rsidRPr="00413044" w:rsidRDefault="003871D6" w:rsidP="003871D6">
            <w:r w:rsidRPr="00413044">
              <w:t>Зарубежные материнские компании и филиалы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-</w:t>
            </w:r>
          </w:p>
        </w:tc>
        <w:tc>
          <w:tcPr>
            <w:tcW w:w="10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-</w:t>
            </w:r>
          </w:p>
        </w:tc>
      </w:tr>
      <w:tr w:rsidR="003871D6" w:rsidRPr="00413044" w:rsidTr="00E906D7">
        <w:trPr>
          <w:trHeight w:val="20"/>
        </w:trPr>
        <w:tc>
          <w:tcPr>
            <w:tcW w:w="43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871D6" w:rsidRPr="00413044" w:rsidRDefault="003871D6" w:rsidP="003871D6">
            <w:r w:rsidRPr="00413044">
              <w:t>Экспортеры и другие частные источники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2,6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2,6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2,0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-</w:t>
            </w:r>
          </w:p>
        </w:tc>
        <w:tc>
          <w:tcPr>
            <w:tcW w:w="10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7,1</w:t>
            </w:r>
          </w:p>
        </w:tc>
      </w:tr>
      <w:tr w:rsidR="003871D6" w:rsidRPr="00413044" w:rsidTr="00E906D7">
        <w:trPr>
          <w:trHeight w:val="20"/>
        </w:trPr>
        <w:tc>
          <w:tcPr>
            <w:tcW w:w="43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871D6" w:rsidRPr="00413044" w:rsidRDefault="003871D6" w:rsidP="003871D6">
            <w:r w:rsidRPr="00413044">
              <w:t>Официальные источники (Правительства и международные организации)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16,2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6,3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3,1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-</w:t>
            </w:r>
          </w:p>
        </w:tc>
        <w:tc>
          <w:tcPr>
            <w:tcW w:w="10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25,7</w:t>
            </w:r>
          </w:p>
        </w:tc>
      </w:tr>
      <w:tr w:rsidR="003871D6" w:rsidRPr="00413044" w:rsidTr="00E906D7">
        <w:trPr>
          <w:trHeight w:val="20"/>
        </w:trPr>
        <w:tc>
          <w:tcPr>
            <w:tcW w:w="43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3871D6" w:rsidRPr="00413044" w:rsidRDefault="003871D6" w:rsidP="003871D6">
            <w:r>
              <w:t>Международные облигации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871D6" w:rsidRPr="003871D6" w:rsidRDefault="003871D6" w:rsidP="003871D6">
            <w:pPr>
              <w:jc w:val="center"/>
            </w:pPr>
            <w:r w:rsidRPr="003871D6">
              <w:t>17,3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871D6" w:rsidRPr="003871D6" w:rsidRDefault="003871D6" w:rsidP="003871D6">
            <w:pPr>
              <w:jc w:val="center"/>
            </w:pPr>
            <w:r w:rsidRPr="003871D6">
              <w:t>17,3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871D6" w:rsidRPr="003871D6" w:rsidRDefault="003871D6" w:rsidP="003871D6">
            <w:pPr>
              <w:jc w:val="center"/>
            </w:pPr>
            <w:r w:rsidRPr="003871D6">
              <w:t>17,3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871D6" w:rsidRPr="003871D6" w:rsidRDefault="003871D6" w:rsidP="003871D6">
            <w:pPr>
              <w:jc w:val="center"/>
            </w:pPr>
            <w:r w:rsidRPr="003871D6">
              <w:t>17,3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871D6" w:rsidRPr="003871D6" w:rsidRDefault="003871D6" w:rsidP="003871D6">
            <w:pPr>
              <w:jc w:val="center"/>
            </w:pPr>
            <w:r w:rsidRPr="003871D6">
              <w:t>17,3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871D6" w:rsidRPr="003871D6" w:rsidRDefault="003871D6" w:rsidP="003871D6">
            <w:pPr>
              <w:jc w:val="center"/>
            </w:pPr>
            <w:r w:rsidRPr="003871D6"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871D6" w:rsidRPr="003871D6" w:rsidRDefault="003871D6" w:rsidP="003871D6">
            <w:pPr>
              <w:jc w:val="center"/>
            </w:pPr>
            <w:r w:rsidRPr="003871D6"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871D6" w:rsidRPr="003871D6" w:rsidRDefault="003871D6" w:rsidP="003871D6">
            <w:pPr>
              <w:jc w:val="center"/>
            </w:pPr>
            <w:r w:rsidRPr="003871D6"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</w:tcPr>
          <w:p w:rsidR="003871D6" w:rsidRPr="003871D6" w:rsidRDefault="003871D6" w:rsidP="003871D6">
            <w:pPr>
              <w:jc w:val="center"/>
            </w:pPr>
            <w:r w:rsidRPr="003871D6">
              <w:t>-</w:t>
            </w:r>
          </w:p>
        </w:tc>
        <w:tc>
          <w:tcPr>
            <w:tcW w:w="10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3871D6" w:rsidRPr="003871D6" w:rsidRDefault="003871D6" w:rsidP="003871D6">
            <w:pPr>
              <w:jc w:val="center"/>
            </w:pPr>
            <w:r w:rsidRPr="003871D6">
              <w:t>86,3</w:t>
            </w:r>
          </w:p>
        </w:tc>
      </w:tr>
      <w:tr w:rsidR="003871D6" w:rsidRPr="00413044" w:rsidTr="00E906D7">
        <w:trPr>
          <w:trHeight w:val="425"/>
        </w:trPr>
        <w:tc>
          <w:tcPr>
            <w:tcW w:w="43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871D6" w:rsidRPr="00413044" w:rsidRDefault="003871D6" w:rsidP="003871D6">
            <w:pPr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109,8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72,0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61,4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44,1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32,9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8,8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7,9</w:t>
            </w:r>
          </w:p>
        </w:tc>
        <w:tc>
          <w:tcPr>
            <w:tcW w:w="103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8,2</w:t>
            </w:r>
          </w:p>
        </w:tc>
        <w:tc>
          <w:tcPr>
            <w:tcW w:w="10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13,3</w:t>
            </w:r>
          </w:p>
        </w:tc>
        <w:tc>
          <w:tcPr>
            <w:tcW w:w="10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vAlign w:val="center"/>
            <w:hideMark/>
          </w:tcPr>
          <w:p w:rsidR="003871D6" w:rsidRPr="003871D6" w:rsidRDefault="003871D6" w:rsidP="003871D6">
            <w:pPr>
              <w:jc w:val="center"/>
            </w:pPr>
            <w:r w:rsidRPr="003871D6">
              <w:t>358,5</w:t>
            </w:r>
          </w:p>
        </w:tc>
      </w:tr>
    </w:tbl>
    <w:p w:rsidR="00CE52A0" w:rsidRPr="006B246F" w:rsidRDefault="00FD3277" w:rsidP="00CE52A0">
      <w:pPr>
        <w:pStyle w:val="af2"/>
        <w:keepNext/>
        <w:ind w:right="-31"/>
        <w:jc w:val="right"/>
        <w:rPr>
          <w:color w:val="auto"/>
          <w:sz w:val="22"/>
          <w:szCs w:val="22"/>
        </w:rPr>
      </w:pPr>
      <w:r w:rsidRPr="006B246F">
        <w:rPr>
          <w:sz w:val="22"/>
          <w:szCs w:val="22"/>
        </w:rPr>
        <w:br w:type="page"/>
      </w:r>
      <w:r w:rsidR="00CE52A0" w:rsidRPr="006B246F">
        <w:rPr>
          <w:color w:val="auto"/>
          <w:sz w:val="22"/>
          <w:szCs w:val="22"/>
        </w:rPr>
        <w:t>Прило</w:t>
      </w:r>
      <w:r w:rsidR="006C407D" w:rsidRPr="006B246F">
        <w:rPr>
          <w:color w:val="auto"/>
          <w:sz w:val="22"/>
          <w:szCs w:val="22"/>
        </w:rPr>
        <w:t>жение 13.5</w:t>
      </w:r>
    </w:p>
    <w:p w:rsidR="00CE52A0" w:rsidRPr="00413044" w:rsidRDefault="00CE52A0" w:rsidP="00CE52A0">
      <w:pPr>
        <w:jc w:val="center"/>
        <w:rPr>
          <w:b/>
        </w:rPr>
      </w:pPr>
    </w:p>
    <w:p w:rsidR="00CE52A0" w:rsidRPr="00413044" w:rsidRDefault="002E0F0B" w:rsidP="00CE52A0">
      <w:pPr>
        <w:jc w:val="center"/>
        <w:rPr>
          <w:b/>
        </w:rPr>
      </w:pPr>
      <w:r w:rsidRPr="006B246F">
        <w:rPr>
          <w:b/>
          <w:sz w:val="26"/>
          <w:szCs w:val="26"/>
        </w:rPr>
        <w:t>ИНФОРМАЦИЯ О ПОСТУПЛЕНИЯХ И ПЛАТЕЖАХ ПО ЧАСТНОМУ ВНЕШНЕМУ ДОЛГУ ЗА 2019 ГОД</w:t>
      </w:r>
      <w:r w:rsidR="00CE52A0" w:rsidRPr="00413044">
        <w:rPr>
          <w:b/>
        </w:rPr>
        <w:br/>
      </w:r>
      <w:r w:rsidR="00CE52A0" w:rsidRPr="00413044">
        <w:rPr>
          <w:i/>
        </w:rPr>
        <w:t>(тип заёмщика: предприятия с прямыми инвестициями)</w:t>
      </w:r>
    </w:p>
    <w:p w:rsidR="00CE52A0" w:rsidRPr="00413044" w:rsidRDefault="00BB46BB" w:rsidP="00E906D7">
      <w:pPr>
        <w:ind w:right="-31"/>
        <w:jc w:val="right"/>
        <w:rPr>
          <w:i/>
          <w:sz w:val="20"/>
          <w:szCs w:val="20"/>
        </w:rPr>
      </w:pPr>
      <w:r w:rsidRPr="00413044">
        <w:rPr>
          <w:i/>
          <w:sz w:val="20"/>
          <w:szCs w:val="20"/>
        </w:rPr>
        <w:t>(</w:t>
      </w:r>
      <w:r w:rsidR="00CE52A0" w:rsidRPr="00413044">
        <w:rPr>
          <w:i/>
          <w:sz w:val="20"/>
          <w:szCs w:val="20"/>
        </w:rPr>
        <w:t>млн. долл.</w:t>
      </w:r>
      <w:r w:rsidRPr="00413044">
        <w:rPr>
          <w:i/>
          <w:sz w:val="20"/>
          <w:szCs w:val="20"/>
        </w:rPr>
        <w:t>)</w:t>
      </w:r>
    </w:p>
    <w:tbl>
      <w:tblPr>
        <w:tblW w:w="1479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/>
      </w:tblPr>
      <w:tblGrid>
        <w:gridCol w:w="3325"/>
        <w:gridCol w:w="1699"/>
        <w:gridCol w:w="1556"/>
        <w:gridCol w:w="1467"/>
        <w:gridCol w:w="1592"/>
        <w:gridCol w:w="1679"/>
        <w:gridCol w:w="1821"/>
        <w:gridCol w:w="1679"/>
      </w:tblGrid>
      <w:tr w:rsidR="00CE52A0" w:rsidRPr="00413044" w:rsidTr="00E906D7">
        <w:trPr>
          <w:trHeight w:val="290"/>
        </w:trPr>
        <w:tc>
          <w:tcPr>
            <w:tcW w:w="3325" w:type="dxa"/>
            <w:vMerge w:val="restart"/>
            <w:shd w:val="clear" w:color="auto" w:fill="DEEAF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</w:rPr>
            </w:pPr>
            <w:r w:rsidRPr="00413044">
              <w:rPr>
                <w:b/>
              </w:rPr>
              <w:t>Тип кредитора</w:t>
            </w:r>
          </w:p>
        </w:tc>
        <w:tc>
          <w:tcPr>
            <w:tcW w:w="1679" w:type="dxa"/>
            <w:shd w:val="clear" w:color="auto" w:fill="DEEAF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</w:rPr>
            </w:pPr>
            <w:r w:rsidRPr="00413044">
              <w:rPr>
                <w:b/>
              </w:rPr>
              <w:t>Начало периода</w:t>
            </w:r>
          </w:p>
        </w:tc>
        <w:tc>
          <w:tcPr>
            <w:tcW w:w="8115" w:type="dxa"/>
            <w:gridSpan w:val="5"/>
            <w:shd w:val="clear" w:color="auto" w:fill="DEEAF6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</w:rPr>
            </w:pPr>
            <w:r w:rsidRPr="00413044">
              <w:rPr>
                <w:b/>
              </w:rPr>
              <w:t>Движение в течение периода</w:t>
            </w:r>
          </w:p>
        </w:tc>
        <w:tc>
          <w:tcPr>
            <w:tcW w:w="1679" w:type="dxa"/>
            <w:shd w:val="clear" w:color="auto" w:fill="DEEAF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</w:rPr>
            </w:pPr>
            <w:r w:rsidRPr="00413044">
              <w:rPr>
                <w:b/>
              </w:rPr>
              <w:t>На конец периода</w:t>
            </w:r>
          </w:p>
        </w:tc>
      </w:tr>
      <w:tr w:rsidR="00CE52A0" w:rsidRPr="00413044" w:rsidTr="00E906D7">
        <w:trPr>
          <w:trHeight w:val="580"/>
        </w:trPr>
        <w:tc>
          <w:tcPr>
            <w:tcW w:w="3325" w:type="dxa"/>
            <w:vMerge/>
            <w:shd w:val="clear" w:color="auto" w:fill="DEEAF6"/>
            <w:vAlign w:val="center"/>
            <w:hideMark/>
          </w:tcPr>
          <w:p w:rsidR="00CE52A0" w:rsidRPr="00413044" w:rsidRDefault="00CE52A0" w:rsidP="00C729F1">
            <w:pPr>
              <w:rPr>
                <w:b/>
              </w:rPr>
            </w:pPr>
          </w:p>
        </w:tc>
        <w:tc>
          <w:tcPr>
            <w:tcW w:w="1679" w:type="dxa"/>
            <w:shd w:val="clear" w:color="auto" w:fill="DEEAF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  <w:sz w:val="22"/>
                <w:szCs w:val="22"/>
              </w:rPr>
            </w:pPr>
            <w:r w:rsidRPr="00413044">
              <w:rPr>
                <w:b/>
                <w:sz w:val="22"/>
                <w:szCs w:val="22"/>
              </w:rPr>
              <w:t xml:space="preserve">Фактическая задолженность </w:t>
            </w:r>
          </w:p>
        </w:tc>
        <w:tc>
          <w:tcPr>
            <w:tcW w:w="1556" w:type="dxa"/>
            <w:shd w:val="clear" w:color="auto" w:fill="DEEAF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  <w:sz w:val="22"/>
                <w:szCs w:val="22"/>
              </w:rPr>
            </w:pPr>
            <w:r w:rsidRPr="00413044">
              <w:rPr>
                <w:b/>
                <w:sz w:val="22"/>
                <w:szCs w:val="22"/>
              </w:rPr>
              <w:t>Поступление</w:t>
            </w:r>
          </w:p>
        </w:tc>
        <w:tc>
          <w:tcPr>
            <w:tcW w:w="1467" w:type="dxa"/>
            <w:shd w:val="clear" w:color="auto" w:fill="DEEAF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  <w:sz w:val="22"/>
                <w:szCs w:val="22"/>
              </w:rPr>
            </w:pPr>
            <w:r w:rsidRPr="00413044">
              <w:rPr>
                <w:b/>
                <w:sz w:val="22"/>
                <w:szCs w:val="22"/>
              </w:rPr>
              <w:t>Погашено по основному долгу</w:t>
            </w:r>
          </w:p>
        </w:tc>
        <w:tc>
          <w:tcPr>
            <w:tcW w:w="1592" w:type="dxa"/>
            <w:shd w:val="clear" w:color="auto" w:fill="DEEAF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  <w:sz w:val="22"/>
                <w:szCs w:val="22"/>
              </w:rPr>
            </w:pPr>
            <w:r w:rsidRPr="00413044">
              <w:rPr>
                <w:b/>
                <w:sz w:val="22"/>
                <w:szCs w:val="22"/>
              </w:rPr>
              <w:t>Погашено по процентным платежам</w:t>
            </w:r>
          </w:p>
        </w:tc>
        <w:tc>
          <w:tcPr>
            <w:tcW w:w="1679" w:type="dxa"/>
            <w:shd w:val="clear" w:color="auto" w:fill="DEEAF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  <w:sz w:val="22"/>
                <w:szCs w:val="22"/>
              </w:rPr>
            </w:pPr>
            <w:r w:rsidRPr="00413044">
              <w:rPr>
                <w:b/>
                <w:sz w:val="22"/>
                <w:szCs w:val="22"/>
              </w:rPr>
              <w:t>Перенесенные выплаты по основному долгу</w:t>
            </w:r>
          </w:p>
        </w:tc>
        <w:tc>
          <w:tcPr>
            <w:tcW w:w="1819" w:type="dxa"/>
            <w:shd w:val="clear" w:color="auto" w:fill="DEEAF6"/>
            <w:vAlign w:val="center"/>
            <w:hideMark/>
          </w:tcPr>
          <w:p w:rsidR="00CE52A0" w:rsidRPr="00413044" w:rsidRDefault="00CE52A0" w:rsidP="00C729F1">
            <w:pPr>
              <w:jc w:val="center"/>
              <w:rPr>
                <w:b/>
                <w:sz w:val="22"/>
                <w:szCs w:val="22"/>
              </w:rPr>
            </w:pPr>
            <w:r w:rsidRPr="00413044">
              <w:rPr>
                <w:b/>
                <w:sz w:val="22"/>
                <w:szCs w:val="22"/>
              </w:rPr>
              <w:t>Перенесенные выплаты по процентам</w:t>
            </w:r>
          </w:p>
        </w:tc>
        <w:tc>
          <w:tcPr>
            <w:tcW w:w="1679" w:type="dxa"/>
            <w:shd w:val="clear" w:color="auto" w:fill="DEEAF6"/>
            <w:vAlign w:val="center"/>
            <w:hideMark/>
          </w:tcPr>
          <w:p w:rsidR="00CE52A0" w:rsidRPr="00413044" w:rsidRDefault="00CE52A0" w:rsidP="00C729F1">
            <w:pPr>
              <w:ind w:left="-59"/>
              <w:jc w:val="center"/>
              <w:rPr>
                <w:b/>
                <w:sz w:val="22"/>
                <w:szCs w:val="22"/>
              </w:rPr>
            </w:pPr>
            <w:r w:rsidRPr="00413044">
              <w:rPr>
                <w:b/>
                <w:sz w:val="22"/>
                <w:szCs w:val="22"/>
              </w:rPr>
              <w:t xml:space="preserve">Фактическая задолженность </w:t>
            </w:r>
          </w:p>
        </w:tc>
      </w:tr>
      <w:tr w:rsidR="00CE52A0" w:rsidRPr="00413044" w:rsidTr="00E906D7">
        <w:trPr>
          <w:trHeight w:val="290"/>
        </w:trPr>
        <w:tc>
          <w:tcPr>
            <w:tcW w:w="3325" w:type="dxa"/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1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3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4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5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6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7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CE52A0" w:rsidRPr="00413044" w:rsidRDefault="00CE52A0" w:rsidP="00C729F1">
            <w:pPr>
              <w:jc w:val="center"/>
            </w:pPr>
            <w:r w:rsidRPr="00413044">
              <w:t>8</w:t>
            </w:r>
          </w:p>
        </w:tc>
      </w:tr>
      <w:tr w:rsidR="006778A2" w:rsidRPr="00413044" w:rsidTr="00E906D7">
        <w:trPr>
          <w:trHeight w:val="871"/>
        </w:trPr>
        <w:tc>
          <w:tcPr>
            <w:tcW w:w="3325" w:type="dxa"/>
            <w:shd w:val="clear" w:color="auto" w:fill="auto"/>
            <w:vAlign w:val="center"/>
            <w:hideMark/>
          </w:tcPr>
          <w:p w:rsidR="006778A2" w:rsidRPr="00413044" w:rsidRDefault="006778A2" w:rsidP="006778A2">
            <w:r w:rsidRPr="00413044">
              <w:t>Иностранные банки и другие финансовые институты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4 638,4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219,3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882,2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305,4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-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-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3 977,0</w:t>
            </w:r>
          </w:p>
        </w:tc>
      </w:tr>
      <w:tr w:rsidR="006778A2" w:rsidRPr="00413044" w:rsidTr="00E906D7">
        <w:trPr>
          <w:trHeight w:val="580"/>
        </w:trPr>
        <w:tc>
          <w:tcPr>
            <w:tcW w:w="3325" w:type="dxa"/>
            <w:shd w:val="clear" w:color="auto" w:fill="auto"/>
            <w:vAlign w:val="center"/>
            <w:hideMark/>
          </w:tcPr>
          <w:p w:rsidR="006778A2" w:rsidRPr="00413044" w:rsidRDefault="006778A2" w:rsidP="006778A2">
            <w:r w:rsidRPr="00413044">
              <w:t>Зарубежные материнские компании и филиалы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659,0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208,9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73,3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9,3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-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-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788,5</w:t>
            </w:r>
          </w:p>
        </w:tc>
      </w:tr>
      <w:tr w:rsidR="006778A2" w:rsidRPr="00413044" w:rsidTr="00E906D7">
        <w:trPr>
          <w:trHeight w:val="580"/>
        </w:trPr>
        <w:tc>
          <w:tcPr>
            <w:tcW w:w="3325" w:type="dxa"/>
            <w:shd w:val="clear" w:color="auto" w:fill="auto"/>
            <w:vAlign w:val="center"/>
            <w:hideMark/>
          </w:tcPr>
          <w:p w:rsidR="006778A2" w:rsidRPr="00413044" w:rsidRDefault="006778A2" w:rsidP="006778A2">
            <w:r w:rsidRPr="00413044">
              <w:t>Экспортеры и другие частные источники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100,3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58,7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25,9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1,0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-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-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132,6</w:t>
            </w:r>
          </w:p>
        </w:tc>
      </w:tr>
      <w:tr w:rsidR="006778A2" w:rsidRPr="00413044" w:rsidTr="00E906D7">
        <w:trPr>
          <w:trHeight w:val="1161"/>
        </w:trPr>
        <w:tc>
          <w:tcPr>
            <w:tcW w:w="3325" w:type="dxa"/>
            <w:shd w:val="clear" w:color="auto" w:fill="auto"/>
            <w:vAlign w:val="center"/>
            <w:hideMark/>
          </w:tcPr>
          <w:p w:rsidR="006778A2" w:rsidRPr="00413044" w:rsidRDefault="006778A2" w:rsidP="006778A2">
            <w:r w:rsidRPr="00413044">
              <w:t>Официальные источники (Правительства и международные организации)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136,1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7,0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27,4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8,6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-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-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115,7</w:t>
            </w:r>
          </w:p>
        </w:tc>
      </w:tr>
      <w:tr w:rsidR="006778A2" w:rsidRPr="00413044" w:rsidTr="00E906D7">
        <w:trPr>
          <w:trHeight w:val="484"/>
        </w:trPr>
        <w:tc>
          <w:tcPr>
            <w:tcW w:w="3325" w:type="dxa"/>
            <w:shd w:val="clear" w:color="auto" w:fill="DEEAF6"/>
            <w:noWrap/>
            <w:vAlign w:val="center"/>
            <w:hideMark/>
          </w:tcPr>
          <w:p w:rsidR="006778A2" w:rsidRPr="00413044" w:rsidRDefault="006778A2" w:rsidP="006778A2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  <w:tc>
          <w:tcPr>
            <w:tcW w:w="1679" w:type="dxa"/>
            <w:shd w:val="clear" w:color="auto" w:fill="DEEAF6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5 533,7</w:t>
            </w:r>
          </w:p>
        </w:tc>
        <w:tc>
          <w:tcPr>
            <w:tcW w:w="1556" w:type="dxa"/>
            <w:shd w:val="clear" w:color="auto" w:fill="DEEAF6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493,9</w:t>
            </w:r>
          </w:p>
        </w:tc>
        <w:tc>
          <w:tcPr>
            <w:tcW w:w="1467" w:type="dxa"/>
            <w:shd w:val="clear" w:color="auto" w:fill="DEEAF6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1 008,7</w:t>
            </w:r>
          </w:p>
        </w:tc>
        <w:tc>
          <w:tcPr>
            <w:tcW w:w="1592" w:type="dxa"/>
            <w:shd w:val="clear" w:color="auto" w:fill="DEEAF6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324,3</w:t>
            </w:r>
          </w:p>
        </w:tc>
        <w:tc>
          <w:tcPr>
            <w:tcW w:w="1679" w:type="dxa"/>
            <w:shd w:val="clear" w:color="auto" w:fill="DEEAF6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-</w:t>
            </w:r>
          </w:p>
        </w:tc>
        <w:tc>
          <w:tcPr>
            <w:tcW w:w="1819" w:type="dxa"/>
            <w:shd w:val="clear" w:color="auto" w:fill="DEEAF6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-</w:t>
            </w:r>
          </w:p>
        </w:tc>
        <w:tc>
          <w:tcPr>
            <w:tcW w:w="1679" w:type="dxa"/>
            <w:shd w:val="clear" w:color="auto" w:fill="DEEAF6"/>
            <w:noWrap/>
            <w:vAlign w:val="center"/>
            <w:hideMark/>
          </w:tcPr>
          <w:p w:rsidR="006778A2" w:rsidRPr="006778A2" w:rsidRDefault="006778A2" w:rsidP="006778A2">
            <w:pPr>
              <w:jc w:val="center"/>
            </w:pPr>
            <w:r w:rsidRPr="006778A2">
              <w:t>5 013,8</w:t>
            </w:r>
          </w:p>
        </w:tc>
      </w:tr>
    </w:tbl>
    <w:p w:rsidR="00CE52A0" w:rsidRPr="00413044" w:rsidRDefault="00CE52A0" w:rsidP="00CE52A0">
      <w:pPr>
        <w:tabs>
          <w:tab w:val="left" w:pos="6255"/>
        </w:tabs>
        <w:ind w:right="-456"/>
        <w:rPr>
          <w:i/>
        </w:rPr>
      </w:pPr>
    </w:p>
    <w:p w:rsidR="00CE52A0" w:rsidRPr="00413044" w:rsidRDefault="00CE52A0" w:rsidP="00CE52A0">
      <w:pPr>
        <w:tabs>
          <w:tab w:val="left" w:pos="6255"/>
        </w:tabs>
        <w:ind w:right="-456"/>
        <w:rPr>
          <w:i/>
        </w:rPr>
      </w:pPr>
    </w:p>
    <w:p w:rsidR="00CE52A0" w:rsidRPr="00413044" w:rsidRDefault="00CE52A0" w:rsidP="0028029B">
      <w:pPr>
        <w:rPr>
          <w:b/>
        </w:rPr>
      </w:pPr>
    </w:p>
    <w:p w:rsidR="00CE52A0" w:rsidRPr="006B246F" w:rsidRDefault="00C96F12" w:rsidP="005219A6">
      <w:pPr>
        <w:ind w:right="-31"/>
        <w:jc w:val="right"/>
        <w:rPr>
          <w:i/>
          <w:sz w:val="22"/>
          <w:szCs w:val="22"/>
        </w:rPr>
      </w:pPr>
      <w:r w:rsidRPr="00413044">
        <w:br w:type="page"/>
      </w:r>
      <w:r w:rsidR="00CE52A0" w:rsidRPr="006B246F">
        <w:rPr>
          <w:i/>
          <w:sz w:val="22"/>
          <w:szCs w:val="22"/>
        </w:rPr>
        <w:t>Приложение 13.6</w:t>
      </w:r>
    </w:p>
    <w:p w:rsidR="00CE52A0" w:rsidRPr="00413044" w:rsidRDefault="002E0F0B" w:rsidP="00CE52A0">
      <w:pPr>
        <w:jc w:val="center"/>
      </w:pPr>
      <w:r w:rsidRPr="006B246F">
        <w:rPr>
          <w:b/>
          <w:sz w:val="26"/>
          <w:szCs w:val="26"/>
        </w:rPr>
        <w:t>ПРОГНОЗ БУДУЩИХ ПЛАТЕЖЕЙ ПО ОСНОВНОМУ ДОЛГУ И ПРОЦЕНТАМ</w:t>
      </w:r>
      <w:r w:rsidR="00CE52A0" w:rsidRPr="00413044">
        <w:rPr>
          <w:b/>
        </w:rPr>
        <w:br/>
      </w:r>
      <w:r w:rsidR="00CE52A0" w:rsidRPr="00413044">
        <w:rPr>
          <w:i/>
        </w:rPr>
        <w:t>(тип заёмщика: предприятия с прямыми инвестициями)</w:t>
      </w:r>
    </w:p>
    <w:tbl>
      <w:tblPr>
        <w:tblW w:w="14850" w:type="dxa"/>
        <w:tblLayout w:type="fixed"/>
        <w:tblLook w:val="04A0"/>
      </w:tblPr>
      <w:tblGrid>
        <w:gridCol w:w="3686"/>
        <w:gridCol w:w="1023"/>
        <w:gridCol w:w="93"/>
        <w:gridCol w:w="931"/>
        <w:gridCol w:w="185"/>
        <w:gridCol w:w="839"/>
        <w:gridCol w:w="278"/>
        <w:gridCol w:w="746"/>
        <w:gridCol w:w="370"/>
        <w:gridCol w:w="653"/>
        <w:gridCol w:w="464"/>
        <w:gridCol w:w="560"/>
        <w:gridCol w:w="556"/>
        <w:gridCol w:w="468"/>
        <w:gridCol w:w="648"/>
        <w:gridCol w:w="376"/>
        <w:gridCol w:w="741"/>
        <w:gridCol w:w="283"/>
        <w:gridCol w:w="833"/>
        <w:gridCol w:w="1117"/>
      </w:tblGrid>
      <w:tr w:rsidR="00CE52A0" w:rsidRPr="00413044" w:rsidTr="00E906D7">
        <w:trPr>
          <w:trHeight w:val="262"/>
        </w:trPr>
        <w:tc>
          <w:tcPr>
            <w:tcW w:w="3686" w:type="dxa"/>
            <w:tcBorders>
              <w:bottom w:val="single" w:sz="4" w:space="0" w:color="5B9BD5" w:themeColor="accent1"/>
            </w:tcBorders>
            <w:vAlign w:val="center"/>
            <w:hideMark/>
          </w:tcPr>
          <w:p w:rsidR="00CE52A0" w:rsidRPr="00413044" w:rsidRDefault="00BB46BB" w:rsidP="00C729F1">
            <w:r w:rsidRPr="00413044">
              <w:rPr>
                <w:b/>
              </w:rPr>
              <w:t>Основной долг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BB46BB" w:rsidP="00C729F1">
            <w:pPr>
              <w:jc w:val="right"/>
              <w:rPr>
                <w:sz w:val="20"/>
                <w:szCs w:val="20"/>
              </w:rPr>
            </w:pPr>
            <w:r w:rsidRPr="00413044">
              <w:rPr>
                <w:i/>
                <w:sz w:val="20"/>
                <w:szCs w:val="20"/>
              </w:rPr>
              <w:t>(</w:t>
            </w:r>
            <w:r w:rsidR="00CE52A0" w:rsidRPr="00413044">
              <w:rPr>
                <w:i/>
                <w:sz w:val="20"/>
                <w:szCs w:val="20"/>
              </w:rPr>
              <w:t>млн. долл.</w:t>
            </w:r>
            <w:r w:rsidRPr="00413044">
              <w:rPr>
                <w:i/>
                <w:sz w:val="20"/>
                <w:szCs w:val="20"/>
              </w:rPr>
              <w:t>)</w:t>
            </w:r>
          </w:p>
        </w:tc>
      </w:tr>
      <w:tr w:rsidR="00A4353E" w:rsidRPr="00413044" w:rsidTr="00E906D7">
        <w:trPr>
          <w:trHeight w:val="255"/>
        </w:trPr>
        <w:tc>
          <w:tcPr>
            <w:tcW w:w="36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Тип кредитора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2020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2021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2022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2023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2024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2025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2026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</w:t>
            </w:r>
            <w:r>
              <w:rPr>
                <w:b/>
              </w:rPr>
              <w:t>7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после 202</w:t>
            </w:r>
            <w:r>
              <w:rPr>
                <w:b/>
              </w:rPr>
              <w:t>7</w:t>
            </w:r>
          </w:p>
        </w:tc>
        <w:tc>
          <w:tcPr>
            <w:tcW w:w="11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</w:tr>
      <w:tr w:rsidR="00172D40" w:rsidRPr="00413044" w:rsidTr="00E906D7">
        <w:trPr>
          <w:trHeight w:val="629"/>
        </w:trPr>
        <w:tc>
          <w:tcPr>
            <w:tcW w:w="36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2D40" w:rsidRPr="00413044" w:rsidRDefault="00172D40" w:rsidP="00172D40">
            <w:r w:rsidRPr="00413044">
              <w:t>Иностранные банки и другие финансовые институты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885,8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528,5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604,2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617,7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366,2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325,1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384,9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147,8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116,8</w:t>
            </w:r>
          </w:p>
        </w:tc>
        <w:tc>
          <w:tcPr>
            <w:tcW w:w="11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3 977,0</w:t>
            </w:r>
          </w:p>
        </w:tc>
      </w:tr>
      <w:tr w:rsidR="00172D40" w:rsidRPr="00413044" w:rsidTr="00E906D7">
        <w:trPr>
          <w:trHeight w:val="510"/>
        </w:trPr>
        <w:tc>
          <w:tcPr>
            <w:tcW w:w="36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2D40" w:rsidRPr="00413044" w:rsidRDefault="00172D40" w:rsidP="00172D40">
            <w:r w:rsidRPr="00413044">
              <w:t>Зарубежные материнские компании и филиалы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293,8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63,3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335,7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80,5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6,7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1,2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1,2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1,2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4,9</w:t>
            </w:r>
          </w:p>
        </w:tc>
        <w:tc>
          <w:tcPr>
            <w:tcW w:w="11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788,5</w:t>
            </w:r>
          </w:p>
        </w:tc>
      </w:tr>
      <w:tr w:rsidR="00172D40" w:rsidRPr="00413044" w:rsidTr="00E906D7">
        <w:trPr>
          <w:trHeight w:val="510"/>
        </w:trPr>
        <w:tc>
          <w:tcPr>
            <w:tcW w:w="36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2D40" w:rsidRPr="00413044" w:rsidRDefault="00172D40" w:rsidP="00172D40">
            <w:r w:rsidRPr="00413044">
              <w:t>Экспортеры и другие частные источники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51,7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23,0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2,4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14,3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12,6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7,6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20,9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-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-</w:t>
            </w:r>
          </w:p>
        </w:tc>
        <w:tc>
          <w:tcPr>
            <w:tcW w:w="11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132,6</w:t>
            </w:r>
          </w:p>
        </w:tc>
      </w:tr>
      <w:tr w:rsidR="00172D40" w:rsidRPr="00413044" w:rsidTr="00E906D7">
        <w:trPr>
          <w:trHeight w:val="741"/>
        </w:trPr>
        <w:tc>
          <w:tcPr>
            <w:tcW w:w="36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2D40" w:rsidRPr="00413044" w:rsidRDefault="00172D40" w:rsidP="00172D40">
            <w:r w:rsidRPr="00413044">
              <w:t>Официальные источники (Правительства и международные организации)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32,6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22,5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27,7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21,5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11,3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-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-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-</w:t>
            </w:r>
          </w:p>
        </w:tc>
        <w:tc>
          <w:tcPr>
            <w:tcW w:w="11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2D40" w:rsidRPr="006713BF" w:rsidRDefault="00172D40" w:rsidP="00172D40">
            <w:pPr>
              <w:jc w:val="center"/>
            </w:pPr>
            <w:r w:rsidRPr="006713BF">
              <w:t>115,7</w:t>
            </w:r>
          </w:p>
        </w:tc>
      </w:tr>
      <w:tr w:rsidR="00450140" w:rsidRPr="00413044" w:rsidTr="00E906D7">
        <w:trPr>
          <w:trHeight w:val="425"/>
        </w:trPr>
        <w:tc>
          <w:tcPr>
            <w:tcW w:w="36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450140" w:rsidRPr="00413044" w:rsidRDefault="00450140" w:rsidP="00450140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450140" w:rsidRPr="006713BF" w:rsidRDefault="00450140" w:rsidP="00450140">
            <w:pPr>
              <w:jc w:val="center"/>
            </w:pPr>
            <w:r w:rsidRPr="006713BF">
              <w:t>1 263,8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450140" w:rsidRPr="006713BF" w:rsidRDefault="00450140" w:rsidP="00450140">
            <w:pPr>
              <w:jc w:val="center"/>
            </w:pPr>
            <w:r w:rsidRPr="006713BF">
              <w:t>637,4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450140" w:rsidRPr="006713BF" w:rsidRDefault="00450140" w:rsidP="00450140">
            <w:pPr>
              <w:jc w:val="center"/>
            </w:pPr>
            <w:r w:rsidRPr="006713BF">
              <w:t>970,0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450140" w:rsidRPr="006713BF" w:rsidRDefault="00450140" w:rsidP="00450140">
            <w:pPr>
              <w:jc w:val="center"/>
            </w:pPr>
            <w:r w:rsidRPr="006713BF">
              <w:t>734,1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450140" w:rsidRPr="006713BF" w:rsidRDefault="00450140" w:rsidP="00450140">
            <w:pPr>
              <w:jc w:val="center"/>
            </w:pPr>
            <w:r w:rsidRPr="006713BF">
              <w:t>396,9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450140" w:rsidRPr="006713BF" w:rsidRDefault="00450140" w:rsidP="00450140">
            <w:pPr>
              <w:jc w:val="center"/>
            </w:pPr>
            <w:r w:rsidRPr="006713BF">
              <w:t>333,9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450140" w:rsidRPr="006713BF" w:rsidRDefault="00450140" w:rsidP="00450140">
            <w:pPr>
              <w:jc w:val="center"/>
            </w:pPr>
            <w:r w:rsidRPr="006713BF">
              <w:t>407,0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450140" w:rsidRPr="006713BF" w:rsidRDefault="00450140" w:rsidP="00450140">
            <w:pPr>
              <w:jc w:val="center"/>
            </w:pPr>
            <w:r w:rsidRPr="006713BF">
              <w:t>149,0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450140" w:rsidRPr="006713BF" w:rsidRDefault="00450140" w:rsidP="00450140">
            <w:pPr>
              <w:jc w:val="center"/>
            </w:pPr>
            <w:r w:rsidRPr="006713BF">
              <w:t>121,7</w:t>
            </w:r>
          </w:p>
        </w:tc>
        <w:tc>
          <w:tcPr>
            <w:tcW w:w="11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vAlign w:val="center"/>
            <w:hideMark/>
          </w:tcPr>
          <w:p w:rsidR="00450140" w:rsidRPr="006713BF" w:rsidRDefault="00450140" w:rsidP="00450140">
            <w:pPr>
              <w:jc w:val="center"/>
            </w:pPr>
            <w:r w:rsidRPr="006713BF">
              <w:t>5 013,8</w:t>
            </w:r>
          </w:p>
        </w:tc>
      </w:tr>
      <w:tr w:rsidR="00CE52A0" w:rsidRPr="00413044" w:rsidTr="00E906D7">
        <w:trPr>
          <w:trHeight w:val="255"/>
        </w:trPr>
        <w:tc>
          <w:tcPr>
            <w:tcW w:w="3686" w:type="dxa"/>
            <w:vMerge w:val="restart"/>
            <w:tcBorders>
              <w:top w:val="single" w:sz="4" w:space="0" w:color="5B9BD5" w:themeColor="accent1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E52A0" w:rsidRPr="00413044" w:rsidRDefault="00CE52A0" w:rsidP="00C729F1">
            <w:pPr>
              <w:rPr>
                <w:b/>
              </w:rPr>
            </w:pPr>
            <w:r w:rsidRPr="00413044">
              <w:rPr>
                <w:b/>
              </w:rPr>
              <w:t>Проценты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  <w:tc>
          <w:tcPr>
            <w:tcW w:w="1117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A0" w:rsidRPr="00413044" w:rsidRDefault="00CE52A0" w:rsidP="00C729F1"/>
        </w:tc>
      </w:tr>
      <w:tr w:rsidR="005219A6" w:rsidRPr="00413044" w:rsidTr="00E906D7">
        <w:trPr>
          <w:trHeight w:val="249"/>
        </w:trPr>
        <w:tc>
          <w:tcPr>
            <w:tcW w:w="3686" w:type="dxa"/>
            <w:vMerge/>
            <w:tcBorders>
              <w:bottom w:val="single" w:sz="4" w:space="0" w:color="5B9BD5" w:themeColor="accent1"/>
            </w:tcBorders>
            <w:vAlign w:val="center"/>
            <w:hideMark/>
          </w:tcPr>
          <w:p w:rsidR="005219A6" w:rsidRPr="00413044" w:rsidRDefault="005219A6" w:rsidP="00C729F1"/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5219A6" w:rsidRPr="00413044" w:rsidRDefault="005219A6" w:rsidP="00C729F1"/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5219A6" w:rsidRPr="00413044" w:rsidRDefault="005219A6" w:rsidP="00C729F1"/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5219A6" w:rsidRPr="00413044" w:rsidRDefault="005219A6" w:rsidP="00C729F1"/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5219A6" w:rsidRPr="00413044" w:rsidRDefault="005219A6" w:rsidP="00C729F1"/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5219A6" w:rsidRPr="00413044" w:rsidRDefault="005219A6" w:rsidP="00C729F1"/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5219A6" w:rsidRPr="00413044" w:rsidRDefault="005219A6" w:rsidP="00C729F1"/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5219A6" w:rsidRPr="00413044" w:rsidRDefault="005219A6" w:rsidP="00C729F1"/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5219A6" w:rsidRPr="00413044" w:rsidRDefault="005219A6" w:rsidP="00C729F1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5219A6" w:rsidRPr="00413044" w:rsidRDefault="00BB46BB" w:rsidP="00C729F1">
            <w:pPr>
              <w:jc w:val="right"/>
              <w:rPr>
                <w:sz w:val="20"/>
                <w:szCs w:val="20"/>
              </w:rPr>
            </w:pPr>
            <w:r w:rsidRPr="00413044">
              <w:rPr>
                <w:i/>
                <w:sz w:val="20"/>
                <w:szCs w:val="20"/>
              </w:rPr>
              <w:t>(</w:t>
            </w:r>
            <w:r w:rsidR="005219A6" w:rsidRPr="00413044">
              <w:rPr>
                <w:i/>
                <w:sz w:val="20"/>
                <w:szCs w:val="20"/>
              </w:rPr>
              <w:t>млн. долл.</w:t>
            </w:r>
            <w:r w:rsidRPr="00413044">
              <w:rPr>
                <w:i/>
                <w:sz w:val="20"/>
                <w:szCs w:val="20"/>
              </w:rPr>
              <w:t>)</w:t>
            </w:r>
          </w:p>
        </w:tc>
      </w:tr>
      <w:tr w:rsidR="00A4353E" w:rsidRPr="00413044" w:rsidTr="00E906D7">
        <w:trPr>
          <w:trHeight w:val="255"/>
        </w:trPr>
        <w:tc>
          <w:tcPr>
            <w:tcW w:w="36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Тип кредитора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2020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2021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2022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2023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2024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2025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2026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</w:t>
            </w:r>
            <w:r>
              <w:rPr>
                <w:b/>
              </w:rPr>
              <w:t>7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после 202</w:t>
            </w:r>
            <w:r>
              <w:rPr>
                <w:b/>
              </w:rPr>
              <w:t>7</w:t>
            </w:r>
          </w:p>
        </w:tc>
        <w:tc>
          <w:tcPr>
            <w:tcW w:w="11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</w:tr>
      <w:tr w:rsidR="00B847B7" w:rsidRPr="00413044" w:rsidTr="00E906D7">
        <w:trPr>
          <w:trHeight w:val="471"/>
        </w:trPr>
        <w:tc>
          <w:tcPr>
            <w:tcW w:w="36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B847B7" w:rsidRPr="00413044" w:rsidRDefault="00B847B7" w:rsidP="00B847B7">
            <w:r w:rsidRPr="00413044">
              <w:t>Иностранные банки и другие финансовые институты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191,9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175,9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152,1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125,9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96,8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60,6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50,3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22,3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-</w:t>
            </w:r>
          </w:p>
        </w:tc>
        <w:tc>
          <w:tcPr>
            <w:tcW w:w="11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875,7</w:t>
            </w:r>
          </w:p>
        </w:tc>
      </w:tr>
      <w:tr w:rsidR="00B847B7" w:rsidRPr="00413044" w:rsidTr="00E906D7">
        <w:trPr>
          <w:trHeight w:val="510"/>
        </w:trPr>
        <w:tc>
          <w:tcPr>
            <w:tcW w:w="36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B847B7" w:rsidRPr="00413044" w:rsidRDefault="00B847B7" w:rsidP="00B847B7">
            <w:r w:rsidRPr="00413044">
              <w:t>Зарубежные материнские компании и филиалы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77,7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37,2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35,6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35,5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21,4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1,2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0,1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-</w:t>
            </w:r>
          </w:p>
        </w:tc>
        <w:tc>
          <w:tcPr>
            <w:tcW w:w="11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208,9</w:t>
            </w:r>
          </w:p>
        </w:tc>
      </w:tr>
      <w:tr w:rsidR="00B847B7" w:rsidRPr="00413044" w:rsidTr="00E906D7">
        <w:trPr>
          <w:trHeight w:val="510"/>
        </w:trPr>
        <w:tc>
          <w:tcPr>
            <w:tcW w:w="36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B847B7" w:rsidRPr="00413044" w:rsidRDefault="00B847B7" w:rsidP="00B847B7">
            <w:r w:rsidRPr="00413044">
              <w:t>Экспортеры и другие частные источники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1,2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0,6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0,4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0,5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0,4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0,3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0,1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-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-</w:t>
            </w:r>
          </w:p>
        </w:tc>
        <w:tc>
          <w:tcPr>
            <w:tcW w:w="11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3,5</w:t>
            </w:r>
          </w:p>
        </w:tc>
      </w:tr>
      <w:tr w:rsidR="00B847B7" w:rsidRPr="00413044" w:rsidTr="00E906D7">
        <w:trPr>
          <w:trHeight w:val="777"/>
        </w:trPr>
        <w:tc>
          <w:tcPr>
            <w:tcW w:w="36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B847B7" w:rsidRPr="00413044" w:rsidRDefault="00B847B7" w:rsidP="00B847B7">
            <w:r w:rsidRPr="00413044">
              <w:t>Официальные источники (Правительства и международные организации)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17,6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6,5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5,4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4,4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3,2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1,8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0,4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-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-</w:t>
            </w:r>
          </w:p>
        </w:tc>
        <w:tc>
          <w:tcPr>
            <w:tcW w:w="11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39,3</w:t>
            </w:r>
          </w:p>
        </w:tc>
      </w:tr>
      <w:tr w:rsidR="00B847B7" w:rsidRPr="00413044" w:rsidTr="00E906D7">
        <w:trPr>
          <w:trHeight w:val="425"/>
        </w:trPr>
        <w:tc>
          <w:tcPr>
            <w:tcW w:w="36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B847B7" w:rsidRPr="00413044" w:rsidRDefault="00B847B7" w:rsidP="00B847B7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288,5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220,2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193,4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166,3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121,8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63,9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50,9</w:t>
            </w:r>
          </w:p>
        </w:tc>
        <w:tc>
          <w:tcPr>
            <w:tcW w:w="1117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22,4</w:t>
            </w:r>
          </w:p>
        </w:tc>
        <w:tc>
          <w:tcPr>
            <w:tcW w:w="111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-</w:t>
            </w:r>
          </w:p>
        </w:tc>
        <w:tc>
          <w:tcPr>
            <w:tcW w:w="11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vAlign w:val="center"/>
            <w:hideMark/>
          </w:tcPr>
          <w:p w:rsidR="00B847B7" w:rsidRPr="00B847B7" w:rsidRDefault="00B847B7" w:rsidP="00B847B7">
            <w:pPr>
              <w:jc w:val="center"/>
            </w:pPr>
            <w:r w:rsidRPr="00B847B7">
              <w:t>1 127,3</w:t>
            </w:r>
          </w:p>
        </w:tc>
      </w:tr>
    </w:tbl>
    <w:p w:rsidR="00E906D7" w:rsidRDefault="0028029B" w:rsidP="003D616F">
      <w:pPr>
        <w:jc w:val="right"/>
        <w:rPr>
          <w:b/>
        </w:rPr>
      </w:pPr>
      <w:r w:rsidRPr="00413044">
        <w:rPr>
          <w:b/>
        </w:rPr>
        <w:br w:type="page"/>
      </w:r>
    </w:p>
    <w:p w:rsidR="003D616F" w:rsidRPr="006B246F" w:rsidRDefault="003D616F" w:rsidP="003D616F">
      <w:pPr>
        <w:jc w:val="right"/>
        <w:rPr>
          <w:sz w:val="22"/>
          <w:szCs w:val="22"/>
        </w:rPr>
      </w:pPr>
      <w:r w:rsidRPr="006B246F">
        <w:rPr>
          <w:i/>
          <w:sz w:val="22"/>
          <w:szCs w:val="22"/>
        </w:rPr>
        <w:t>Приложение 13.7</w:t>
      </w:r>
    </w:p>
    <w:p w:rsidR="003D616F" w:rsidRPr="00413044" w:rsidRDefault="003D616F" w:rsidP="003D616F">
      <w:pPr>
        <w:jc w:val="center"/>
        <w:rPr>
          <w:b/>
        </w:rPr>
      </w:pPr>
    </w:p>
    <w:p w:rsidR="003D616F" w:rsidRPr="00413044" w:rsidRDefault="002E0F0B" w:rsidP="003D616F">
      <w:pPr>
        <w:jc w:val="center"/>
        <w:rPr>
          <w:b/>
        </w:rPr>
      </w:pPr>
      <w:r w:rsidRPr="006B246F">
        <w:rPr>
          <w:b/>
          <w:sz w:val="26"/>
          <w:szCs w:val="26"/>
        </w:rPr>
        <w:t xml:space="preserve">ИНФОРМАЦИЯ О ПОСТУПЛЕНИЯХ И ПЛАТЕЖАХ ПО ЧАСТНОМУ ВНЕШНЕМУ ДОЛГУ ЗА </w:t>
      </w:r>
      <w:r w:rsidR="000C5B38" w:rsidRPr="006B246F">
        <w:rPr>
          <w:b/>
          <w:sz w:val="26"/>
          <w:szCs w:val="26"/>
        </w:rPr>
        <w:t>2019 ГОД</w:t>
      </w:r>
      <w:r w:rsidR="003D616F" w:rsidRPr="00413044">
        <w:rPr>
          <w:b/>
        </w:rPr>
        <w:br/>
      </w:r>
      <w:r w:rsidR="003D616F" w:rsidRPr="00413044">
        <w:rPr>
          <w:i/>
        </w:rPr>
        <w:t>(тип заёмщика: все заёмщики, за исключением банков и предприятий с прямыми инвестициями)</w:t>
      </w:r>
    </w:p>
    <w:p w:rsidR="003D616F" w:rsidRPr="00413044" w:rsidRDefault="00BB46BB" w:rsidP="003D616F">
      <w:pPr>
        <w:tabs>
          <w:tab w:val="left" w:pos="14034"/>
        </w:tabs>
        <w:ind w:right="-172"/>
        <w:jc w:val="right"/>
        <w:rPr>
          <w:i/>
          <w:sz w:val="20"/>
        </w:rPr>
      </w:pPr>
      <w:r w:rsidRPr="00413044">
        <w:rPr>
          <w:i/>
          <w:sz w:val="20"/>
        </w:rPr>
        <w:t>(</w:t>
      </w:r>
      <w:r w:rsidR="003D616F" w:rsidRPr="00413044">
        <w:rPr>
          <w:i/>
          <w:sz w:val="20"/>
        </w:rPr>
        <w:t>млн. долл.</w:t>
      </w:r>
      <w:r w:rsidR="001555F8" w:rsidRPr="00413044">
        <w:rPr>
          <w:i/>
          <w:sz w:val="20"/>
        </w:rPr>
        <w:t>)</w:t>
      </w:r>
    </w:p>
    <w:tbl>
      <w:tblPr>
        <w:tblW w:w="14997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/>
      </w:tblPr>
      <w:tblGrid>
        <w:gridCol w:w="3232"/>
        <w:gridCol w:w="1729"/>
        <w:gridCol w:w="1560"/>
        <w:gridCol w:w="1559"/>
        <w:gridCol w:w="1560"/>
        <w:gridCol w:w="1813"/>
        <w:gridCol w:w="1843"/>
        <w:gridCol w:w="1701"/>
      </w:tblGrid>
      <w:tr w:rsidR="003D616F" w:rsidRPr="00E906D7" w:rsidTr="00E906D7">
        <w:trPr>
          <w:trHeight w:val="259"/>
        </w:trPr>
        <w:tc>
          <w:tcPr>
            <w:tcW w:w="3232" w:type="dxa"/>
            <w:vMerge w:val="restart"/>
            <w:shd w:val="clear" w:color="auto" w:fill="DEEAF6"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06D7">
              <w:rPr>
                <w:rFonts w:asciiTheme="minorHAnsi" w:hAnsiTheme="minorHAnsi" w:cstheme="minorHAnsi"/>
                <w:b/>
              </w:rPr>
              <w:t>Тип кредитора</w:t>
            </w:r>
          </w:p>
        </w:tc>
        <w:tc>
          <w:tcPr>
            <w:tcW w:w="1729" w:type="dxa"/>
            <w:shd w:val="clear" w:color="auto" w:fill="DEEAF6"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06D7">
              <w:rPr>
                <w:rFonts w:asciiTheme="minorHAnsi" w:hAnsiTheme="minorHAnsi" w:cstheme="minorHAnsi"/>
                <w:b/>
              </w:rPr>
              <w:t>Начало периода</w:t>
            </w:r>
          </w:p>
        </w:tc>
        <w:tc>
          <w:tcPr>
            <w:tcW w:w="8335" w:type="dxa"/>
            <w:gridSpan w:val="5"/>
            <w:shd w:val="clear" w:color="auto" w:fill="DEEAF6"/>
            <w:noWrap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06D7">
              <w:rPr>
                <w:rFonts w:asciiTheme="minorHAnsi" w:hAnsiTheme="minorHAnsi" w:cstheme="minorHAnsi"/>
                <w:b/>
              </w:rPr>
              <w:t>Движение в течение периода</w:t>
            </w:r>
          </w:p>
        </w:tc>
        <w:tc>
          <w:tcPr>
            <w:tcW w:w="1701" w:type="dxa"/>
            <w:shd w:val="clear" w:color="auto" w:fill="DEEAF6"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06D7">
              <w:rPr>
                <w:rFonts w:asciiTheme="minorHAnsi" w:hAnsiTheme="minorHAnsi" w:cstheme="minorHAnsi"/>
                <w:b/>
              </w:rPr>
              <w:t>На конец периода</w:t>
            </w:r>
          </w:p>
        </w:tc>
      </w:tr>
      <w:tr w:rsidR="003D616F" w:rsidRPr="00E906D7" w:rsidTr="00E906D7">
        <w:trPr>
          <w:trHeight w:val="520"/>
        </w:trPr>
        <w:tc>
          <w:tcPr>
            <w:tcW w:w="3232" w:type="dxa"/>
            <w:vMerge/>
            <w:shd w:val="clear" w:color="auto" w:fill="DEEAF6"/>
            <w:vAlign w:val="center"/>
            <w:hideMark/>
          </w:tcPr>
          <w:p w:rsidR="003D616F" w:rsidRPr="00E906D7" w:rsidRDefault="003D616F" w:rsidP="00C729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9" w:type="dxa"/>
            <w:shd w:val="clear" w:color="auto" w:fill="DEEAF6"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906D7">
              <w:rPr>
                <w:rFonts w:asciiTheme="minorHAnsi" w:hAnsiTheme="minorHAnsi" w:cstheme="minorHAnsi"/>
                <w:b/>
                <w:sz w:val="22"/>
              </w:rPr>
              <w:t xml:space="preserve">Фактическая задолженность </w:t>
            </w:r>
          </w:p>
        </w:tc>
        <w:tc>
          <w:tcPr>
            <w:tcW w:w="1560" w:type="dxa"/>
            <w:shd w:val="clear" w:color="auto" w:fill="DEEAF6"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906D7">
              <w:rPr>
                <w:rFonts w:asciiTheme="minorHAnsi" w:hAnsiTheme="minorHAnsi" w:cstheme="minorHAnsi"/>
                <w:b/>
                <w:sz w:val="22"/>
              </w:rPr>
              <w:t>Поступление</w:t>
            </w:r>
          </w:p>
        </w:tc>
        <w:tc>
          <w:tcPr>
            <w:tcW w:w="1559" w:type="dxa"/>
            <w:shd w:val="clear" w:color="auto" w:fill="DEEAF6"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906D7">
              <w:rPr>
                <w:rFonts w:asciiTheme="minorHAnsi" w:hAnsiTheme="minorHAnsi" w:cstheme="minorHAnsi"/>
                <w:b/>
                <w:sz w:val="22"/>
              </w:rPr>
              <w:t>Погашено по основному долгу</w:t>
            </w:r>
          </w:p>
        </w:tc>
        <w:tc>
          <w:tcPr>
            <w:tcW w:w="1560" w:type="dxa"/>
            <w:shd w:val="clear" w:color="auto" w:fill="DEEAF6"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906D7">
              <w:rPr>
                <w:rFonts w:asciiTheme="minorHAnsi" w:hAnsiTheme="minorHAnsi" w:cstheme="minorHAnsi"/>
                <w:b/>
                <w:sz w:val="22"/>
              </w:rPr>
              <w:t>Погашено по процентным платежам</w:t>
            </w:r>
          </w:p>
        </w:tc>
        <w:tc>
          <w:tcPr>
            <w:tcW w:w="1813" w:type="dxa"/>
            <w:shd w:val="clear" w:color="auto" w:fill="DEEAF6"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906D7">
              <w:rPr>
                <w:rFonts w:asciiTheme="minorHAnsi" w:hAnsiTheme="minorHAnsi" w:cstheme="minorHAnsi"/>
                <w:b/>
                <w:sz w:val="22"/>
              </w:rPr>
              <w:t>Перенесенные выплаты по основному долгу</w:t>
            </w:r>
          </w:p>
        </w:tc>
        <w:tc>
          <w:tcPr>
            <w:tcW w:w="1843" w:type="dxa"/>
            <w:shd w:val="clear" w:color="auto" w:fill="DEEAF6"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906D7">
              <w:rPr>
                <w:rFonts w:asciiTheme="minorHAnsi" w:hAnsiTheme="minorHAnsi" w:cstheme="minorHAnsi"/>
                <w:b/>
                <w:sz w:val="22"/>
              </w:rPr>
              <w:t>Перенесенные выплаты по процентам</w:t>
            </w:r>
          </w:p>
        </w:tc>
        <w:tc>
          <w:tcPr>
            <w:tcW w:w="1701" w:type="dxa"/>
            <w:shd w:val="clear" w:color="auto" w:fill="DEEAF6"/>
            <w:vAlign w:val="center"/>
            <w:hideMark/>
          </w:tcPr>
          <w:p w:rsidR="003D616F" w:rsidRPr="00E906D7" w:rsidRDefault="003D616F" w:rsidP="00E906D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906D7">
              <w:rPr>
                <w:rFonts w:asciiTheme="minorHAnsi" w:hAnsiTheme="minorHAnsi" w:cstheme="minorHAnsi"/>
                <w:b/>
                <w:sz w:val="22"/>
              </w:rPr>
              <w:t>Фактическая задолженность</w:t>
            </w:r>
          </w:p>
        </w:tc>
      </w:tr>
      <w:tr w:rsidR="003D616F" w:rsidRPr="00E906D7" w:rsidTr="00E906D7">
        <w:trPr>
          <w:trHeight w:val="259"/>
        </w:trPr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616F" w:rsidRPr="00E906D7" w:rsidRDefault="003D616F" w:rsidP="00C729F1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8</w:t>
            </w:r>
          </w:p>
        </w:tc>
      </w:tr>
      <w:tr w:rsidR="00A81046" w:rsidRPr="00E906D7" w:rsidTr="00E906D7">
        <w:trPr>
          <w:trHeight w:val="781"/>
        </w:trPr>
        <w:tc>
          <w:tcPr>
            <w:tcW w:w="3232" w:type="dxa"/>
            <w:shd w:val="clear" w:color="auto" w:fill="auto"/>
            <w:vAlign w:val="center"/>
            <w:hideMark/>
          </w:tcPr>
          <w:p w:rsidR="00A81046" w:rsidRPr="00E906D7" w:rsidRDefault="00A81046" w:rsidP="00A81046">
            <w:pPr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Иностранные банки и другие финансовые институты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295,6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68,1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14,2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252,5</w:t>
            </w:r>
          </w:p>
        </w:tc>
      </w:tr>
      <w:tr w:rsidR="00A81046" w:rsidRPr="00E906D7" w:rsidTr="00E906D7">
        <w:trPr>
          <w:trHeight w:val="520"/>
        </w:trPr>
        <w:tc>
          <w:tcPr>
            <w:tcW w:w="3232" w:type="dxa"/>
            <w:shd w:val="clear" w:color="auto" w:fill="auto"/>
            <w:vAlign w:val="center"/>
            <w:hideMark/>
          </w:tcPr>
          <w:p w:rsidR="00A81046" w:rsidRPr="00E906D7" w:rsidRDefault="00A81046" w:rsidP="00A81046">
            <w:pPr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Зарубежные материнские компании и филиалы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-</w:t>
            </w:r>
          </w:p>
        </w:tc>
      </w:tr>
      <w:tr w:rsidR="00A81046" w:rsidRPr="00E906D7" w:rsidTr="00E906D7">
        <w:trPr>
          <w:trHeight w:val="520"/>
        </w:trPr>
        <w:tc>
          <w:tcPr>
            <w:tcW w:w="3232" w:type="dxa"/>
            <w:shd w:val="clear" w:color="auto" w:fill="auto"/>
            <w:vAlign w:val="center"/>
            <w:hideMark/>
          </w:tcPr>
          <w:p w:rsidR="00A81046" w:rsidRPr="00E906D7" w:rsidRDefault="00A81046" w:rsidP="00A81046">
            <w:pPr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Экспортеры и другие частные источники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261,3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213,9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177,4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5,0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292,0</w:t>
            </w:r>
          </w:p>
        </w:tc>
      </w:tr>
      <w:tr w:rsidR="00A81046" w:rsidRPr="00E906D7" w:rsidTr="00E906D7">
        <w:trPr>
          <w:trHeight w:val="887"/>
        </w:trPr>
        <w:tc>
          <w:tcPr>
            <w:tcW w:w="3232" w:type="dxa"/>
            <w:shd w:val="clear" w:color="auto" w:fill="auto"/>
            <w:vAlign w:val="center"/>
            <w:hideMark/>
          </w:tcPr>
          <w:p w:rsidR="00A81046" w:rsidRPr="00E906D7" w:rsidRDefault="00A81046" w:rsidP="00A81046">
            <w:pPr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Официальные источники (Правительства и международные организации)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15,7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1,1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0,1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17,7</w:t>
            </w:r>
          </w:p>
        </w:tc>
      </w:tr>
      <w:tr w:rsidR="00A81046" w:rsidRPr="00E906D7" w:rsidTr="00E906D7">
        <w:trPr>
          <w:trHeight w:val="434"/>
        </w:trPr>
        <w:tc>
          <w:tcPr>
            <w:tcW w:w="3232" w:type="dxa"/>
            <w:shd w:val="clear" w:color="auto" w:fill="DEEAF6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06D7">
              <w:rPr>
                <w:rFonts w:asciiTheme="minorHAnsi" w:hAnsiTheme="minorHAnsi" w:cstheme="minorHAnsi"/>
                <w:b/>
              </w:rPr>
              <w:t>ИТОГО</w:t>
            </w:r>
          </w:p>
        </w:tc>
        <w:tc>
          <w:tcPr>
            <w:tcW w:w="1729" w:type="dxa"/>
            <w:shd w:val="clear" w:color="auto" w:fill="DEEAF6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572,6</w:t>
            </w:r>
          </w:p>
        </w:tc>
        <w:tc>
          <w:tcPr>
            <w:tcW w:w="1560" w:type="dxa"/>
            <w:shd w:val="clear" w:color="auto" w:fill="DEEAF6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242,1</w:t>
            </w:r>
          </w:p>
        </w:tc>
        <w:tc>
          <w:tcPr>
            <w:tcW w:w="1559" w:type="dxa"/>
            <w:shd w:val="clear" w:color="auto" w:fill="DEEAF6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246,6</w:t>
            </w:r>
          </w:p>
        </w:tc>
        <w:tc>
          <w:tcPr>
            <w:tcW w:w="1560" w:type="dxa"/>
            <w:shd w:val="clear" w:color="auto" w:fill="DEEAF6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19,3</w:t>
            </w:r>
          </w:p>
        </w:tc>
        <w:tc>
          <w:tcPr>
            <w:tcW w:w="1813" w:type="dxa"/>
            <w:shd w:val="clear" w:color="auto" w:fill="DEEAF6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3" w:type="dxa"/>
            <w:shd w:val="clear" w:color="auto" w:fill="DEEAF6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shd w:val="clear" w:color="auto" w:fill="DEEAF6"/>
            <w:noWrap/>
            <w:vAlign w:val="center"/>
            <w:hideMark/>
          </w:tcPr>
          <w:p w:rsidR="00A81046" w:rsidRPr="00E906D7" w:rsidRDefault="00A81046" w:rsidP="00A81046">
            <w:pPr>
              <w:jc w:val="center"/>
              <w:rPr>
                <w:rFonts w:asciiTheme="minorHAnsi" w:hAnsiTheme="minorHAnsi" w:cstheme="minorHAnsi"/>
              </w:rPr>
            </w:pPr>
            <w:r w:rsidRPr="00E906D7">
              <w:rPr>
                <w:rFonts w:asciiTheme="minorHAnsi" w:hAnsiTheme="minorHAnsi" w:cstheme="minorHAnsi"/>
              </w:rPr>
              <w:t>562,3</w:t>
            </w:r>
          </w:p>
        </w:tc>
      </w:tr>
    </w:tbl>
    <w:p w:rsidR="003D616F" w:rsidRPr="00413044" w:rsidRDefault="003D616F" w:rsidP="003D616F">
      <w:pPr>
        <w:tabs>
          <w:tab w:val="left" w:pos="6255"/>
        </w:tabs>
        <w:ind w:right="-456"/>
        <w:rPr>
          <w:i/>
        </w:rPr>
      </w:pPr>
    </w:p>
    <w:p w:rsidR="0028029B" w:rsidRPr="00413044" w:rsidRDefault="0028029B" w:rsidP="003D616F">
      <w:pPr>
        <w:rPr>
          <w:b/>
        </w:rPr>
      </w:pPr>
    </w:p>
    <w:p w:rsidR="003D616F" w:rsidRPr="006B246F" w:rsidRDefault="003D616F" w:rsidP="00BB46BB">
      <w:pPr>
        <w:jc w:val="right"/>
        <w:rPr>
          <w:i/>
          <w:sz w:val="22"/>
          <w:szCs w:val="22"/>
        </w:rPr>
      </w:pPr>
      <w:r w:rsidRPr="00413044">
        <w:rPr>
          <w:b/>
        </w:rPr>
        <w:br w:type="page"/>
      </w:r>
      <w:r w:rsidRPr="006B246F">
        <w:rPr>
          <w:i/>
          <w:sz w:val="22"/>
          <w:szCs w:val="22"/>
        </w:rPr>
        <w:t>Приложение 13.8</w:t>
      </w:r>
    </w:p>
    <w:p w:rsidR="003D616F" w:rsidRPr="00413044" w:rsidRDefault="003D616F" w:rsidP="00BB0B49">
      <w:pPr>
        <w:jc w:val="right"/>
      </w:pPr>
    </w:p>
    <w:p w:rsidR="003D616F" w:rsidRPr="00413044" w:rsidRDefault="002E0F0B" w:rsidP="00BB0B49">
      <w:pPr>
        <w:jc w:val="center"/>
        <w:rPr>
          <w:b/>
        </w:rPr>
      </w:pPr>
      <w:r w:rsidRPr="00413044">
        <w:rPr>
          <w:b/>
          <w:sz w:val="26"/>
          <w:szCs w:val="26"/>
        </w:rPr>
        <w:t>ПРОГНОЗ БУДУЩИХ ПЛАТЕЖЕЙ ПО ОСНОВНОМУ ДОЛГУ И ПРОЦЕНТАМ</w:t>
      </w:r>
      <w:r w:rsidR="003D616F" w:rsidRPr="00413044">
        <w:rPr>
          <w:b/>
        </w:rPr>
        <w:br/>
      </w:r>
      <w:r w:rsidR="003D616F" w:rsidRPr="00413044">
        <w:rPr>
          <w:i/>
        </w:rPr>
        <w:t>(тип заёмщика: все заёмщики, за исключением банков и предприятий с прямыми инвестициями)</w:t>
      </w:r>
    </w:p>
    <w:tbl>
      <w:tblPr>
        <w:tblW w:w="14883" w:type="dxa"/>
        <w:tblLayout w:type="fixed"/>
        <w:tblLook w:val="04A0"/>
      </w:tblPr>
      <w:tblGrid>
        <w:gridCol w:w="3544"/>
        <w:gridCol w:w="976"/>
        <w:gridCol w:w="154"/>
        <w:gridCol w:w="823"/>
        <w:gridCol w:w="308"/>
        <w:gridCol w:w="668"/>
        <w:gridCol w:w="462"/>
        <w:gridCol w:w="515"/>
        <w:gridCol w:w="616"/>
        <w:gridCol w:w="360"/>
        <w:gridCol w:w="771"/>
        <w:gridCol w:w="206"/>
        <w:gridCol w:w="924"/>
        <w:gridCol w:w="52"/>
        <w:gridCol w:w="977"/>
        <w:gridCol w:w="102"/>
        <w:gridCol w:w="875"/>
        <w:gridCol w:w="255"/>
        <w:gridCol w:w="1162"/>
        <w:gridCol w:w="1133"/>
      </w:tblGrid>
      <w:tr w:rsidR="00BB46BB" w:rsidRPr="00413044" w:rsidTr="00E906D7">
        <w:trPr>
          <w:trHeight w:val="156"/>
        </w:trPr>
        <w:tc>
          <w:tcPr>
            <w:tcW w:w="3544" w:type="dxa"/>
            <w:tcBorders>
              <w:bottom w:val="single" w:sz="4" w:space="0" w:color="5B9BD5" w:themeColor="accent1"/>
            </w:tcBorders>
            <w:vAlign w:val="center"/>
            <w:hideMark/>
          </w:tcPr>
          <w:p w:rsidR="00BB46BB" w:rsidRPr="00413044" w:rsidRDefault="00BB46BB" w:rsidP="00BB46BB">
            <w:r w:rsidRPr="00413044">
              <w:rPr>
                <w:b/>
              </w:rPr>
              <w:t>Основной долг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/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/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/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/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/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/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/>
        </w:tc>
        <w:tc>
          <w:tcPr>
            <w:tcW w:w="977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/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/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right"/>
              <w:rPr>
                <w:sz w:val="20"/>
                <w:szCs w:val="20"/>
              </w:rPr>
            </w:pPr>
            <w:r w:rsidRPr="00413044">
              <w:rPr>
                <w:i/>
                <w:sz w:val="20"/>
                <w:szCs w:val="20"/>
              </w:rPr>
              <w:t>(млн. долл.)</w:t>
            </w:r>
          </w:p>
        </w:tc>
      </w:tr>
      <w:tr w:rsidR="00A4353E" w:rsidRPr="00413044" w:rsidTr="00E906D7">
        <w:trPr>
          <w:trHeight w:val="342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Тип кредитора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2020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2021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2022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2023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2024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2025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2026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</w:t>
            </w:r>
            <w:r>
              <w:rPr>
                <w:b/>
              </w:rPr>
              <w:t>7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после 202</w:t>
            </w:r>
            <w:r>
              <w:rPr>
                <w:b/>
              </w:rPr>
              <w:t>7</w:t>
            </w:r>
          </w:p>
        </w:tc>
        <w:tc>
          <w:tcPr>
            <w:tcW w:w="11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</w:tr>
      <w:tr w:rsidR="00A81046" w:rsidRPr="00413044" w:rsidTr="00E906D7">
        <w:trPr>
          <w:trHeight w:val="142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A81046" w:rsidRPr="00413044" w:rsidRDefault="00A81046" w:rsidP="00A81046">
            <w:r w:rsidRPr="00413044">
              <w:t>Иностранные банки и другие финансовые институты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64,6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36,4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38,4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38,9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22,0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16,3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17,2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18,7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252,5</w:t>
            </w:r>
          </w:p>
        </w:tc>
      </w:tr>
      <w:tr w:rsidR="00A81046" w:rsidRPr="00413044" w:rsidTr="00E906D7">
        <w:trPr>
          <w:trHeight w:val="510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A81046" w:rsidRPr="00413044" w:rsidRDefault="00A81046" w:rsidP="00A81046">
            <w:r w:rsidRPr="00413044">
              <w:t>Зарубежные материнские компании и филиалы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</w:tr>
      <w:tr w:rsidR="00A81046" w:rsidRPr="00413044" w:rsidTr="00E906D7">
        <w:trPr>
          <w:trHeight w:val="323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A81046" w:rsidRPr="00413044" w:rsidRDefault="00A81046" w:rsidP="00A81046">
            <w:r w:rsidRPr="00413044">
              <w:t>Экспортеры и другие частные источники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172,2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42,9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37,2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36,4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2,5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0,2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0,2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0,2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292,0</w:t>
            </w:r>
          </w:p>
        </w:tc>
      </w:tr>
      <w:tr w:rsidR="00A81046" w:rsidRPr="00413044" w:rsidTr="00E906D7">
        <w:trPr>
          <w:trHeight w:val="556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A81046" w:rsidRPr="00413044" w:rsidRDefault="00A81046" w:rsidP="00A81046">
            <w:r w:rsidRPr="00413044">
              <w:t>Официальные источники (Правительства и международные организации)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9,6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2,0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2,0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2,0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2,0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17,7</w:t>
            </w:r>
          </w:p>
        </w:tc>
      </w:tr>
      <w:tr w:rsidR="00A81046" w:rsidRPr="00413044" w:rsidTr="00E906D7">
        <w:trPr>
          <w:trHeight w:val="425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81046" w:rsidRPr="00413044" w:rsidRDefault="00A81046" w:rsidP="00A81046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246,5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81,4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77,6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77,3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26,5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16,6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17,4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18,9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562,3</w:t>
            </w:r>
          </w:p>
        </w:tc>
      </w:tr>
      <w:tr w:rsidR="00BB46BB" w:rsidRPr="00413044" w:rsidTr="00E906D7">
        <w:trPr>
          <w:trHeight w:val="80"/>
        </w:trPr>
        <w:tc>
          <w:tcPr>
            <w:tcW w:w="3544" w:type="dxa"/>
            <w:vMerge w:val="restart"/>
            <w:tcBorders>
              <w:top w:val="single" w:sz="4" w:space="0" w:color="5B9BD5" w:themeColor="accent1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46BB" w:rsidRPr="00413044" w:rsidRDefault="00BB46BB" w:rsidP="00BB46BB">
            <w:pPr>
              <w:rPr>
                <w:b/>
              </w:rPr>
            </w:pPr>
            <w:r w:rsidRPr="00413044">
              <w:rPr>
                <w:b/>
              </w:rPr>
              <w:t>Проценты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6BB" w:rsidRPr="00413044" w:rsidRDefault="00BB46BB" w:rsidP="00671993">
            <w:pPr>
              <w:jc w:val="center"/>
            </w:pP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6BB" w:rsidRPr="00413044" w:rsidRDefault="00BB46BB" w:rsidP="00671993">
            <w:pPr>
              <w:jc w:val="center"/>
            </w:pP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6BB" w:rsidRPr="00413044" w:rsidRDefault="00BB46BB" w:rsidP="00671993">
            <w:pPr>
              <w:jc w:val="center"/>
            </w:pP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6BB" w:rsidRPr="00413044" w:rsidRDefault="00BB46BB" w:rsidP="00671993">
            <w:pPr>
              <w:jc w:val="center"/>
            </w:pP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6BB" w:rsidRPr="00413044" w:rsidRDefault="00BB46BB" w:rsidP="00671993">
            <w:pPr>
              <w:jc w:val="center"/>
            </w:pP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6BB" w:rsidRPr="00413044" w:rsidRDefault="00BB46BB" w:rsidP="00671993">
            <w:pPr>
              <w:jc w:val="center"/>
            </w:pP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6BB" w:rsidRPr="00413044" w:rsidRDefault="00BB46BB" w:rsidP="00671993">
            <w:pPr>
              <w:jc w:val="center"/>
            </w:pP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6BB" w:rsidRPr="00413044" w:rsidRDefault="00BB46BB" w:rsidP="00671993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6BB" w:rsidRPr="00413044" w:rsidRDefault="00BB46BB" w:rsidP="00671993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6BB" w:rsidRPr="00413044" w:rsidRDefault="00BB46BB" w:rsidP="00671993">
            <w:pPr>
              <w:jc w:val="center"/>
            </w:pPr>
          </w:p>
        </w:tc>
      </w:tr>
      <w:tr w:rsidR="00BB46BB" w:rsidRPr="00413044" w:rsidTr="00E906D7">
        <w:trPr>
          <w:trHeight w:val="72"/>
        </w:trPr>
        <w:tc>
          <w:tcPr>
            <w:tcW w:w="3544" w:type="dxa"/>
            <w:vMerge/>
            <w:tcBorders>
              <w:bottom w:val="single" w:sz="4" w:space="0" w:color="5B9BD5" w:themeColor="accent1"/>
            </w:tcBorders>
            <w:vAlign w:val="center"/>
            <w:hideMark/>
          </w:tcPr>
          <w:p w:rsidR="00BB46BB" w:rsidRPr="00413044" w:rsidRDefault="00BB46BB" w:rsidP="00BB46BB"/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center"/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noWrap/>
            <w:vAlign w:val="bottom"/>
            <w:hideMark/>
          </w:tcPr>
          <w:p w:rsidR="00BB46BB" w:rsidRPr="00413044" w:rsidRDefault="00BB46BB" w:rsidP="00BB46BB">
            <w:pPr>
              <w:jc w:val="right"/>
              <w:rPr>
                <w:sz w:val="20"/>
                <w:szCs w:val="20"/>
              </w:rPr>
            </w:pPr>
            <w:r w:rsidRPr="00413044">
              <w:rPr>
                <w:i/>
                <w:sz w:val="20"/>
                <w:szCs w:val="20"/>
              </w:rPr>
              <w:t>(млн. долл.)</w:t>
            </w:r>
          </w:p>
        </w:tc>
      </w:tr>
      <w:tr w:rsidR="00A4353E" w:rsidRPr="00413044" w:rsidTr="00E906D7">
        <w:trPr>
          <w:trHeight w:val="387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Тип кредитора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2020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2021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2022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2023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2024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2025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2026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202</w:t>
            </w:r>
            <w:r>
              <w:rPr>
                <w:b/>
              </w:rPr>
              <w:t>7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после 202</w:t>
            </w:r>
            <w:r>
              <w:rPr>
                <w:b/>
              </w:rPr>
              <w:t>7</w:t>
            </w:r>
          </w:p>
        </w:tc>
        <w:tc>
          <w:tcPr>
            <w:tcW w:w="11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vAlign w:val="center"/>
            <w:hideMark/>
          </w:tcPr>
          <w:p w:rsidR="00A4353E" w:rsidRPr="00413044" w:rsidRDefault="00A4353E" w:rsidP="00A4353E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</w:tr>
      <w:tr w:rsidR="00A81046" w:rsidRPr="00413044" w:rsidTr="00E906D7">
        <w:trPr>
          <w:trHeight w:val="493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A81046" w:rsidRPr="00413044" w:rsidRDefault="00A81046" w:rsidP="00A81046">
            <w:r w:rsidRPr="00413044">
              <w:t>Иностранные банки и другие финансовые институты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7,5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5,2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4,5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3,8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2,9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2,5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1,4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0,6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28,3</w:t>
            </w:r>
          </w:p>
        </w:tc>
      </w:tr>
      <w:tr w:rsidR="00A81046" w:rsidRPr="00413044" w:rsidTr="00E906D7">
        <w:trPr>
          <w:trHeight w:val="510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A81046" w:rsidRPr="00413044" w:rsidRDefault="00A81046" w:rsidP="00A81046">
            <w:r w:rsidRPr="00413044">
              <w:t>Зарубежные материнские компании и филиалы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</w:tr>
      <w:tr w:rsidR="00A81046" w:rsidRPr="00413044" w:rsidTr="00E906D7">
        <w:trPr>
          <w:trHeight w:val="510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A81046" w:rsidRPr="00413044" w:rsidRDefault="00A81046" w:rsidP="00A81046">
            <w:r w:rsidRPr="00413044">
              <w:t>Экспортеры и другие частные источники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3,5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1,8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1,7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1,6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8,6</w:t>
            </w:r>
          </w:p>
        </w:tc>
      </w:tr>
      <w:tr w:rsidR="00A81046" w:rsidRPr="00413044" w:rsidTr="00E906D7">
        <w:trPr>
          <w:trHeight w:val="85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A81046" w:rsidRPr="00413044" w:rsidRDefault="00A81046" w:rsidP="00A81046">
            <w:r w:rsidRPr="00413044">
              <w:t>Официальные источники (Правительства и международные организации)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4,5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0,5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0,4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0,2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0,1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5,8</w:t>
            </w:r>
          </w:p>
        </w:tc>
      </w:tr>
      <w:tr w:rsidR="00A81046" w:rsidRPr="001E0A02" w:rsidTr="00E906D7">
        <w:trPr>
          <w:trHeight w:val="425"/>
        </w:trPr>
        <w:tc>
          <w:tcPr>
            <w:tcW w:w="35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81046" w:rsidRPr="00413044" w:rsidRDefault="00A81046" w:rsidP="00A81046">
            <w:pPr>
              <w:jc w:val="center"/>
              <w:rPr>
                <w:b/>
              </w:rPr>
            </w:pPr>
            <w:r w:rsidRPr="00413044">
              <w:rPr>
                <w:b/>
              </w:rPr>
              <w:t>ИТОГО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15,5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7,5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6,5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5,6</w:t>
            </w:r>
          </w:p>
        </w:tc>
        <w:tc>
          <w:tcPr>
            <w:tcW w:w="113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3,0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2,5</w:t>
            </w:r>
          </w:p>
        </w:tc>
        <w:tc>
          <w:tcPr>
            <w:tcW w:w="113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1,4</w:t>
            </w:r>
          </w:p>
        </w:tc>
        <w:tc>
          <w:tcPr>
            <w:tcW w:w="113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0,6</w:t>
            </w:r>
          </w:p>
        </w:tc>
        <w:tc>
          <w:tcPr>
            <w:tcW w:w="11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noWrap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-</w:t>
            </w:r>
          </w:p>
        </w:tc>
        <w:tc>
          <w:tcPr>
            <w:tcW w:w="11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/>
            <w:vAlign w:val="center"/>
            <w:hideMark/>
          </w:tcPr>
          <w:p w:rsidR="00A81046" w:rsidRPr="00A81046" w:rsidRDefault="00A81046" w:rsidP="00A81046">
            <w:pPr>
              <w:jc w:val="center"/>
            </w:pPr>
            <w:r w:rsidRPr="00A81046">
              <w:t>42,7</w:t>
            </w:r>
          </w:p>
        </w:tc>
      </w:tr>
    </w:tbl>
    <w:p w:rsidR="00BB328E" w:rsidRPr="00BB46BB" w:rsidRDefault="00BB328E" w:rsidP="00BB0B49">
      <w:pPr>
        <w:rPr>
          <w:rFonts w:cs="Arial"/>
          <w:sz w:val="2"/>
          <w:szCs w:val="2"/>
        </w:rPr>
      </w:pPr>
    </w:p>
    <w:sectPr w:rsidR="00BB328E" w:rsidRPr="00BB46BB" w:rsidSect="002E0F0B">
      <w:footerReference w:type="first" r:id="rId51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818" w:rsidRDefault="00605818" w:rsidP="000031B1">
      <w:r>
        <w:separator/>
      </w:r>
    </w:p>
  </w:endnote>
  <w:endnote w:type="continuationSeparator" w:id="1">
    <w:p w:rsidR="00605818" w:rsidRDefault="00605818" w:rsidP="00003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E8" w:rsidRPr="00211205" w:rsidRDefault="00B26DD1" w:rsidP="00DC6A47">
    <w:pPr>
      <w:pStyle w:val="ac"/>
      <w:spacing w:before="120"/>
      <w:rPr>
        <w:rFonts w:cs="Calibri"/>
        <w:sz w:val="22"/>
        <w:szCs w:val="22"/>
        <w:lang w:val="en-US"/>
      </w:rPr>
    </w:pPr>
    <w:r>
      <w:rPr>
        <w:rFonts w:cs="Calibri"/>
        <w:noProof/>
        <w:sz w:val="22"/>
        <w:szCs w:val="22"/>
      </w:rPr>
      <w:pict>
        <v:group id="_x0000_s16390" style="position:absolute;margin-left:60.75pt;margin-top:783.75pt;width:464.5pt;height:31.9pt;z-index:251656192;mso-wrap-distance-left:0;mso-wrap-distance-right:0;mso-position-horizontal-relative:page;mso-position-vertical-relative:page;mso-width-relative:margin;mso-height-relative:margin" coordsize="59626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">
          <v:rect id="Прямоугольник 38" o:spid="_x0000_s16392" style="position:absolute;left:190;width:59436;height:1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" fillcolor="#00b0f0" strokecolor="#8eaadb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39" o:spid="_x0000_s16391" type="#_x0000_t202" style="position:absolute;top:343;width:59434;height:1290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" filled="f" strokecolor="white" strokeweight=".5pt">
            <v:textbox inset=",,,0">
              <w:txbxContent>
                <w:p w:rsidR="00B36DE8" w:rsidRPr="00F13DBF" w:rsidRDefault="00B36DE8" w:rsidP="00086BAA">
                  <w:pPr>
                    <w:spacing w:before="100" w:beforeAutospacing="1"/>
                    <w:rPr>
                      <w:rFonts w:cs="Calibri"/>
                      <w:color w:val="808080"/>
                      <w:sz w:val="18"/>
                      <w:szCs w:val="18"/>
                    </w:rPr>
                  </w:pPr>
                  <w:r w:rsidRPr="00F13DBF">
                    <w:rPr>
                      <w:rFonts w:cs="Calibri"/>
                      <w:i/>
                      <w:sz w:val="18"/>
                      <w:szCs w:val="18"/>
                    </w:rPr>
                    <w:t>ПЛАТЁЖНЫЙ БАЛАНС, МЕЖДУНАРОДНАЯ ИНВЕСТИЦИОННАЯ ПОЗИЦИЯ И ВНЕШНИЙ ДОЛГ РЕСПУБЛИКИ УЗБЕКИСТАН ЗА 2019 ГОД</w:t>
                  </w:r>
                </w:p>
              </w:txbxContent>
            </v:textbox>
          </v:shape>
          <w10:wrap type="square" anchorx="page" anchory="page"/>
        </v:group>
      </w:pict>
    </w:r>
    <w:r>
      <w:rPr>
        <w:rFonts w:cs="Calibri"/>
        <w:noProof/>
        <w:sz w:val="22"/>
        <w:szCs w:val="22"/>
      </w:rPr>
      <w:pict>
        <v:rect id="_x0000_s16389" style="position:absolute;margin-left:528.5pt;margin-top:783.9pt;width:26.75pt;height:31.9pt;z-index:251655168;visibility:visible;mso-wrap-distance-left:0;mso-wrap-distance-right:0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" fillcolor="#00b0f0" stroked="f" strokeweight="3pt">
          <v:textbox>
            <w:txbxContent>
              <w:p w:rsidR="00B36DE8" w:rsidRPr="00633FE0" w:rsidRDefault="00B26DD1" w:rsidP="000E1507">
                <w:pPr>
                  <w:jc w:val="center"/>
                  <w:rPr>
                    <w:rFonts w:cs="Calibri"/>
                    <w:color w:val="FFFFFF"/>
                    <w:sz w:val="22"/>
                    <w:szCs w:val="22"/>
                  </w:rPr>
                </w:pPr>
                <w:r w:rsidRPr="00633FE0">
                  <w:rPr>
                    <w:rFonts w:cs="Calibri"/>
                    <w:color w:val="FFFFFF"/>
                    <w:sz w:val="22"/>
                    <w:szCs w:val="22"/>
                  </w:rPr>
                  <w:fldChar w:fldCharType="begin"/>
                </w:r>
                <w:r w:rsidR="00B36DE8" w:rsidRPr="00633FE0">
                  <w:rPr>
                    <w:rFonts w:cs="Calibri"/>
                    <w:color w:val="FFFFFF"/>
                    <w:sz w:val="22"/>
                    <w:szCs w:val="22"/>
                  </w:rPr>
                  <w:instrText>PAGE   \* MERGEFORMAT</w:instrText>
                </w:r>
                <w:r w:rsidRPr="00633FE0">
                  <w:rPr>
                    <w:rFonts w:cs="Calibri"/>
                    <w:color w:val="FFFFFF"/>
                    <w:sz w:val="22"/>
                    <w:szCs w:val="22"/>
                  </w:rPr>
                  <w:fldChar w:fldCharType="separate"/>
                </w:r>
                <w:r w:rsidR="00525C6A">
                  <w:rPr>
                    <w:rFonts w:cs="Calibri"/>
                    <w:noProof/>
                    <w:color w:val="FFFFFF"/>
                    <w:sz w:val="22"/>
                    <w:szCs w:val="22"/>
                  </w:rPr>
                  <w:t>44</w:t>
                </w:r>
                <w:r w:rsidRPr="00633FE0">
                  <w:rPr>
                    <w:rFonts w:cs="Calibri"/>
                    <w:color w:val="FFFFFF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E8" w:rsidRDefault="00B26DD1">
    <w:pPr>
      <w:pStyle w:val="ac"/>
      <w:jc w:val="right"/>
    </w:pPr>
    <w:r>
      <w:fldChar w:fldCharType="begin"/>
    </w:r>
    <w:r w:rsidR="00B36DE8">
      <w:instrText>PAGE   \* MERGEFORMAT</w:instrText>
    </w:r>
    <w:r>
      <w:fldChar w:fldCharType="separate"/>
    </w:r>
    <w:r w:rsidR="00372F12">
      <w:rPr>
        <w:noProof/>
      </w:rPr>
      <w:t>83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E8" w:rsidRPr="00034B8C" w:rsidRDefault="00B36DE8" w:rsidP="00034B8C">
    <w:pPr>
      <w:pStyle w:val="ac"/>
      <w:jc w:val="right"/>
    </w:pPr>
    <w:r>
      <w:t>62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E8" w:rsidRPr="00AC403E" w:rsidRDefault="00B26DD1" w:rsidP="00AC403E">
    <w:pPr>
      <w:pStyle w:val="ac"/>
      <w:spacing w:before="120"/>
    </w:pPr>
    <w:r w:rsidRPr="00B26DD1">
      <w:rPr>
        <w:rFonts w:cs="Calibri"/>
        <w:noProof/>
        <w:sz w:val="22"/>
        <w:szCs w:val="22"/>
      </w:rPr>
      <w:pict>
        <v:group id="_x0000_s16386" style="position:absolute;margin-left:61pt;margin-top:783.9pt;width:466pt;height:36.6pt;z-index:251658240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">
          <v:rect id="Прямоугольник 38" o:spid="_x0000_s16388" style="position:absolute;left:190;width:59436;height:1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" fillcolor="#00b0f0" strokecolor="#8eaadb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39" o:spid="_x0000_s16387" type="#_x0000_t202" style="position:absolute;top:666;width:59436;height:2572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" filled="f" strokecolor="white" strokeweight=".5pt">
            <v:textbox inset=",,,0">
              <w:txbxContent>
                <w:p w:rsidR="00B36DE8" w:rsidRPr="00F13DBF" w:rsidRDefault="00B36DE8" w:rsidP="001746A5">
                  <w:pPr>
                    <w:spacing w:before="100" w:beforeAutospacing="1"/>
                    <w:rPr>
                      <w:rFonts w:cs="Calibri"/>
                      <w:color w:val="808080"/>
                      <w:sz w:val="18"/>
                      <w:szCs w:val="18"/>
                    </w:rPr>
                  </w:pPr>
                  <w:r w:rsidRPr="00F13DBF">
                    <w:rPr>
                      <w:rFonts w:cs="Calibri"/>
                      <w:i/>
                      <w:sz w:val="18"/>
                      <w:szCs w:val="18"/>
                    </w:rPr>
                    <w:t>ПЛАТЁЖНЫЙ БАЛАНС, МЕЖДУНАРОДНАЯ ИНВЕСТИЦИОННАЯ ПОЗИЦИЯ И ВНЕШНИЙ ДОЛГ РЕСПУБЛИКИ УЗБЕКИСТАН ЗА 2019 ГОД</w:t>
                  </w:r>
                </w:p>
                <w:p w:rsidR="00B36DE8" w:rsidRPr="00F13DBF" w:rsidRDefault="00B36DE8" w:rsidP="00AC403E">
                  <w:pPr>
                    <w:spacing w:before="100" w:beforeAutospacing="1"/>
                    <w:rPr>
                      <w:rFonts w:cs="Calibri"/>
                      <w:color w:val="808080"/>
                      <w:sz w:val="18"/>
                      <w:szCs w:val="18"/>
                    </w:rPr>
                  </w:pPr>
                </w:p>
              </w:txbxContent>
            </v:textbox>
          </v:shape>
          <w10:wrap type="square" anchorx="page" anchory="page"/>
        </v:group>
      </w:pict>
    </w:r>
    <w:r w:rsidRPr="00B26DD1">
      <w:rPr>
        <w:rFonts w:cs="Calibri"/>
        <w:noProof/>
        <w:sz w:val="22"/>
        <w:szCs w:val="22"/>
      </w:rPr>
      <w:pict>
        <v:rect id="_x0000_s16385" style="position:absolute;margin-left:528.5pt;margin-top:783.9pt;width:26.75pt;height:31.9pt;z-index:251657216;visibility:visible;mso-wrap-distance-left:0;mso-wrap-distance-right:0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" fillcolor="#00b0f0" stroked="f" strokeweight="3pt">
          <v:textbox>
            <w:txbxContent>
              <w:p w:rsidR="00B36DE8" w:rsidRPr="00C24CE9" w:rsidRDefault="00B36DE8" w:rsidP="00AC403E">
                <w:pPr>
                  <w:jc w:val="center"/>
                  <w:rPr>
                    <w:rFonts w:ascii="Times New Roman" w:hAnsi="Times New Roman"/>
                    <w:color w:val="FFFFFF"/>
                    <w:sz w:val="10"/>
                    <w:szCs w:val="10"/>
                  </w:rPr>
                </w:pPr>
              </w:p>
              <w:p w:rsidR="00B36DE8" w:rsidRPr="00633FE0" w:rsidRDefault="00B26DD1" w:rsidP="00AC403E">
                <w:pPr>
                  <w:jc w:val="center"/>
                  <w:rPr>
                    <w:rFonts w:cs="Calibri"/>
                    <w:color w:val="FFFFFF"/>
                    <w:sz w:val="22"/>
                    <w:szCs w:val="22"/>
                  </w:rPr>
                </w:pPr>
                <w:r w:rsidRPr="00633FE0">
                  <w:rPr>
                    <w:rFonts w:cs="Calibri"/>
                    <w:color w:val="FFFFFF"/>
                    <w:sz w:val="22"/>
                    <w:szCs w:val="22"/>
                  </w:rPr>
                  <w:fldChar w:fldCharType="begin"/>
                </w:r>
                <w:r w:rsidR="00B36DE8" w:rsidRPr="00633FE0">
                  <w:rPr>
                    <w:rFonts w:cs="Calibri"/>
                    <w:color w:val="FFFFFF"/>
                    <w:sz w:val="22"/>
                    <w:szCs w:val="22"/>
                  </w:rPr>
                  <w:instrText>PAGE   \* MERGEFORMAT</w:instrText>
                </w:r>
                <w:r w:rsidRPr="00633FE0">
                  <w:rPr>
                    <w:rFonts w:cs="Calibri"/>
                    <w:color w:val="FFFFFF"/>
                    <w:sz w:val="22"/>
                    <w:szCs w:val="22"/>
                  </w:rPr>
                  <w:fldChar w:fldCharType="separate"/>
                </w:r>
                <w:r w:rsidR="00525C6A">
                  <w:rPr>
                    <w:rFonts w:cs="Calibri"/>
                    <w:noProof/>
                    <w:color w:val="FFFFFF"/>
                    <w:sz w:val="22"/>
                    <w:szCs w:val="22"/>
                  </w:rPr>
                  <w:t>2</w:t>
                </w:r>
                <w:r w:rsidRPr="00633FE0">
                  <w:rPr>
                    <w:rFonts w:cs="Calibri"/>
                    <w:color w:val="FFFFFF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E8" w:rsidRDefault="00B26DD1">
    <w:pPr>
      <w:pStyle w:val="ac"/>
      <w:jc w:val="right"/>
    </w:pPr>
    <w:r>
      <w:fldChar w:fldCharType="begin"/>
    </w:r>
    <w:r w:rsidR="00B36DE8">
      <w:instrText>PAGE   \* MERGEFORMAT</w:instrText>
    </w:r>
    <w:r>
      <w:fldChar w:fldCharType="separate"/>
    </w:r>
    <w:r w:rsidR="00525C6A">
      <w:rPr>
        <w:noProof/>
      </w:rPr>
      <w:t>70</w:t>
    </w:r>
    <w:r>
      <w:fldChar w:fldCharType="end"/>
    </w:r>
  </w:p>
  <w:p w:rsidR="00B36DE8" w:rsidRPr="00211205" w:rsidRDefault="00B36DE8" w:rsidP="00211205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216560"/>
      <w:docPartObj>
        <w:docPartGallery w:val="Page Numbers (Bottom of Page)"/>
        <w:docPartUnique/>
      </w:docPartObj>
    </w:sdtPr>
    <w:sdtContent>
      <w:p w:rsidR="00B36DE8" w:rsidRDefault="00B26DD1">
        <w:pPr>
          <w:pStyle w:val="ac"/>
          <w:jc w:val="right"/>
        </w:pPr>
        <w:r>
          <w:fldChar w:fldCharType="begin"/>
        </w:r>
        <w:r w:rsidR="00B36DE8">
          <w:instrText>PAGE   \* MERGEFORMAT</w:instrText>
        </w:r>
        <w:r>
          <w:fldChar w:fldCharType="separate"/>
        </w:r>
        <w:r w:rsidR="00525C6A">
          <w:rPr>
            <w:noProof/>
          </w:rPr>
          <w:t>45</w:t>
        </w:r>
        <w:r>
          <w:fldChar w:fldCharType="end"/>
        </w:r>
      </w:p>
    </w:sdtContent>
  </w:sdt>
  <w:p w:rsidR="00B36DE8" w:rsidRPr="00AC403E" w:rsidRDefault="00B36DE8" w:rsidP="00F62B80">
    <w:pPr>
      <w:pStyle w:val="ac"/>
      <w:spacing w:before="120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697038"/>
      <w:docPartObj>
        <w:docPartGallery w:val="Page Numbers (Bottom of Page)"/>
        <w:docPartUnique/>
      </w:docPartObj>
    </w:sdtPr>
    <w:sdtContent>
      <w:p w:rsidR="00B36DE8" w:rsidRDefault="00B26DD1">
        <w:pPr>
          <w:pStyle w:val="ac"/>
          <w:jc w:val="right"/>
        </w:pPr>
        <w:r>
          <w:fldChar w:fldCharType="begin"/>
        </w:r>
        <w:r w:rsidR="00B36DE8">
          <w:instrText>PAGE   \* MERGEFORMAT</w:instrText>
        </w:r>
        <w:r>
          <w:fldChar w:fldCharType="separate"/>
        </w:r>
        <w:r w:rsidR="00525C6A">
          <w:rPr>
            <w:noProof/>
          </w:rPr>
          <w:t>79</w:t>
        </w:r>
        <w:r>
          <w:fldChar w:fldCharType="end"/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959518"/>
      <w:docPartObj>
        <w:docPartGallery w:val="Page Numbers (Bottom of Page)"/>
        <w:docPartUnique/>
      </w:docPartObj>
    </w:sdtPr>
    <w:sdtContent>
      <w:p w:rsidR="00B36DE8" w:rsidRDefault="00B26DD1">
        <w:pPr>
          <w:pStyle w:val="ac"/>
          <w:jc w:val="right"/>
        </w:pPr>
        <w:r>
          <w:fldChar w:fldCharType="begin"/>
        </w:r>
        <w:r w:rsidR="00B36DE8">
          <w:instrText>PAGE   \* MERGEFORMAT</w:instrText>
        </w:r>
        <w:r>
          <w:fldChar w:fldCharType="separate"/>
        </w:r>
        <w:r w:rsidR="00525C6A">
          <w:rPr>
            <w:noProof/>
          </w:rPr>
          <w:t>75</w:t>
        </w:r>
        <w:r>
          <w:fldChar w:fldCharType="end"/>
        </w:r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181483"/>
      <w:docPartObj>
        <w:docPartGallery w:val="Page Numbers (Bottom of Page)"/>
        <w:docPartUnique/>
      </w:docPartObj>
    </w:sdtPr>
    <w:sdtContent>
      <w:p w:rsidR="00B36DE8" w:rsidRDefault="00B26DD1">
        <w:pPr>
          <w:pStyle w:val="ac"/>
          <w:jc w:val="right"/>
        </w:pPr>
        <w:r>
          <w:fldChar w:fldCharType="begin"/>
        </w:r>
        <w:r w:rsidR="00B36DE8">
          <w:instrText>PAGE   \* MERGEFORMAT</w:instrText>
        </w:r>
        <w:r>
          <w:fldChar w:fldCharType="separate"/>
        </w:r>
        <w:r w:rsidR="00525C6A">
          <w:rPr>
            <w:noProof/>
          </w:rPr>
          <w:t>77</w:t>
        </w:r>
        <w:r>
          <w:fldChar w:fldCharType="end"/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4555166"/>
      <w:docPartObj>
        <w:docPartGallery w:val="Page Numbers (Bottom of Page)"/>
        <w:docPartUnique/>
      </w:docPartObj>
    </w:sdtPr>
    <w:sdtContent>
      <w:p w:rsidR="00B36DE8" w:rsidRDefault="00B26DD1">
        <w:pPr>
          <w:pStyle w:val="ac"/>
          <w:jc w:val="right"/>
        </w:pPr>
        <w:r>
          <w:fldChar w:fldCharType="begin"/>
        </w:r>
        <w:r w:rsidR="00B36DE8">
          <w:instrText>PAGE   \* MERGEFORMAT</w:instrText>
        </w:r>
        <w:r>
          <w:fldChar w:fldCharType="separate"/>
        </w:r>
        <w:r w:rsidR="00525C6A">
          <w:rPr>
            <w:noProof/>
          </w:rPr>
          <w:t>78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818" w:rsidRDefault="00605818" w:rsidP="000031B1">
      <w:r>
        <w:separator/>
      </w:r>
    </w:p>
  </w:footnote>
  <w:footnote w:type="continuationSeparator" w:id="1">
    <w:p w:rsidR="00605818" w:rsidRDefault="00605818" w:rsidP="000031B1">
      <w:r>
        <w:continuationSeparator/>
      </w:r>
    </w:p>
  </w:footnote>
  <w:footnote w:id="2">
    <w:p w:rsidR="00B36DE8" w:rsidRPr="006D00DD" w:rsidRDefault="00B36DE8">
      <w:pPr>
        <w:pStyle w:val="a7"/>
        <w:rPr>
          <w:lang w:val="ru-RU"/>
        </w:rPr>
      </w:pPr>
      <w:r w:rsidRPr="006D00DD">
        <w:rPr>
          <w:rStyle w:val="a9"/>
        </w:rPr>
        <w:footnoteRef/>
      </w:r>
      <w:r w:rsidRPr="006D00DD">
        <w:t xml:space="preserve"> </w:t>
      </w:r>
      <w:r w:rsidRPr="006D00DD">
        <w:rPr>
          <w:lang w:val="ru-RU"/>
        </w:rPr>
        <w:t>Займы, полученные от материнских компаний отражены в составе прямых иностранных инвестиций</w:t>
      </w:r>
    </w:p>
  </w:footnote>
  <w:footnote w:id="3">
    <w:p w:rsidR="00B36DE8" w:rsidRPr="006D00DD" w:rsidRDefault="00B36DE8" w:rsidP="00937BB8">
      <w:pPr>
        <w:pStyle w:val="a7"/>
        <w:jc w:val="both"/>
        <w:rPr>
          <w:rFonts w:cs="Calibri"/>
          <w:lang w:val="ru-RU"/>
        </w:rPr>
      </w:pPr>
      <w:r w:rsidRPr="006D00DD">
        <w:rPr>
          <w:rStyle w:val="a9"/>
          <w:rFonts w:cs="Calibri"/>
        </w:rPr>
        <w:footnoteRef/>
      </w:r>
      <w:r w:rsidRPr="006D00DD">
        <w:rPr>
          <w:rFonts w:cs="Calibri"/>
        </w:rPr>
        <w:t xml:space="preserve"> </w:t>
      </w:r>
      <w:r w:rsidRPr="006D00DD">
        <w:rPr>
          <w:rFonts w:cs="Calibri"/>
          <w:lang w:val="ru-RU"/>
        </w:rPr>
        <w:t>Реальные обменные курсы сума к валютам основных торговых партнёров рассчитаны с учётом изменения уровня цен в странах-основных торговых партнёрах и представляют собой изменение в индексе относительно базового периода. Рост индекса означает укрепление сума к валютам основных торговых партнёров. При этом уровень роста индекса чувствителен к выбору базового периода.</w:t>
      </w:r>
    </w:p>
  </w:footnote>
  <w:footnote w:id="4">
    <w:p w:rsidR="00B36DE8" w:rsidRPr="006D00DD" w:rsidRDefault="00B36DE8" w:rsidP="00434770">
      <w:pPr>
        <w:pStyle w:val="a7"/>
        <w:jc w:val="both"/>
        <w:rPr>
          <w:lang w:val="ru-RU"/>
        </w:rPr>
      </w:pPr>
      <w:r w:rsidRPr="006D00DD">
        <w:rPr>
          <w:rStyle w:val="a9"/>
        </w:rPr>
        <w:footnoteRef/>
      </w:r>
      <w:r w:rsidRPr="006D00DD">
        <w:t xml:space="preserve"> </w:t>
      </w:r>
      <w:r w:rsidRPr="006D00DD">
        <w:rPr>
          <w:lang w:val="uz-Cyrl-UZ"/>
        </w:rPr>
        <w:t>С учетом челночной торговли, рассчитанной на основе опроса на пограничных постах, и продукции, приобретенной в аэропортах со стороны иностранных самолётов</w:t>
      </w:r>
    </w:p>
  </w:footnote>
  <w:footnote w:id="5">
    <w:p w:rsidR="00B36DE8" w:rsidRPr="006D00DD" w:rsidRDefault="00B36DE8">
      <w:pPr>
        <w:pStyle w:val="a7"/>
        <w:rPr>
          <w:lang w:val="ru-RU"/>
        </w:rPr>
      </w:pPr>
      <w:r w:rsidRPr="006D00DD">
        <w:rPr>
          <w:rStyle w:val="a9"/>
        </w:rPr>
        <w:footnoteRef/>
      </w:r>
      <w:r w:rsidRPr="006D00DD">
        <w:t xml:space="preserve"> </w:t>
      </w:r>
      <w:r w:rsidRPr="006D00DD">
        <w:rPr>
          <w:lang w:val="ru-RU"/>
        </w:rPr>
        <w:t>В экспорте в «Другие страны» учитывается экспорт золота в Великобританию, осуществлённый в 2019</w:t>
      </w:r>
      <w:r>
        <w:rPr>
          <w:lang w:val="ru-RU"/>
        </w:rPr>
        <w:t xml:space="preserve"> </w:t>
      </w:r>
      <w:r w:rsidRPr="006D00DD">
        <w:rPr>
          <w:lang w:val="ru-RU"/>
        </w:rPr>
        <w:t>г.</w:t>
      </w:r>
    </w:p>
  </w:footnote>
  <w:footnote w:id="6">
    <w:p w:rsidR="00B36DE8" w:rsidRPr="006D00DD" w:rsidRDefault="00B36DE8" w:rsidP="00567C61">
      <w:pPr>
        <w:pStyle w:val="a7"/>
        <w:rPr>
          <w:sz w:val="19"/>
          <w:szCs w:val="19"/>
        </w:rPr>
      </w:pPr>
      <w:r w:rsidRPr="006D00DD">
        <w:rPr>
          <w:rStyle w:val="a9"/>
          <w:sz w:val="19"/>
          <w:szCs w:val="19"/>
        </w:rPr>
        <w:footnoteRef/>
      </w:r>
      <w:r w:rsidRPr="006D00DD">
        <w:rPr>
          <w:sz w:val="19"/>
          <w:szCs w:val="19"/>
        </w:rPr>
        <w:t xml:space="preserve"> Данные по прямым иностранным инвестициям составлены на основании опроса, проводимого Госкомстат</w:t>
      </w:r>
      <w:r w:rsidRPr="006D00DD">
        <w:rPr>
          <w:sz w:val="19"/>
          <w:szCs w:val="19"/>
          <w:lang w:val="ru-RU"/>
        </w:rPr>
        <w:t>ом РУз</w:t>
      </w:r>
      <w:r w:rsidRPr="006D00DD">
        <w:rPr>
          <w:sz w:val="19"/>
          <w:szCs w:val="19"/>
        </w:rPr>
        <w:t>.</w:t>
      </w:r>
    </w:p>
  </w:footnote>
  <w:footnote w:id="7">
    <w:p w:rsidR="00B36DE8" w:rsidRPr="00555BE0" w:rsidRDefault="00B36DE8" w:rsidP="003B33BD">
      <w:pPr>
        <w:pStyle w:val="a7"/>
        <w:rPr>
          <w:sz w:val="18"/>
          <w:szCs w:val="18"/>
        </w:rPr>
      </w:pPr>
      <w:r w:rsidRPr="006D00DD">
        <w:rPr>
          <w:rStyle w:val="a9"/>
          <w:sz w:val="19"/>
          <w:szCs w:val="19"/>
        </w:rPr>
        <w:footnoteRef/>
      </w:r>
      <w:r w:rsidRPr="006D00DD">
        <w:rPr>
          <w:sz w:val="19"/>
          <w:szCs w:val="19"/>
        </w:rPr>
        <w:t xml:space="preserve"> Данные по прямым иностранным инвестициям скомпилированы в соответствии с РПБ6. МВФ, 2009 г.</w:t>
      </w:r>
    </w:p>
  </w:footnote>
  <w:footnote w:id="8">
    <w:p w:rsidR="00B36DE8" w:rsidRPr="00F13DBF" w:rsidRDefault="00B36DE8" w:rsidP="00392FB8">
      <w:pPr>
        <w:pStyle w:val="a7"/>
        <w:jc w:val="both"/>
        <w:rPr>
          <w:rFonts w:cs="Calibri"/>
        </w:rPr>
      </w:pPr>
      <w:r w:rsidRPr="00F13DBF">
        <w:rPr>
          <w:rStyle w:val="a9"/>
          <w:rFonts w:cs="Calibri"/>
        </w:rPr>
        <w:footnoteRef/>
      </w:r>
      <w:r>
        <w:rPr>
          <w:rFonts w:cs="Calibri"/>
        </w:rPr>
        <w:t> Не</w:t>
      </w:r>
      <w:r w:rsidRPr="00F13DBF">
        <w:rPr>
          <w:rFonts w:cs="Calibri"/>
        </w:rPr>
        <w:t xml:space="preserve">операционные изменения состоят из курсовых, ценовых и прочих изменений, которые не включаются </w:t>
      </w:r>
      <w:r>
        <w:rPr>
          <w:rFonts w:cs="Calibri"/>
        </w:rPr>
        <w:br/>
      </w:r>
      <w:r w:rsidRPr="00F13DBF">
        <w:rPr>
          <w:rFonts w:cs="Calibri"/>
        </w:rPr>
        <w:t>в финансовый счёт в качестве операций.</w:t>
      </w:r>
    </w:p>
  </w:footnote>
  <w:footnote w:id="9">
    <w:p w:rsidR="00B36DE8" w:rsidRPr="00F13DBF" w:rsidRDefault="00B36DE8" w:rsidP="001D0D7B">
      <w:pPr>
        <w:pStyle w:val="a7"/>
        <w:jc w:val="both"/>
        <w:rPr>
          <w:rFonts w:cs="Calibri"/>
        </w:rPr>
      </w:pPr>
      <w:r w:rsidRPr="00F13DBF">
        <w:rPr>
          <w:rStyle w:val="a9"/>
          <w:rFonts w:cs="Calibri"/>
        </w:rPr>
        <w:footnoteRef/>
      </w:r>
      <w:r w:rsidRPr="00F13DBF">
        <w:rPr>
          <w:rFonts w:cs="Calibri"/>
        </w:rPr>
        <w:t> Сектор государственного управления включает министерства и ведомства государственного управления, а также Центральный банк. Банковский сектор включает все коммерческие банки.</w:t>
      </w:r>
    </w:p>
  </w:footnote>
  <w:footnote w:id="10">
    <w:p w:rsidR="00B36DE8" w:rsidRPr="00A733D4" w:rsidRDefault="00B36DE8" w:rsidP="00FD5677">
      <w:pPr>
        <w:pStyle w:val="a7"/>
        <w:jc w:val="both"/>
        <w:rPr>
          <w:rFonts w:ascii="Times New Roman" w:hAnsi="Times New Roman"/>
        </w:rPr>
      </w:pPr>
      <w:r w:rsidRPr="00F13DBF">
        <w:rPr>
          <w:rStyle w:val="a9"/>
          <w:rFonts w:cs="Calibri"/>
        </w:rPr>
        <w:footnoteRef/>
      </w:r>
      <w:r w:rsidRPr="00F13DBF">
        <w:rPr>
          <w:rFonts w:cs="Calibri"/>
          <w:lang w:val="en-US"/>
        </w:rPr>
        <w:t> </w:t>
      </w:r>
      <w:r w:rsidRPr="00F13DBF">
        <w:rPr>
          <w:rFonts w:cs="Calibri"/>
        </w:rPr>
        <w:t>Чистый кредитор – активы рассматриваемого сектора превышают обязательства; Чистый заёмщик – обязательства рассматриваемого сектора превышают активы.</w:t>
      </w:r>
    </w:p>
  </w:footnote>
  <w:footnote w:id="11">
    <w:p w:rsidR="00B36DE8" w:rsidRPr="00F13DBF" w:rsidRDefault="00B36DE8" w:rsidP="00FC23A4">
      <w:pPr>
        <w:pStyle w:val="a7"/>
        <w:jc w:val="both"/>
        <w:rPr>
          <w:rFonts w:cs="Calibri"/>
        </w:rPr>
      </w:pPr>
      <w:r w:rsidRPr="00F13DBF">
        <w:rPr>
          <w:rStyle w:val="a9"/>
          <w:rFonts w:cs="Calibri"/>
        </w:rPr>
        <w:footnoteRef/>
      </w:r>
      <w:r w:rsidRPr="00F13DBF">
        <w:rPr>
          <w:rFonts w:cs="Calibri"/>
        </w:rPr>
        <w:t xml:space="preserve"> Поступления от иностранных инвесторов в рамках СРП оцениваются как приток иностранных инвестиций </w:t>
      </w:r>
      <w:r w:rsidRPr="00F13DBF">
        <w:rPr>
          <w:rFonts w:cs="Calibri"/>
        </w:rPr>
        <w:br/>
        <w:t xml:space="preserve">и отражаются в качестве прямых инвестиций. Вышеуказанные средства поступили на целевой счёт оператора СРП, открытого за границей в рамках проекта. </w:t>
      </w:r>
    </w:p>
  </w:footnote>
  <w:footnote w:id="12">
    <w:p w:rsidR="00B36DE8" w:rsidRPr="006B5D9D" w:rsidRDefault="00B36DE8" w:rsidP="002C7A36">
      <w:pPr>
        <w:pStyle w:val="a7"/>
        <w:jc w:val="both"/>
        <w:rPr>
          <w:rFonts w:ascii="Times New Roman" w:hAnsi="Times New Roman"/>
        </w:rPr>
      </w:pPr>
      <w:r w:rsidRPr="00F13DBF">
        <w:rPr>
          <w:rStyle w:val="a9"/>
          <w:rFonts w:cs="Calibri"/>
        </w:rPr>
        <w:footnoteRef/>
      </w:r>
      <w:r w:rsidRPr="00F13DBF">
        <w:rPr>
          <w:rFonts w:cs="Calibri"/>
        </w:rPr>
        <w:t> Данные были пересмотрены в связи с получением обновлённой информации от Госкомстат</w:t>
      </w:r>
      <w:r>
        <w:rPr>
          <w:rFonts w:cs="Calibri"/>
          <w:lang w:val="uz-Cyrl-UZ"/>
        </w:rPr>
        <w:t>а</w:t>
      </w:r>
      <w:r w:rsidRPr="00F13DBF">
        <w:rPr>
          <w:rFonts w:cs="Calibri"/>
        </w:rPr>
        <w:t xml:space="preserve"> и операторов СРП.</w:t>
      </w:r>
    </w:p>
  </w:footnote>
  <w:footnote w:id="13">
    <w:p w:rsidR="00B36DE8" w:rsidRPr="001E0A02" w:rsidRDefault="00B36DE8" w:rsidP="000F636F">
      <w:pPr>
        <w:pStyle w:val="a7"/>
        <w:jc w:val="both"/>
      </w:pPr>
      <w:r w:rsidRPr="001E0A02">
        <w:rPr>
          <w:rStyle w:val="a9"/>
        </w:rPr>
        <w:footnoteRef/>
      </w:r>
      <w:r w:rsidRPr="001E0A02">
        <w:rPr>
          <w:lang w:val="en-US"/>
        </w:rPr>
        <w:t> </w:t>
      </w:r>
      <w:r>
        <w:rPr>
          <w:lang w:val="ru-RU"/>
        </w:rPr>
        <w:t>В</w:t>
      </w:r>
      <w:r w:rsidRPr="001E0A02">
        <w:t xml:space="preserve"> начале 2018 года методология расчёта внешнего долга была пересмотрена и</w:t>
      </w:r>
      <w:r w:rsidRPr="001E0A02">
        <w:rPr>
          <w:lang w:val="ru-RU"/>
        </w:rPr>
        <w:t>,</w:t>
      </w:r>
      <w:r w:rsidRPr="001E0A02">
        <w:t xml:space="preserve"> начиная с 2018 года</w:t>
      </w:r>
      <w:r w:rsidRPr="001E0A02">
        <w:rPr>
          <w:lang w:val="ru-RU"/>
        </w:rPr>
        <w:t>,</w:t>
      </w:r>
      <w:r w:rsidRPr="001E0A02">
        <w:t xml:space="preserve"> при расчёте остатка задолженности по внешним заимствованиям также учитываются начисленные, но невыплаченные проценты.</w:t>
      </w:r>
    </w:p>
  </w:footnote>
  <w:footnote w:id="14">
    <w:p w:rsidR="00B36DE8" w:rsidRPr="00F13DBF" w:rsidRDefault="00B36DE8" w:rsidP="006733FA">
      <w:pPr>
        <w:pStyle w:val="a7"/>
        <w:jc w:val="both"/>
        <w:rPr>
          <w:rFonts w:cs="Calibri"/>
        </w:rPr>
      </w:pPr>
      <w:r w:rsidRPr="00F13DBF">
        <w:rPr>
          <w:rStyle w:val="a9"/>
          <w:rFonts w:cs="Calibri"/>
        </w:rPr>
        <w:footnoteRef/>
      </w:r>
      <w:r w:rsidRPr="00F13DBF">
        <w:rPr>
          <w:rFonts w:cs="Calibri"/>
          <w:lang w:val="ru-RU"/>
        </w:rPr>
        <w:t> </w:t>
      </w:r>
      <w:r w:rsidRPr="00F13DBF">
        <w:rPr>
          <w:rFonts w:cs="Calibri"/>
        </w:rPr>
        <w:t>Совокупный внешний долг включает долг, предоставленный материнскими компаниями.</w:t>
      </w:r>
    </w:p>
  </w:footnote>
  <w:footnote w:id="15">
    <w:p w:rsidR="00B36DE8" w:rsidRPr="001E0A02" w:rsidRDefault="00B36DE8" w:rsidP="00733304">
      <w:pPr>
        <w:pStyle w:val="a7"/>
        <w:jc w:val="both"/>
        <w:rPr>
          <w:rFonts w:cs="Arial"/>
        </w:rPr>
      </w:pPr>
      <w:r w:rsidRPr="00F13DBF">
        <w:rPr>
          <w:rStyle w:val="a9"/>
          <w:rFonts w:cs="Calibri"/>
        </w:rPr>
        <w:footnoteRef/>
      </w:r>
      <w:r w:rsidRPr="00F13DBF">
        <w:rPr>
          <w:rFonts w:cs="Calibri"/>
          <w:lang w:val="ru-RU"/>
        </w:rPr>
        <w:t> </w:t>
      </w:r>
      <w:r w:rsidRPr="00F13DBF">
        <w:rPr>
          <w:rFonts w:cs="Calibri"/>
        </w:rPr>
        <w:t xml:space="preserve">Государственный внешний долг состоит из долга, привлечённого государством, и долга, полученного </w:t>
      </w:r>
      <w:r>
        <w:rPr>
          <w:rFonts w:cs="Calibri"/>
        </w:rPr>
        <w:br/>
      </w:r>
      <w:r w:rsidRPr="00F13DBF">
        <w:rPr>
          <w:rFonts w:cs="Calibri"/>
        </w:rPr>
        <w:t>под гарантию государства. Частный внешний долг состоит из внешних заимствований хозяйствующих субъектов, включающих государственные предприятия, не гарантированных государством.</w:t>
      </w:r>
    </w:p>
  </w:footnote>
  <w:footnote w:id="16">
    <w:p w:rsidR="00B36DE8" w:rsidRPr="00BA24C0" w:rsidRDefault="00B36DE8" w:rsidP="001760FA">
      <w:pPr>
        <w:pStyle w:val="a7"/>
        <w:rPr>
          <w:lang w:val="ru-RU"/>
        </w:rPr>
      </w:pPr>
      <w:r w:rsidRPr="001E0A02">
        <w:rPr>
          <w:rStyle w:val="a9"/>
        </w:rPr>
        <w:footnoteRef/>
      </w:r>
      <w:r w:rsidRPr="001E0A02">
        <w:t xml:space="preserve"> Разбивка произведена</w:t>
      </w:r>
      <w:r w:rsidRPr="001E0A02">
        <w:rPr>
          <w:lang w:val="ru-RU"/>
        </w:rPr>
        <w:t>,</w:t>
      </w:r>
      <w:r w:rsidRPr="001E0A02">
        <w:t xml:space="preserve"> исходя из первоначального срока погашения заимствований</w:t>
      </w:r>
      <w:r>
        <w:rPr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E8" w:rsidRPr="00F13DBF" w:rsidRDefault="00B36DE8" w:rsidP="009569CC">
    <w:pPr>
      <w:pStyle w:val="aa"/>
      <w:pBdr>
        <w:bottom w:val="single" w:sz="4" w:space="1" w:color="auto"/>
      </w:pBdr>
      <w:jc w:val="right"/>
      <w:rPr>
        <w:rFonts w:cs="Calibri"/>
        <w:i/>
      </w:rPr>
    </w:pPr>
    <w:r w:rsidRPr="00F13DBF">
      <w:rPr>
        <w:rFonts w:cs="Calibri"/>
        <w:i/>
      </w:rPr>
      <w:t>ЦЕНТРАЛЬНЫЙ БАНК РЕСПУБЛИКИ УЗБЕКИСТАН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E8" w:rsidRPr="00F13126" w:rsidRDefault="00B36DE8" w:rsidP="00F13126">
    <w:pPr>
      <w:pStyle w:val="aa"/>
      <w:pBdr>
        <w:bottom w:val="single" w:sz="4" w:space="1" w:color="auto"/>
      </w:pBdr>
      <w:jc w:val="right"/>
      <w:rPr>
        <w:i/>
      </w:rPr>
    </w:pPr>
    <w:r w:rsidRPr="00F13126">
      <w:rPr>
        <w:i/>
      </w:rPr>
      <w:t>ЦЕНТРАЛЬНЫЙ БАНК РЕСПУБЛИКИ УЗБЕКИСТАН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D26D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36C1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A035B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6293C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C2A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52005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0AE79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8E2C7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126C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0064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4653AF"/>
    <w:multiLevelType w:val="hybridMultilevel"/>
    <w:tmpl w:val="1DA8018C"/>
    <w:lvl w:ilvl="0" w:tplc="91726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611043"/>
    <w:multiLevelType w:val="hybridMultilevel"/>
    <w:tmpl w:val="96CED4BA"/>
    <w:lvl w:ilvl="0" w:tplc="7C809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7410" style="mso-width-percent:900;v-text-anchor:bottom" fill="f" fillcolor="white" strokecolor="white">
      <v:fill color="white" on="f"/>
      <v:stroke color="white" weight=".5pt"/>
      <v:textbox inset=",,,0"/>
    </o:shapedefaults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01545F"/>
    <w:rsid w:val="00000311"/>
    <w:rsid w:val="00000988"/>
    <w:rsid w:val="00000FD5"/>
    <w:rsid w:val="0000120B"/>
    <w:rsid w:val="00001505"/>
    <w:rsid w:val="00001722"/>
    <w:rsid w:val="00001F2E"/>
    <w:rsid w:val="00002344"/>
    <w:rsid w:val="00002ACB"/>
    <w:rsid w:val="000031B1"/>
    <w:rsid w:val="00004AF2"/>
    <w:rsid w:val="000053FA"/>
    <w:rsid w:val="00005957"/>
    <w:rsid w:val="00006005"/>
    <w:rsid w:val="00006668"/>
    <w:rsid w:val="00006A29"/>
    <w:rsid w:val="00007945"/>
    <w:rsid w:val="00007D35"/>
    <w:rsid w:val="00007F85"/>
    <w:rsid w:val="000107AE"/>
    <w:rsid w:val="00010C81"/>
    <w:rsid w:val="00011530"/>
    <w:rsid w:val="000117FC"/>
    <w:rsid w:val="00011983"/>
    <w:rsid w:val="00011AB8"/>
    <w:rsid w:val="000126C1"/>
    <w:rsid w:val="00012954"/>
    <w:rsid w:val="00012B28"/>
    <w:rsid w:val="00012CCB"/>
    <w:rsid w:val="000132F5"/>
    <w:rsid w:val="0001498B"/>
    <w:rsid w:val="00014D66"/>
    <w:rsid w:val="00014DEA"/>
    <w:rsid w:val="0001545F"/>
    <w:rsid w:val="00015587"/>
    <w:rsid w:val="00015AD9"/>
    <w:rsid w:val="0001634A"/>
    <w:rsid w:val="0001653E"/>
    <w:rsid w:val="0001670F"/>
    <w:rsid w:val="000169C0"/>
    <w:rsid w:val="00016BB0"/>
    <w:rsid w:val="00016EC6"/>
    <w:rsid w:val="00021003"/>
    <w:rsid w:val="000212C6"/>
    <w:rsid w:val="00021972"/>
    <w:rsid w:val="00021EA2"/>
    <w:rsid w:val="0002252F"/>
    <w:rsid w:val="000236CD"/>
    <w:rsid w:val="00023EEB"/>
    <w:rsid w:val="00024076"/>
    <w:rsid w:val="000240F9"/>
    <w:rsid w:val="00024AEC"/>
    <w:rsid w:val="00024F47"/>
    <w:rsid w:val="0002577E"/>
    <w:rsid w:val="00025A79"/>
    <w:rsid w:val="00025B37"/>
    <w:rsid w:val="00026795"/>
    <w:rsid w:val="000270FE"/>
    <w:rsid w:val="0002745D"/>
    <w:rsid w:val="0002749F"/>
    <w:rsid w:val="000275A5"/>
    <w:rsid w:val="000275BF"/>
    <w:rsid w:val="000275C0"/>
    <w:rsid w:val="00027FCD"/>
    <w:rsid w:val="0003054E"/>
    <w:rsid w:val="00031029"/>
    <w:rsid w:val="000320B2"/>
    <w:rsid w:val="0003313B"/>
    <w:rsid w:val="00033280"/>
    <w:rsid w:val="000334EA"/>
    <w:rsid w:val="00033820"/>
    <w:rsid w:val="00033F8D"/>
    <w:rsid w:val="000342F9"/>
    <w:rsid w:val="00034655"/>
    <w:rsid w:val="00034B8C"/>
    <w:rsid w:val="00035F8D"/>
    <w:rsid w:val="000364F0"/>
    <w:rsid w:val="000371F8"/>
    <w:rsid w:val="00037233"/>
    <w:rsid w:val="0003744F"/>
    <w:rsid w:val="0003773E"/>
    <w:rsid w:val="0003793A"/>
    <w:rsid w:val="00037A4B"/>
    <w:rsid w:val="00040E97"/>
    <w:rsid w:val="000412DD"/>
    <w:rsid w:val="00041BA6"/>
    <w:rsid w:val="00041C33"/>
    <w:rsid w:val="00041CD4"/>
    <w:rsid w:val="00043C48"/>
    <w:rsid w:val="00044653"/>
    <w:rsid w:val="00044E1F"/>
    <w:rsid w:val="00045033"/>
    <w:rsid w:val="00045166"/>
    <w:rsid w:val="0004547E"/>
    <w:rsid w:val="00045606"/>
    <w:rsid w:val="00045679"/>
    <w:rsid w:val="000461DD"/>
    <w:rsid w:val="0004652E"/>
    <w:rsid w:val="00046F5A"/>
    <w:rsid w:val="000472D3"/>
    <w:rsid w:val="00047753"/>
    <w:rsid w:val="00047DC8"/>
    <w:rsid w:val="00047FF2"/>
    <w:rsid w:val="00050D60"/>
    <w:rsid w:val="000520E4"/>
    <w:rsid w:val="00053455"/>
    <w:rsid w:val="000538AE"/>
    <w:rsid w:val="00053B44"/>
    <w:rsid w:val="0005454A"/>
    <w:rsid w:val="000546AB"/>
    <w:rsid w:val="00054E4E"/>
    <w:rsid w:val="00055961"/>
    <w:rsid w:val="00055BA6"/>
    <w:rsid w:val="00055F5C"/>
    <w:rsid w:val="000563A5"/>
    <w:rsid w:val="0005643A"/>
    <w:rsid w:val="00056A6C"/>
    <w:rsid w:val="000570CD"/>
    <w:rsid w:val="000572A6"/>
    <w:rsid w:val="00057452"/>
    <w:rsid w:val="00057573"/>
    <w:rsid w:val="00057ECD"/>
    <w:rsid w:val="00057F2A"/>
    <w:rsid w:val="00057FA6"/>
    <w:rsid w:val="00060241"/>
    <w:rsid w:val="0006069C"/>
    <w:rsid w:val="000606A3"/>
    <w:rsid w:val="000607BE"/>
    <w:rsid w:val="00060CEC"/>
    <w:rsid w:val="00061DDA"/>
    <w:rsid w:val="00061F34"/>
    <w:rsid w:val="000622F6"/>
    <w:rsid w:val="00062F9E"/>
    <w:rsid w:val="000639A7"/>
    <w:rsid w:val="00063D96"/>
    <w:rsid w:val="00063E26"/>
    <w:rsid w:val="000640ED"/>
    <w:rsid w:val="000669BC"/>
    <w:rsid w:val="00067435"/>
    <w:rsid w:val="00067638"/>
    <w:rsid w:val="00067C77"/>
    <w:rsid w:val="000701F2"/>
    <w:rsid w:val="00070644"/>
    <w:rsid w:val="0007086D"/>
    <w:rsid w:val="00070A81"/>
    <w:rsid w:val="000714E4"/>
    <w:rsid w:val="00071FB0"/>
    <w:rsid w:val="000728F1"/>
    <w:rsid w:val="00072E72"/>
    <w:rsid w:val="00073890"/>
    <w:rsid w:val="00073AA5"/>
    <w:rsid w:val="00074F94"/>
    <w:rsid w:val="0007544F"/>
    <w:rsid w:val="00075FD2"/>
    <w:rsid w:val="00076373"/>
    <w:rsid w:val="00076F70"/>
    <w:rsid w:val="00077603"/>
    <w:rsid w:val="000777CC"/>
    <w:rsid w:val="00077867"/>
    <w:rsid w:val="00077DFC"/>
    <w:rsid w:val="00077F13"/>
    <w:rsid w:val="000801D6"/>
    <w:rsid w:val="00080A0C"/>
    <w:rsid w:val="00080C63"/>
    <w:rsid w:val="000810C5"/>
    <w:rsid w:val="0008110B"/>
    <w:rsid w:val="00081B33"/>
    <w:rsid w:val="0008296D"/>
    <w:rsid w:val="00082A9E"/>
    <w:rsid w:val="00082C75"/>
    <w:rsid w:val="00082D3D"/>
    <w:rsid w:val="00083339"/>
    <w:rsid w:val="0008370B"/>
    <w:rsid w:val="00083E2A"/>
    <w:rsid w:val="00083EF9"/>
    <w:rsid w:val="0008419F"/>
    <w:rsid w:val="000842AD"/>
    <w:rsid w:val="00084390"/>
    <w:rsid w:val="00084A80"/>
    <w:rsid w:val="00085094"/>
    <w:rsid w:val="000852E8"/>
    <w:rsid w:val="00085844"/>
    <w:rsid w:val="00085D97"/>
    <w:rsid w:val="00086098"/>
    <w:rsid w:val="000860D7"/>
    <w:rsid w:val="0008615D"/>
    <w:rsid w:val="0008672F"/>
    <w:rsid w:val="00086BAA"/>
    <w:rsid w:val="00086D6D"/>
    <w:rsid w:val="00087A9C"/>
    <w:rsid w:val="00087F07"/>
    <w:rsid w:val="00090BD2"/>
    <w:rsid w:val="00090F03"/>
    <w:rsid w:val="00091136"/>
    <w:rsid w:val="0009138C"/>
    <w:rsid w:val="0009150A"/>
    <w:rsid w:val="0009175A"/>
    <w:rsid w:val="0009200C"/>
    <w:rsid w:val="00092584"/>
    <w:rsid w:val="00092981"/>
    <w:rsid w:val="00093B53"/>
    <w:rsid w:val="00094451"/>
    <w:rsid w:val="000954D9"/>
    <w:rsid w:val="000956A7"/>
    <w:rsid w:val="00095CDD"/>
    <w:rsid w:val="00095DEB"/>
    <w:rsid w:val="000969F8"/>
    <w:rsid w:val="00096B40"/>
    <w:rsid w:val="00096D25"/>
    <w:rsid w:val="00096F9A"/>
    <w:rsid w:val="00097026"/>
    <w:rsid w:val="000975B5"/>
    <w:rsid w:val="00097A78"/>
    <w:rsid w:val="000A0671"/>
    <w:rsid w:val="000A06CA"/>
    <w:rsid w:val="000A07E4"/>
    <w:rsid w:val="000A086D"/>
    <w:rsid w:val="000A0978"/>
    <w:rsid w:val="000A0D38"/>
    <w:rsid w:val="000A1C43"/>
    <w:rsid w:val="000A2DF8"/>
    <w:rsid w:val="000A30B9"/>
    <w:rsid w:val="000A3DAA"/>
    <w:rsid w:val="000A499D"/>
    <w:rsid w:val="000A4CD6"/>
    <w:rsid w:val="000A4E69"/>
    <w:rsid w:val="000A546A"/>
    <w:rsid w:val="000A560D"/>
    <w:rsid w:val="000A5692"/>
    <w:rsid w:val="000A5A05"/>
    <w:rsid w:val="000A5EC2"/>
    <w:rsid w:val="000A5F5B"/>
    <w:rsid w:val="000A62A2"/>
    <w:rsid w:val="000A712D"/>
    <w:rsid w:val="000A719C"/>
    <w:rsid w:val="000A7E25"/>
    <w:rsid w:val="000B058D"/>
    <w:rsid w:val="000B07A2"/>
    <w:rsid w:val="000B2210"/>
    <w:rsid w:val="000B2237"/>
    <w:rsid w:val="000B2509"/>
    <w:rsid w:val="000B3859"/>
    <w:rsid w:val="000B39C1"/>
    <w:rsid w:val="000B3B2A"/>
    <w:rsid w:val="000B4181"/>
    <w:rsid w:val="000B46A8"/>
    <w:rsid w:val="000B49FD"/>
    <w:rsid w:val="000B5222"/>
    <w:rsid w:val="000B5D3C"/>
    <w:rsid w:val="000B7096"/>
    <w:rsid w:val="000B74C4"/>
    <w:rsid w:val="000B7608"/>
    <w:rsid w:val="000B763D"/>
    <w:rsid w:val="000B79F8"/>
    <w:rsid w:val="000C0B5C"/>
    <w:rsid w:val="000C12FD"/>
    <w:rsid w:val="000C1C9F"/>
    <w:rsid w:val="000C230A"/>
    <w:rsid w:val="000C2841"/>
    <w:rsid w:val="000C289F"/>
    <w:rsid w:val="000C2DFC"/>
    <w:rsid w:val="000C2F67"/>
    <w:rsid w:val="000C4982"/>
    <w:rsid w:val="000C4ED7"/>
    <w:rsid w:val="000C4F83"/>
    <w:rsid w:val="000C594F"/>
    <w:rsid w:val="000C5B38"/>
    <w:rsid w:val="000C5E4E"/>
    <w:rsid w:val="000C6887"/>
    <w:rsid w:val="000C693B"/>
    <w:rsid w:val="000C6A5E"/>
    <w:rsid w:val="000C6BBC"/>
    <w:rsid w:val="000C740C"/>
    <w:rsid w:val="000C7D92"/>
    <w:rsid w:val="000D0823"/>
    <w:rsid w:val="000D08E0"/>
    <w:rsid w:val="000D0DA3"/>
    <w:rsid w:val="000D0FE2"/>
    <w:rsid w:val="000D260A"/>
    <w:rsid w:val="000D2B7B"/>
    <w:rsid w:val="000D4252"/>
    <w:rsid w:val="000D43A7"/>
    <w:rsid w:val="000D46D0"/>
    <w:rsid w:val="000D50D8"/>
    <w:rsid w:val="000D5344"/>
    <w:rsid w:val="000D56A3"/>
    <w:rsid w:val="000D5873"/>
    <w:rsid w:val="000D58AA"/>
    <w:rsid w:val="000D6014"/>
    <w:rsid w:val="000D620A"/>
    <w:rsid w:val="000D640D"/>
    <w:rsid w:val="000D645B"/>
    <w:rsid w:val="000D6705"/>
    <w:rsid w:val="000D676A"/>
    <w:rsid w:val="000D68D6"/>
    <w:rsid w:val="000D6AC0"/>
    <w:rsid w:val="000D7292"/>
    <w:rsid w:val="000D74FB"/>
    <w:rsid w:val="000D7778"/>
    <w:rsid w:val="000D77F1"/>
    <w:rsid w:val="000D7C5E"/>
    <w:rsid w:val="000D7E94"/>
    <w:rsid w:val="000E0463"/>
    <w:rsid w:val="000E046B"/>
    <w:rsid w:val="000E0D8E"/>
    <w:rsid w:val="000E1275"/>
    <w:rsid w:val="000E1507"/>
    <w:rsid w:val="000E24D5"/>
    <w:rsid w:val="000E29E6"/>
    <w:rsid w:val="000E304D"/>
    <w:rsid w:val="000E3107"/>
    <w:rsid w:val="000E3BB4"/>
    <w:rsid w:val="000E41E2"/>
    <w:rsid w:val="000E4F61"/>
    <w:rsid w:val="000E59CA"/>
    <w:rsid w:val="000E6583"/>
    <w:rsid w:val="000E6EB1"/>
    <w:rsid w:val="000E71EF"/>
    <w:rsid w:val="000E724B"/>
    <w:rsid w:val="000E7836"/>
    <w:rsid w:val="000F0124"/>
    <w:rsid w:val="000F03D6"/>
    <w:rsid w:val="000F0529"/>
    <w:rsid w:val="000F11F0"/>
    <w:rsid w:val="000F1427"/>
    <w:rsid w:val="000F1AB3"/>
    <w:rsid w:val="000F2371"/>
    <w:rsid w:val="000F2568"/>
    <w:rsid w:val="000F2DF8"/>
    <w:rsid w:val="000F4C47"/>
    <w:rsid w:val="000F4F00"/>
    <w:rsid w:val="000F4F7B"/>
    <w:rsid w:val="000F5010"/>
    <w:rsid w:val="000F5441"/>
    <w:rsid w:val="000F54C8"/>
    <w:rsid w:val="000F55EA"/>
    <w:rsid w:val="000F5946"/>
    <w:rsid w:val="000F5A9E"/>
    <w:rsid w:val="000F5CF9"/>
    <w:rsid w:val="000F636F"/>
    <w:rsid w:val="000F645E"/>
    <w:rsid w:val="000F731B"/>
    <w:rsid w:val="000F7CEF"/>
    <w:rsid w:val="001011A1"/>
    <w:rsid w:val="001011CD"/>
    <w:rsid w:val="001011D6"/>
    <w:rsid w:val="001016C0"/>
    <w:rsid w:val="00102545"/>
    <w:rsid w:val="00102A5F"/>
    <w:rsid w:val="00102C9A"/>
    <w:rsid w:val="00103843"/>
    <w:rsid w:val="00103D1F"/>
    <w:rsid w:val="00104B98"/>
    <w:rsid w:val="00105048"/>
    <w:rsid w:val="001057E9"/>
    <w:rsid w:val="001057F6"/>
    <w:rsid w:val="00105D35"/>
    <w:rsid w:val="00105FF8"/>
    <w:rsid w:val="00106014"/>
    <w:rsid w:val="0010651A"/>
    <w:rsid w:val="00106D76"/>
    <w:rsid w:val="001073CC"/>
    <w:rsid w:val="00107574"/>
    <w:rsid w:val="00107A10"/>
    <w:rsid w:val="001100D2"/>
    <w:rsid w:val="00110A92"/>
    <w:rsid w:val="001111D4"/>
    <w:rsid w:val="001112AD"/>
    <w:rsid w:val="00111590"/>
    <w:rsid w:val="00112CDC"/>
    <w:rsid w:val="001139D6"/>
    <w:rsid w:val="00114D30"/>
    <w:rsid w:val="00114F74"/>
    <w:rsid w:val="00115044"/>
    <w:rsid w:val="001153FD"/>
    <w:rsid w:val="0011561F"/>
    <w:rsid w:val="00115FED"/>
    <w:rsid w:val="001160FE"/>
    <w:rsid w:val="00116219"/>
    <w:rsid w:val="00117511"/>
    <w:rsid w:val="00117B0F"/>
    <w:rsid w:val="00117D23"/>
    <w:rsid w:val="00120228"/>
    <w:rsid w:val="00120BB0"/>
    <w:rsid w:val="00120E5D"/>
    <w:rsid w:val="001210C5"/>
    <w:rsid w:val="00121146"/>
    <w:rsid w:val="001211FD"/>
    <w:rsid w:val="001218E3"/>
    <w:rsid w:val="001218FE"/>
    <w:rsid w:val="0012232B"/>
    <w:rsid w:val="00122974"/>
    <w:rsid w:val="00122C56"/>
    <w:rsid w:val="001233E8"/>
    <w:rsid w:val="001246F1"/>
    <w:rsid w:val="001247A0"/>
    <w:rsid w:val="00124CA6"/>
    <w:rsid w:val="00124CEC"/>
    <w:rsid w:val="001264C6"/>
    <w:rsid w:val="0012671F"/>
    <w:rsid w:val="00126CD3"/>
    <w:rsid w:val="001277D4"/>
    <w:rsid w:val="00131401"/>
    <w:rsid w:val="001320E0"/>
    <w:rsid w:val="00132F03"/>
    <w:rsid w:val="001333F3"/>
    <w:rsid w:val="00134257"/>
    <w:rsid w:val="001342AC"/>
    <w:rsid w:val="0013439C"/>
    <w:rsid w:val="00135180"/>
    <w:rsid w:val="00135992"/>
    <w:rsid w:val="00135D54"/>
    <w:rsid w:val="00136380"/>
    <w:rsid w:val="0013720B"/>
    <w:rsid w:val="0013721F"/>
    <w:rsid w:val="001376EE"/>
    <w:rsid w:val="0013774C"/>
    <w:rsid w:val="00137EA9"/>
    <w:rsid w:val="0014022E"/>
    <w:rsid w:val="00140FF0"/>
    <w:rsid w:val="00141AD4"/>
    <w:rsid w:val="0014261F"/>
    <w:rsid w:val="00142852"/>
    <w:rsid w:val="00142859"/>
    <w:rsid w:val="00142E06"/>
    <w:rsid w:val="00142E3A"/>
    <w:rsid w:val="00143DE9"/>
    <w:rsid w:val="001448AF"/>
    <w:rsid w:val="00144D4D"/>
    <w:rsid w:val="0014512D"/>
    <w:rsid w:val="001451ED"/>
    <w:rsid w:val="001456EC"/>
    <w:rsid w:val="00145BB5"/>
    <w:rsid w:val="00146D51"/>
    <w:rsid w:val="001477CA"/>
    <w:rsid w:val="00150377"/>
    <w:rsid w:val="001506BA"/>
    <w:rsid w:val="001507B3"/>
    <w:rsid w:val="00150C5D"/>
    <w:rsid w:val="00150D25"/>
    <w:rsid w:val="00151354"/>
    <w:rsid w:val="0015199B"/>
    <w:rsid w:val="00151F7C"/>
    <w:rsid w:val="00152E43"/>
    <w:rsid w:val="00153E7A"/>
    <w:rsid w:val="001549B7"/>
    <w:rsid w:val="001553AC"/>
    <w:rsid w:val="001554DC"/>
    <w:rsid w:val="001555F8"/>
    <w:rsid w:val="001563FC"/>
    <w:rsid w:val="00156444"/>
    <w:rsid w:val="0015654F"/>
    <w:rsid w:val="0015749B"/>
    <w:rsid w:val="001576F9"/>
    <w:rsid w:val="00157F0F"/>
    <w:rsid w:val="0016031B"/>
    <w:rsid w:val="001605FF"/>
    <w:rsid w:val="0016067F"/>
    <w:rsid w:val="00160A51"/>
    <w:rsid w:val="00160BA8"/>
    <w:rsid w:val="00160BFC"/>
    <w:rsid w:val="00160C9D"/>
    <w:rsid w:val="00161443"/>
    <w:rsid w:val="001619F9"/>
    <w:rsid w:val="00162854"/>
    <w:rsid w:val="00162A4C"/>
    <w:rsid w:val="00164AE9"/>
    <w:rsid w:val="00164B5F"/>
    <w:rsid w:val="00165F88"/>
    <w:rsid w:val="00166219"/>
    <w:rsid w:val="00166A47"/>
    <w:rsid w:val="00166D43"/>
    <w:rsid w:val="001671B9"/>
    <w:rsid w:val="00167659"/>
    <w:rsid w:val="0016799E"/>
    <w:rsid w:val="00167B77"/>
    <w:rsid w:val="00167EFD"/>
    <w:rsid w:val="00170BAA"/>
    <w:rsid w:val="0017115E"/>
    <w:rsid w:val="00171D47"/>
    <w:rsid w:val="00171E17"/>
    <w:rsid w:val="00172583"/>
    <w:rsid w:val="00172D40"/>
    <w:rsid w:val="001735B4"/>
    <w:rsid w:val="00173903"/>
    <w:rsid w:val="00173F72"/>
    <w:rsid w:val="001740ED"/>
    <w:rsid w:val="001746A5"/>
    <w:rsid w:val="0017560A"/>
    <w:rsid w:val="00175C33"/>
    <w:rsid w:val="00175CC8"/>
    <w:rsid w:val="001760FA"/>
    <w:rsid w:val="00180029"/>
    <w:rsid w:val="00180D51"/>
    <w:rsid w:val="00180D72"/>
    <w:rsid w:val="001810F1"/>
    <w:rsid w:val="0018162B"/>
    <w:rsid w:val="001817D5"/>
    <w:rsid w:val="0018183C"/>
    <w:rsid w:val="0018233C"/>
    <w:rsid w:val="001823B6"/>
    <w:rsid w:val="0018242C"/>
    <w:rsid w:val="001828DD"/>
    <w:rsid w:val="001833E7"/>
    <w:rsid w:val="00183BF7"/>
    <w:rsid w:val="001849C9"/>
    <w:rsid w:val="00185241"/>
    <w:rsid w:val="00185CB1"/>
    <w:rsid w:val="001865A5"/>
    <w:rsid w:val="00186688"/>
    <w:rsid w:val="00187103"/>
    <w:rsid w:val="001872FF"/>
    <w:rsid w:val="00187612"/>
    <w:rsid w:val="00187D23"/>
    <w:rsid w:val="001905F0"/>
    <w:rsid w:val="00190C1D"/>
    <w:rsid w:val="0019113F"/>
    <w:rsid w:val="0019147A"/>
    <w:rsid w:val="00191510"/>
    <w:rsid w:val="00191A26"/>
    <w:rsid w:val="00192A93"/>
    <w:rsid w:val="00192A95"/>
    <w:rsid w:val="00192BE1"/>
    <w:rsid w:val="00193620"/>
    <w:rsid w:val="00193A12"/>
    <w:rsid w:val="00193F1D"/>
    <w:rsid w:val="00194403"/>
    <w:rsid w:val="001946FA"/>
    <w:rsid w:val="001947FF"/>
    <w:rsid w:val="00194C0E"/>
    <w:rsid w:val="001950A3"/>
    <w:rsid w:val="00195819"/>
    <w:rsid w:val="001960D3"/>
    <w:rsid w:val="00196C37"/>
    <w:rsid w:val="001971E4"/>
    <w:rsid w:val="00197C03"/>
    <w:rsid w:val="00197DFA"/>
    <w:rsid w:val="00197E08"/>
    <w:rsid w:val="001A03C4"/>
    <w:rsid w:val="001A03DC"/>
    <w:rsid w:val="001A084D"/>
    <w:rsid w:val="001A0882"/>
    <w:rsid w:val="001A0D57"/>
    <w:rsid w:val="001A1276"/>
    <w:rsid w:val="001A16F6"/>
    <w:rsid w:val="001A1850"/>
    <w:rsid w:val="001A1AF4"/>
    <w:rsid w:val="001A1F11"/>
    <w:rsid w:val="001A35C8"/>
    <w:rsid w:val="001A4A47"/>
    <w:rsid w:val="001A4ABF"/>
    <w:rsid w:val="001A5038"/>
    <w:rsid w:val="001A532A"/>
    <w:rsid w:val="001A53F6"/>
    <w:rsid w:val="001A547D"/>
    <w:rsid w:val="001A5552"/>
    <w:rsid w:val="001A5C91"/>
    <w:rsid w:val="001A6F8C"/>
    <w:rsid w:val="001A7516"/>
    <w:rsid w:val="001A7542"/>
    <w:rsid w:val="001B05AD"/>
    <w:rsid w:val="001B0923"/>
    <w:rsid w:val="001B11F4"/>
    <w:rsid w:val="001B1389"/>
    <w:rsid w:val="001B17A2"/>
    <w:rsid w:val="001B1C24"/>
    <w:rsid w:val="001B267C"/>
    <w:rsid w:val="001B27AB"/>
    <w:rsid w:val="001B2D40"/>
    <w:rsid w:val="001B3AE7"/>
    <w:rsid w:val="001B435A"/>
    <w:rsid w:val="001B5676"/>
    <w:rsid w:val="001B596B"/>
    <w:rsid w:val="001B5F53"/>
    <w:rsid w:val="001B62A8"/>
    <w:rsid w:val="001B65EA"/>
    <w:rsid w:val="001B67B2"/>
    <w:rsid w:val="001B68C2"/>
    <w:rsid w:val="001B6D85"/>
    <w:rsid w:val="001B72CE"/>
    <w:rsid w:val="001B79D3"/>
    <w:rsid w:val="001C0248"/>
    <w:rsid w:val="001C0402"/>
    <w:rsid w:val="001C08B7"/>
    <w:rsid w:val="001C102C"/>
    <w:rsid w:val="001C2BE5"/>
    <w:rsid w:val="001C35CC"/>
    <w:rsid w:val="001C36A1"/>
    <w:rsid w:val="001C38F6"/>
    <w:rsid w:val="001C443F"/>
    <w:rsid w:val="001C46EA"/>
    <w:rsid w:val="001C4EC0"/>
    <w:rsid w:val="001C522D"/>
    <w:rsid w:val="001C52C6"/>
    <w:rsid w:val="001C56D1"/>
    <w:rsid w:val="001C5904"/>
    <w:rsid w:val="001C59F9"/>
    <w:rsid w:val="001C67B4"/>
    <w:rsid w:val="001C6E8F"/>
    <w:rsid w:val="001C70D9"/>
    <w:rsid w:val="001C7540"/>
    <w:rsid w:val="001C75E6"/>
    <w:rsid w:val="001C79F5"/>
    <w:rsid w:val="001D00FF"/>
    <w:rsid w:val="001D0D7B"/>
    <w:rsid w:val="001D2276"/>
    <w:rsid w:val="001D2639"/>
    <w:rsid w:val="001D2902"/>
    <w:rsid w:val="001D2B83"/>
    <w:rsid w:val="001D3795"/>
    <w:rsid w:val="001D3FEF"/>
    <w:rsid w:val="001D4E90"/>
    <w:rsid w:val="001D4EFF"/>
    <w:rsid w:val="001D56E4"/>
    <w:rsid w:val="001D5EF1"/>
    <w:rsid w:val="001D5F39"/>
    <w:rsid w:val="001D6169"/>
    <w:rsid w:val="001D6475"/>
    <w:rsid w:val="001D7B5E"/>
    <w:rsid w:val="001D7CD6"/>
    <w:rsid w:val="001E03F6"/>
    <w:rsid w:val="001E04BC"/>
    <w:rsid w:val="001E075F"/>
    <w:rsid w:val="001E0A02"/>
    <w:rsid w:val="001E1AEE"/>
    <w:rsid w:val="001E1DF0"/>
    <w:rsid w:val="001E21D7"/>
    <w:rsid w:val="001E2AE9"/>
    <w:rsid w:val="001E3164"/>
    <w:rsid w:val="001E38CA"/>
    <w:rsid w:val="001E3B64"/>
    <w:rsid w:val="001E3E85"/>
    <w:rsid w:val="001E4712"/>
    <w:rsid w:val="001E5F2D"/>
    <w:rsid w:val="001F0289"/>
    <w:rsid w:val="001F0348"/>
    <w:rsid w:val="001F12B3"/>
    <w:rsid w:val="001F24A8"/>
    <w:rsid w:val="001F26D2"/>
    <w:rsid w:val="001F28EA"/>
    <w:rsid w:val="001F2CC1"/>
    <w:rsid w:val="001F30D8"/>
    <w:rsid w:val="001F34B2"/>
    <w:rsid w:val="001F4122"/>
    <w:rsid w:val="001F43AA"/>
    <w:rsid w:val="001F4614"/>
    <w:rsid w:val="001F4D3B"/>
    <w:rsid w:val="001F5093"/>
    <w:rsid w:val="001F5E3F"/>
    <w:rsid w:val="001F5EF3"/>
    <w:rsid w:val="001F613B"/>
    <w:rsid w:val="001F64B6"/>
    <w:rsid w:val="001F6A53"/>
    <w:rsid w:val="001F6AB5"/>
    <w:rsid w:val="001F6CA2"/>
    <w:rsid w:val="001F6F67"/>
    <w:rsid w:val="001F7096"/>
    <w:rsid w:val="001F7CE3"/>
    <w:rsid w:val="00200A03"/>
    <w:rsid w:val="00201296"/>
    <w:rsid w:val="002015CB"/>
    <w:rsid w:val="0020178B"/>
    <w:rsid w:val="0020224D"/>
    <w:rsid w:val="00202604"/>
    <w:rsid w:val="00202D9D"/>
    <w:rsid w:val="00203132"/>
    <w:rsid w:val="002041B9"/>
    <w:rsid w:val="002041C5"/>
    <w:rsid w:val="002045FB"/>
    <w:rsid w:val="00205461"/>
    <w:rsid w:val="002067A4"/>
    <w:rsid w:val="00206CE4"/>
    <w:rsid w:val="00207AEF"/>
    <w:rsid w:val="00207EF5"/>
    <w:rsid w:val="00210751"/>
    <w:rsid w:val="00210B14"/>
    <w:rsid w:val="00210DF0"/>
    <w:rsid w:val="00211205"/>
    <w:rsid w:val="00211682"/>
    <w:rsid w:val="00212333"/>
    <w:rsid w:val="002125A5"/>
    <w:rsid w:val="00212B66"/>
    <w:rsid w:val="0021343B"/>
    <w:rsid w:val="002137F6"/>
    <w:rsid w:val="00214AB2"/>
    <w:rsid w:val="00214B2E"/>
    <w:rsid w:val="00214C2B"/>
    <w:rsid w:val="00215875"/>
    <w:rsid w:val="00215B32"/>
    <w:rsid w:val="00215F34"/>
    <w:rsid w:val="00216095"/>
    <w:rsid w:val="00216365"/>
    <w:rsid w:val="00216E6C"/>
    <w:rsid w:val="00216F77"/>
    <w:rsid w:val="0021719A"/>
    <w:rsid w:val="00217277"/>
    <w:rsid w:val="002208AF"/>
    <w:rsid w:val="00220BB4"/>
    <w:rsid w:val="00220F76"/>
    <w:rsid w:val="002219DE"/>
    <w:rsid w:val="00221E6E"/>
    <w:rsid w:val="00221FB1"/>
    <w:rsid w:val="002222CB"/>
    <w:rsid w:val="00222AEE"/>
    <w:rsid w:val="00222BC9"/>
    <w:rsid w:val="00222D22"/>
    <w:rsid w:val="00223010"/>
    <w:rsid w:val="002239F7"/>
    <w:rsid w:val="00223C63"/>
    <w:rsid w:val="0022442A"/>
    <w:rsid w:val="00224FB3"/>
    <w:rsid w:val="002255A1"/>
    <w:rsid w:val="00225EBB"/>
    <w:rsid w:val="002261D0"/>
    <w:rsid w:val="002261D3"/>
    <w:rsid w:val="002261EF"/>
    <w:rsid w:val="0022626E"/>
    <w:rsid w:val="00227EE0"/>
    <w:rsid w:val="0023044B"/>
    <w:rsid w:val="00230F8F"/>
    <w:rsid w:val="002310AB"/>
    <w:rsid w:val="002310E5"/>
    <w:rsid w:val="002313F7"/>
    <w:rsid w:val="00231AA0"/>
    <w:rsid w:val="00231AB1"/>
    <w:rsid w:val="00231CC3"/>
    <w:rsid w:val="002324D8"/>
    <w:rsid w:val="00232981"/>
    <w:rsid w:val="00232CDE"/>
    <w:rsid w:val="00235B12"/>
    <w:rsid w:val="00236564"/>
    <w:rsid w:val="002367A7"/>
    <w:rsid w:val="002371AB"/>
    <w:rsid w:val="0023751E"/>
    <w:rsid w:val="0024023E"/>
    <w:rsid w:val="00240461"/>
    <w:rsid w:val="002409A6"/>
    <w:rsid w:val="00240A84"/>
    <w:rsid w:val="00240BBF"/>
    <w:rsid w:val="00240F11"/>
    <w:rsid w:val="00241309"/>
    <w:rsid w:val="002419EE"/>
    <w:rsid w:val="00242140"/>
    <w:rsid w:val="00242349"/>
    <w:rsid w:val="002432A4"/>
    <w:rsid w:val="00243CD3"/>
    <w:rsid w:val="00244061"/>
    <w:rsid w:val="002447F6"/>
    <w:rsid w:val="00244F85"/>
    <w:rsid w:val="002459FB"/>
    <w:rsid w:val="00245DFA"/>
    <w:rsid w:val="002467EF"/>
    <w:rsid w:val="00246D82"/>
    <w:rsid w:val="002475DD"/>
    <w:rsid w:val="00247D80"/>
    <w:rsid w:val="0025014B"/>
    <w:rsid w:val="002505F1"/>
    <w:rsid w:val="00250791"/>
    <w:rsid w:val="00250795"/>
    <w:rsid w:val="00250B7D"/>
    <w:rsid w:val="00251438"/>
    <w:rsid w:val="00251F89"/>
    <w:rsid w:val="00251FFA"/>
    <w:rsid w:val="0025209E"/>
    <w:rsid w:val="00252AF6"/>
    <w:rsid w:val="00252B36"/>
    <w:rsid w:val="00252C53"/>
    <w:rsid w:val="002547BE"/>
    <w:rsid w:val="002548EF"/>
    <w:rsid w:val="00254FE1"/>
    <w:rsid w:val="0025502C"/>
    <w:rsid w:val="00255372"/>
    <w:rsid w:val="00255EAD"/>
    <w:rsid w:val="0025606A"/>
    <w:rsid w:val="00256ADB"/>
    <w:rsid w:val="00256CF5"/>
    <w:rsid w:val="00256F98"/>
    <w:rsid w:val="00260029"/>
    <w:rsid w:val="0026025E"/>
    <w:rsid w:val="00260ED7"/>
    <w:rsid w:val="002618F9"/>
    <w:rsid w:val="00261B11"/>
    <w:rsid w:val="00262132"/>
    <w:rsid w:val="002626AA"/>
    <w:rsid w:val="002627E9"/>
    <w:rsid w:val="00262868"/>
    <w:rsid w:val="00263132"/>
    <w:rsid w:val="00263224"/>
    <w:rsid w:val="00263377"/>
    <w:rsid w:val="00263695"/>
    <w:rsid w:val="0026467F"/>
    <w:rsid w:val="00264A91"/>
    <w:rsid w:val="00265146"/>
    <w:rsid w:val="00266CCF"/>
    <w:rsid w:val="00270446"/>
    <w:rsid w:val="00270CB6"/>
    <w:rsid w:val="002716FD"/>
    <w:rsid w:val="0027183E"/>
    <w:rsid w:val="00272755"/>
    <w:rsid w:val="00272D27"/>
    <w:rsid w:val="0027334A"/>
    <w:rsid w:val="00273994"/>
    <w:rsid w:val="00274359"/>
    <w:rsid w:val="002743D5"/>
    <w:rsid w:val="00274BC5"/>
    <w:rsid w:val="00274EDC"/>
    <w:rsid w:val="00275435"/>
    <w:rsid w:val="002755B5"/>
    <w:rsid w:val="00275957"/>
    <w:rsid w:val="00275AB5"/>
    <w:rsid w:val="002773A1"/>
    <w:rsid w:val="00277722"/>
    <w:rsid w:val="002777FF"/>
    <w:rsid w:val="00277939"/>
    <w:rsid w:val="00277C44"/>
    <w:rsid w:val="00280077"/>
    <w:rsid w:val="0028029B"/>
    <w:rsid w:val="00280A09"/>
    <w:rsid w:val="00281E13"/>
    <w:rsid w:val="00282063"/>
    <w:rsid w:val="00282B00"/>
    <w:rsid w:val="00282BA7"/>
    <w:rsid w:val="00282C6C"/>
    <w:rsid w:val="00282D43"/>
    <w:rsid w:val="002837CB"/>
    <w:rsid w:val="002845F9"/>
    <w:rsid w:val="002846F3"/>
    <w:rsid w:val="00284744"/>
    <w:rsid w:val="00284D1B"/>
    <w:rsid w:val="002856FD"/>
    <w:rsid w:val="00286653"/>
    <w:rsid w:val="0028668D"/>
    <w:rsid w:val="0028686F"/>
    <w:rsid w:val="00286A7F"/>
    <w:rsid w:val="00286B9D"/>
    <w:rsid w:val="00286FDB"/>
    <w:rsid w:val="00287992"/>
    <w:rsid w:val="002901BC"/>
    <w:rsid w:val="00290884"/>
    <w:rsid w:val="0029098E"/>
    <w:rsid w:val="00290B4E"/>
    <w:rsid w:val="002913CD"/>
    <w:rsid w:val="00291B1C"/>
    <w:rsid w:val="002921F0"/>
    <w:rsid w:val="00292BBC"/>
    <w:rsid w:val="00293B69"/>
    <w:rsid w:val="00294217"/>
    <w:rsid w:val="0029437F"/>
    <w:rsid w:val="0029494C"/>
    <w:rsid w:val="0029522C"/>
    <w:rsid w:val="00295F91"/>
    <w:rsid w:val="002960E2"/>
    <w:rsid w:val="00296589"/>
    <w:rsid w:val="0029721D"/>
    <w:rsid w:val="002A0106"/>
    <w:rsid w:val="002A07C5"/>
    <w:rsid w:val="002A0A5B"/>
    <w:rsid w:val="002A1FB2"/>
    <w:rsid w:val="002A2BB2"/>
    <w:rsid w:val="002A3124"/>
    <w:rsid w:val="002A31E9"/>
    <w:rsid w:val="002A334C"/>
    <w:rsid w:val="002A3DF8"/>
    <w:rsid w:val="002A3EC5"/>
    <w:rsid w:val="002A40C3"/>
    <w:rsid w:val="002A45A5"/>
    <w:rsid w:val="002A4932"/>
    <w:rsid w:val="002A4D7B"/>
    <w:rsid w:val="002A5165"/>
    <w:rsid w:val="002A587F"/>
    <w:rsid w:val="002A68F6"/>
    <w:rsid w:val="002A6BCB"/>
    <w:rsid w:val="002A6BD6"/>
    <w:rsid w:val="002A6DF9"/>
    <w:rsid w:val="002A7953"/>
    <w:rsid w:val="002B0708"/>
    <w:rsid w:val="002B09FC"/>
    <w:rsid w:val="002B1663"/>
    <w:rsid w:val="002B1684"/>
    <w:rsid w:val="002B27B4"/>
    <w:rsid w:val="002B2CEF"/>
    <w:rsid w:val="002B2F3F"/>
    <w:rsid w:val="002B3196"/>
    <w:rsid w:val="002B37E6"/>
    <w:rsid w:val="002B383E"/>
    <w:rsid w:val="002B45AB"/>
    <w:rsid w:val="002B46C5"/>
    <w:rsid w:val="002B482A"/>
    <w:rsid w:val="002B4A40"/>
    <w:rsid w:val="002B4BF9"/>
    <w:rsid w:val="002B5A7F"/>
    <w:rsid w:val="002B5F7C"/>
    <w:rsid w:val="002B63C8"/>
    <w:rsid w:val="002B66A3"/>
    <w:rsid w:val="002B6EE2"/>
    <w:rsid w:val="002B6F71"/>
    <w:rsid w:val="002B7702"/>
    <w:rsid w:val="002B7892"/>
    <w:rsid w:val="002B794A"/>
    <w:rsid w:val="002B7E84"/>
    <w:rsid w:val="002C0303"/>
    <w:rsid w:val="002C04C7"/>
    <w:rsid w:val="002C0F0D"/>
    <w:rsid w:val="002C1488"/>
    <w:rsid w:val="002C291F"/>
    <w:rsid w:val="002C354C"/>
    <w:rsid w:val="002C35D9"/>
    <w:rsid w:val="002C3CB8"/>
    <w:rsid w:val="002C3F1D"/>
    <w:rsid w:val="002C4836"/>
    <w:rsid w:val="002C4E6A"/>
    <w:rsid w:val="002C5154"/>
    <w:rsid w:val="002C5BD1"/>
    <w:rsid w:val="002C7A36"/>
    <w:rsid w:val="002C7ACE"/>
    <w:rsid w:val="002D09F2"/>
    <w:rsid w:val="002D152D"/>
    <w:rsid w:val="002D28C8"/>
    <w:rsid w:val="002D291A"/>
    <w:rsid w:val="002D2AC6"/>
    <w:rsid w:val="002D2B06"/>
    <w:rsid w:val="002D2E93"/>
    <w:rsid w:val="002D3433"/>
    <w:rsid w:val="002D36FE"/>
    <w:rsid w:val="002D3C4B"/>
    <w:rsid w:val="002D3CC5"/>
    <w:rsid w:val="002D45FD"/>
    <w:rsid w:val="002D483F"/>
    <w:rsid w:val="002D4869"/>
    <w:rsid w:val="002D4ABC"/>
    <w:rsid w:val="002D517B"/>
    <w:rsid w:val="002D5ACE"/>
    <w:rsid w:val="002D6A54"/>
    <w:rsid w:val="002D74EA"/>
    <w:rsid w:val="002D76E6"/>
    <w:rsid w:val="002D7F18"/>
    <w:rsid w:val="002E06AC"/>
    <w:rsid w:val="002E0F0B"/>
    <w:rsid w:val="002E0F14"/>
    <w:rsid w:val="002E149C"/>
    <w:rsid w:val="002E181A"/>
    <w:rsid w:val="002E1874"/>
    <w:rsid w:val="002E1E10"/>
    <w:rsid w:val="002E1EEB"/>
    <w:rsid w:val="002E2061"/>
    <w:rsid w:val="002E27CB"/>
    <w:rsid w:val="002E2DD0"/>
    <w:rsid w:val="002E3137"/>
    <w:rsid w:val="002E3BEE"/>
    <w:rsid w:val="002E3CFF"/>
    <w:rsid w:val="002E4C98"/>
    <w:rsid w:val="002E5657"/>
    <w:rsid w:val="002E567F"/>
    <w:rsid w:val="002E583F"/>
    <w:rsid w:val="002E5C16"/>
    <w:rsid w:val="002E6232"/>
    <w:rsid w:val="002E65DC"/>
    <w:rsid w:val="002E7DEE"/>
    <w:rsid w:val="002F0B2C"/>
    <w:rsid w:val="002F0B3E"/>
    <w:rsid w:val="002F111F"/>
    <w:rsid w:val="002F1542"/>
    <w:rsid w:val="002F168E"/>
    <w:rsid w:val="002F19F2"/>
    <w:rsid w:val="002F1BB7"/>
    <w:rsid w:val="002F1D90"/>
    <w:rsid w:val="002F264A"/>
    <w:rsid w:val="002F3906"/>
    <w:rsid w:val="002F3AD6"/>
    <w:rsid w:val="002F409C"/>
    <w:rsid w:val="002F5777"/>
    <w:rsid w:val="002F5A26"/>
    <w:rsid w:val="002F622B"/>
    <w:rsid w:val="002F7108"/>
    <w:rsid w:val="002F719D"/>
    <w:rsid w:val="002F727B"/>
    <w:rsid w:val="002F7863"/>
    <w:rsid w:val="0030076D"/>
    <w:rsid w:val="00300E85"/>
    <w:rsid w:val="003017BC"/>
    <w:rsid w:val="00301832"/>
    <w:rsid w:val="00301A68"/>
    <w:rsid w:val="00301DE3"/>
    <w:rsid w:val="00301FB8"/>
    <w:rsid w:val="00301FEC"/>
    <w:rsid w:val="003020C6"/>
    <w:rsid w:val="003023F3"/>
    <w:rsid w:val="00302D17"/>
    <w:rsid w:val="00303259"/>
    <w:rsid w:val="003038E2"/>
    <w:rsid w:val="00303EDE"/>
    <w:rsid w:val="00303F11"/>
    <w:rsid w:val="0030432C"/>
    <w:rsid w:val="00304F73"/>
    <w:rsid w:val="00305DB5"/>
    <w:rsid w:val="00305F22"/>
    <w:rsid w:val="003061CA"/>
    <w:rsid w:val="003063A1"/>
    <w:rsid w:val="0030676B"/>
    <w:rsid w:val="00307F76"/>
    <w:rsid w:val="00307FB5"/>
    <w:rsid w:val="003100AC"/>
    <w:rsid w:val="00310351"/>
    <w:rsid w:val="0031153C"/>
    <w:rsid w:val="00311885"/>
    <w:rsid w:val="00311898"/>
    <w:rsid w:val="00311D09"/>
    <w:rsid w:val="00311D96"/>
    <w:rsid w:val="00312110"/>
    <w:rsid w:val="003125E9"/>
    <w:rsid w:val="0031289D"/>
    <w:rsid w:val="00312A2D"/>
    <w:rsid w:val="00312BD8"/>
    <w:rsid w:val="00312CEF"/>
    <w:rsid w:val="003134C1"/>
    <w:rsid w:val="00313B90"/>
    <w:rsid w:val="003140F6"/>
    <w:rsid w:val="00314C80"/>
    <w:rsid w:val="00314DD0"/>
    <w:rsid w:val="00314EDA"/>
    <w:rsid w:val="0031506A"/>
    <w:rsid w:val="0031542C"/>
    <w:rsid w:val="00315C42"/>
    <w:rsid w:val="00315F78"/>
    <w:rsid w:val="00315FA2"/>
    <w:rsid w:val="00315FB7"/>
    <w:rsid w:val="00316029"/>
    <w:rsid w:val="00316A85"/>
    <w:rsid w:val="00316F8C"/>
    <w:rsid w:val="00317774"/>
    <w:rsid w:val="003200D7"/>
    <w:rsid w:val="00321787"/>
    <w:rsid w:val="003226B4"/>
    <w:rsid w:val="003228B4"/>
    <w:rsid w:val="00322B2B"/>
    <w:rsid w:val="003231B6"/>
    <w:rsid w:val="0032338A"/>
    <w:rsid w:val="003236E1"/>
    <w:rsid w:val="00323D43"/>
    <w:rsid w:val="0032461F"/>
    <w:rsid w:val="0032482B"/>
    <w:rsid w:val="00324E87"/>
    <w:rsid w:val="003253DB"/>
    <w:rsid w:val="00325576"/>
    <w:rsid w:val="0032597A"/>
    <w:rsid w:val="00325FE6"/>
    <w:rsid w:val="003261AE"/>
    <w:rsid w:val="00326B0C"/>
    <w:rsid w:val="00327943"/>
    <w:rsid w:val="0033036E"/>
    <w:rsid w:val="003316C8"/>
    <w:rsid w:val="0033253A"/>
    <w:rsid w:val="00332FEA"/>
    <w:rsid w:val="00333205"/>
    <w:rsid w:val="003336F8"/>
    <w:rsid w:val="003345E8"/>
    <w:rsid w:val="003363D9"/>
    <w:rsid w:val="003366C8"/>
    <w:rsid w:val="003374D3"/>
    <w:rsid w:val="00337972"/>
    <w:rsid w:val="00337B40"/>
    <w:rsid w:val="00337C89"/>
    <w:rsid w:val="00337CD8"/>
    <w:rsid w:val="0034022B"/>
    <w:rsid w:val="0034087E"/>
    <w:rsid w:val="003415D6"/>
    <w:rsid w:val="00341605"/>
    <w:rsid w:val="00343190"/>
    <w:rsid w:val="00343679"/>
    <w:rsid w:val="00343746"/>
    <w:rsid w:val="00343A41"/>
    <w:rsid w:val="00343EE6"/>
    <w:rsid w:val="003452B1"/>
    <w:rsid w:val="0034538F"/>
    <w:rsid w:val="003457FC"/>
    <w:rsid w:val="00346217"/>
    <w:rsid w:val="00346706"/>
    <w:rsid w:val="00346F24"/>
    <w:rsid w:val="003508CA"/>
    <w:rsid w:val="00350EF5"/>
    <w:rsid w:val="00351023"/>
    <w:rsid w:val="0035261C"/>
    <w:rsid w:val="00353754"/>
    <w:rsid w:val="003537B3"/>
    <w:rsid w:val="00353B97"/>
    <w:rsid w:val="0035420D"/>
    <w:rsid w:val="003546CD"/>
    <w:rsid w:val="00354AA0"/>
    <w:rsid w:val="00354EA0"/>
    <w:rsid w:val="003555B7"/>
    <w:rsid w:val="00355DC1"/>
    <w:rsid w:val="0035659A"/>
    <w:rsid w:val="00356DC4"/>
    <w:rsid w:val="00357023"/>
    <w:rsid w:val="003573BB"/>
    <w:rsid w:val="0035750D"/>
    <w:rsid w:val="0035772F"/>
    <w:rsid w:val="00360EF2"/>
    <w:rsid w:val="00361163"/>
    <w:rsid w:val="00361167"/>
    <w:rsid w:val="0036118F"/>
    <w:rsid w:val="00361201"/>
    <w:rsid w:val="00361639"/>
    <w:rsid w:val="00361A3E"/>
    <w:rsid w:val="00362B32"/>
    <w:rsid w:val="0036313C"/>
    <w:rsid w:val="00364A32"/>
    <w:rsid w:val="00364C29"/>
    <w:rsid w:val="00365AA0"/>
    <w:rsid w:val="0036624D"/>
    <w:rsid w:val="00366D2D"/>
    <w:rsid w:val="00367A2D"/>
    <w:rsid w:val="00370C43"/>
    <w:rsid w:val="00370E8D"/>
    <w:rsid w:val="003718FB"/>
    <w:rsid w:val="00372257"/>
    <w:rsid w:val="00372333"/>
    <w:rsid w:val="003727A6"/>
    <w:rsid w:val="00372F12"/>
    <w:rsid w:val="00373300"/>
    <w:rsid w:val="00373558"/>
    <w:rsid w:val="00373800"/>
    <w:rsid w:val="003739CC"/>
    <w:rsid w:val="00374318"/>
    <w:rsid w:val="00374598"/>
    <w:rsid w:val="00375B78"/>
    <w:rsid w:val="00375E5B"/>
    <w:rsid w:val="00377035"/>
    <w:rsid w:val="00377132"/>
    <w:rsid w:val="00377D59"/>
    <w:rsid w:val="00380203"/>
    <w:rsid w:val="003812A5"/>
    <w:rsid w:val="0038132F"/>
    <w:rsid w:val="003825B8"/>
    <w:rsid w:val="003827A8"/>
    <w:rsid w:val="00383A0A"/>
    <w:rsid w:val="00383E26"/>
    <w:rsid w:val="00384F76"/>
    <w:rsid w:val="003852D8"/>
    <w:rsid w:val="0038562E"/>
    <w:rsid w:val="0038593A"/>
    <w:rsid w:val="00385A18"/>
    <w:rsid w:val="00385A2C"/>
    <w:rsid w:val="00385BF4"/>
    <w:rsid w:val="00385EE4"/>
    <w:rsid w:val="0038633F"/>
    <w:rsid w:val="003868A3"/>
    <w:rsid w:val="003871B8"/>
    <w:rsid w:val="003871D6"/>
    <w:rsid w:val="003872A1"/>
    <w:rsid w:val="003905B1"/>
    <w:rsid w:val="00390737"/>
    <w:rsid w:val="00390761"/>
    <w:rsid w:val="00390AAF"/>
    <w:rsid w:val="0039133A"/>
    <w:rsid w:val="00391DF8"/>
    <w:rsid w:val="0039218A"/>
    <w:rsid w:val="0039221F"/>
    <w:rsid w:val="0039261A"/>
    <w:rsid w:val="003928D4"/>
    <w:rsid w:val="00392B6B"/>
    <w:rsid w:val="00392FB8"/>
    <w:rsid w:val="00393180"/>
    <w:rsid w:val="0039345D"/>
    <w:rsid w:val="00393601"/>
    <w:rsid w:val="00393A4E"/>
    <w:rsid w:val="00394577"/>
    <w:rsid w:val="00394AD9"/>
    <w:rsid w:val="00394C03"/>
    <w:rsid w:val="00394D72"/>
    <w:rsid w:val="00395801"/>
    <w:rsid w:val="00395AC9"/>
    <w:rsid w:val="00396869"/>
    <w:rsid w:val="00396A61"/>
    <w:rsid w:val="00396C06"/>
    <w:rsid w:val="003978C7"/>
    <w:rsid w:val="00397EDC"/>
    <w:rsid w:val="003A02A0"/>
    <w:rsid w:val="003A0805"/>
    <w:rsid w:val="003A0829"/>
    <w:rsid w:val="003A0AD7"/>
    <w:rsid w:val="003A0BDD"/>
    <w:rsid w:val="003A108F"/>
    <w:rsid w:val="003A129B"/>
    <w:rsid w:val="003A13F3"/>
    <w:rsid w:val="003A1BFE"/>
    <w:rsid w:val="003A262E"/>
    <w:rsid w:val="003A2A77"/>
    <w:rsid w:val="003A2FF6"/>
    <w:rsid w:val="003A30EE"/>
    <w:rsid w:val="003A33D9"/>
    <w:rsid w:val="003A37EA"/>
    <w:rsid w:val="003A3E97"/>
    <w:rsid w:val="003A4885"/>
    <w:rsid w:val="003A494C"/>
    <w:rsid w:val="003A6344"/>
    <w:rsid w:val="003A7604"/>
    <w:rsid w:val="003A78B2"/>
    <w:rsid w:val="003A7C18"/>
    <w:rsid w:val="003A7C9F"/>
    <w:rsid w:val="003A7FF5"/>
    <w:rsid w:val="003B02A3"/>
    <w:rsid w:val="003B05C1"/>
    <w:rsid w:val="003B0811"/>
    <w:rsid w:val="003B0BB2"/>
    <w:rsid w:val="003B0D47"/>
    <w:rsid w:val="003B13A0"/>
    <w:rsid w:val="003B2A59"/>
    <w:rsid w:val="003B33BD"/>
    <w:rsid w:val="003B36E1"/>
    <w:rsid w:val="003B37DD"/>
    <w:rsid w:val="003B44A1"/>
    <w:rsid w:val="003B46CD"/>
    <w:rsid w:val="003B476D"/>
    <w:rsid w:val="003B54E6"/>
    <w:rsid w:val="003B57F7"/>
    <w:rsid w:val="003B5CE9"/>
    <w:rsid w:val="003B6B17"/>
    <w:rsid w:val="003B6EF4"/>
    <w:rsid w:val="003B7184"/>
    <w:rsid w:val="003B7C8A"/>
    <w:rsid w:val="003C0D21"/>
    <w:rsid w:val="003C0ED6"/>
    <w:rsid w:val="003C105A"/>
    <w:rsid w:val="003C118C"/>
    <w:rsid w:val="003C1987"/>
    <w:rsid w:val="003C1B39"/>
    <w:rsid w:val="003C1B95"/>
    <w:rsid w:val="003C1C2D"/>
    <w:rsid w:val="003C21DD"/>
    <w:rsid w:val="003C3667"/>
    <w:rsid w:val="003C38FB"/>
    <w:rsid w:val="003C3D7A"/>
    <w:rsid w:val="003C49DB"/>
    <w:rsid w:val="003C56D5"/>
    <w:rsid w:val="003C58A7"/>
    <w:rsid w:val="003C5B6E"/>
    <w:rsid w:val="003C6225"/>
    <w:rsid w:val="003C62BF"/>
    <w:rsid w:val="003C7600"/>
    <w:rsid w:val="003C7756"/>
    <w:rsid w:val="003C7A33"/>
    <w:rsid w:val="003C7E7B"/>
    <w:rsid w:val="003D023E"/>
    <w:rsid w:val="003D0A64"/>
    <w:rsid w:val="003D0F52"/>
    <w:rsid w:val="003D31D4"/>
    <w:rsid w:val="003D328C"/>
    <w:rsid w:val="003D348E"/>
    <w:rsid w:val="003D3600"/>
    <w:rsid w:val="003D3668"/>
    <w:rsid w:val="003D4AD2"/>
    <w:rsid w:val="003D4EBA"/>
    <w:rsid w:val="003D52CC"/>
    <w:rsid w:val="003D592C"/>
    <w:rsid w:val="003D616F"/>
    <w:rsid w:val="003D662D"/>
    <w:rsid w:val="003D767C"/>
    <w:rsid w:val="003D7849"/>
    <w:rsid w:val="003D7DD1"/>
    <w:rsid w:val="003E038F"/>
    <w:rsid w:val="003E03A7"/>
    <w:rsid w:val="003E050A"/>
    <w:rsid w:val="003E0986"/>
    <w:rsid w:val="003E14F4"/>
    <w:rsid w:val="003E158C"/>
    <w:rsid w:val="003E336C"/>
    <w:rsid w:val="003E4AF7"/>
    <w:rsid w:val="003E52C1"/>
    <w:rsid w:val="003E645B"/>
    <w:rsid w:val="003E647B"/>
    <w:rsid w:val="003E64E2"/>
    <w:rsid w:val="003E670B"/>
    <w:rsid w:val="003E6868"/>
    <w:rsid w:val="003E70DE"/>
    <w:rsid w:val="003E78A0"/>
    <w:rsid w:val="003E7A79"/>
    <w:rsid w:val="003F05F7"/>
    <w:rsid w:val="003F07D0"/>
    <w:rsid w:val="003F0A55"/>
    <w:rsid w:val="003F0BB2"/>
    <w:rsid w:val="003F1462"/>
    <w:rsid w:val="003F1A16"/>
    <w:rsid w:val="003F2038"/>
    <w:rsid w:val="003F2851"/>
    <w:rsid w:val="003F30E2"/>
    <w:rsid w:val="003F33EC"/>
    <w:rsid w:val="003F39D9"/>
    <w:rsid w:val="003F3E0F"/>
    <w:rsid w:val="003F47E9"/>
    <w:rsid w:val="003F4AFE"/>
    <w:rsid w:val="003F4FB1"/>
    <w:rsid w:val="003F5400"/>
    <w:rsid w:val="003F5C52"/>
    <w:rsid w:val="003F633A"/>
    <w:rsid w:val="003F675A"/>
    <w:rsid w:val="003F68BD"/>
    <w:rsid w:val="003F69E8"/>
    <w:rsid w:val="003F7679"/>
    <w:rsid w:val="003F78D5"/>
    <w:rsid w:val="00400803"/>
    <w:rsid w:val="0040086D"/>
    <w:rsid w:val="00400D6E"/>
    <w:rsid w:val="00400E82"/>
    <w:rsid w:val="004025C8"/>
    <w:rsid w:val="0040260A"/>
    <w:rsid w:val="00402A3D"/>
    <w:rsid w:val="00403595"/>
    <w:rsid w:val="0040361B"/>
    <w:rsid w:val="0040399A"/>
    <w:rsid w:val="00403BAF"/>
    <w:rsid w:val="00404049"/>
    <w:rsid w:val="00404469"/>
    <w:rsid w:val="004045A3"/>
    <w:rsid w:val="00404B72"/>
    <w:rsid w:val="0040613B"/>
    <w:rsid w:val="004067EE"/>
    <w:rsid w:val="00406CB9"/>
    <w:rsid w:val="004073FD"/>
    <w:rsid w:val="00407669"/>
    <w:rsid w:val="00407868"/>
    <w:rsid w:val="00407FAE"/>
    <w:rsid w:val="00410F83"/>
    <w:rsid w:val="00411402"/>
    <w:rsid w:val="00412A4D"/>
    <w:rsid w:val="00412DEE"/>
    <w:rsid w:val="00412E00"/>
    <w:rsid w:val="00413044"/>
    <w:rsid w:val="00413602"/>
    <w:rsid w:val="004142C9"/>
    <w:rsid w:val="0041463F"/>
    <w:rsid w:val="00415267"/>
    <w:rsid w:val="0041544C"/>
    <w:rsid w:val="00415CD5"/>
    <w:rsid w:val="004162B1"/>
    <w:rsid w:val="00416BAB"/>
    <w:rsid w:val="004179C1"/>
    <w:rsid w:val="00417C12"/>
    <w:rsid w:val="00420284"/>
    <w:rsid w:val="00421018"/>
    <w:rsid w:val="004212D9"/>
    <w:rsid w:val="00421691"/>
    <w:rsid w:val="004228A0"/>
    <w:rsid w:val="00423916"/>
    <w:rsid w:val="00423D17"/>
    <w:rsid w:val="00423F1D"/>
    <w:rsid w:val="00424695"/>
    <w:rsid w:val="00425158"/>
    <w:rsid w:val="0042519B"/>
    <w:rsid w:val="00426143"/>
    <w:rsid w:val="004263E0"/>
    <w:rsid w:val="00427983"/>
    <w:rsid w:val="00427C67"/>
    <w:rsid w:val="00427DB1"/>
    <w:rsid w:val="0043048A"/>
    <w:rsid w:val="00430736"/>
    <w:rsid w:val="00430817"/>
    <w:rsid w:val="00430ED9"/>
    <w:rsid w:val="00431A95"/>
    <w:rsid w:val="00432045"/>
    <w:rsid w:val="00432219"/>
    <w:rsid w:val="004324BA"/>
    <w:rsid w:val="004327CF"/>
    <w:rsid w:val="00432AC1"/>
    <w:rsid w:val="00432E25"/>
    <w:rsid w:val="00433E06"/>
    <w:rsid w:val="004341F2"/>
    <w:rsid w:val="00434770"/>
    <w:rsid w:val="00434BD5"/>
    <w:rsid w:val="004350B0"/>
    <w:rsid w:val="004355F5"/>
    <w:rsid w:val="00435DA5"/>
    <w:rsid w:val="004360F9"/>
    <w:rsid w:val="00437255"/>
    <w:rsid w:val="00437680"/>
    <w:rsid w:val="004376EE"/>
    <w:rsid w:val="00440BB8"/>
    <w:rsid w:val="004412AC"/>
    <w:rsid w:val="00441573"/>
    <w:rsid w:val="00441607"/>
    <w:rsid w:val="004418D7"/>
    <w:rsid w:val="00441ADC"/>
    <w:rsid w:val="00441F33"/>
    <w:rsid w:val="00442B64"/>
    <w:rsid w:val="00442D1D"/>
    <w:rsid w:val="0044346C"/>
    <w:rsid w:val="00443F2B"/>
    <w:rsid w:val="00444BF6"/>
    <w:rsid w:val="00444C47"/>
    <w:rsid w:val="00444D2F"/>
    <w:rsid w:val="00445027"/>
    <w:rsid w:val="00445143"/>
    <w:rsid w:val="004456D8"/>
    <w:rsid w:val="004459B1"/>
    <w:rsid w:val="0044751C"/>
    <w:rsid w:val="00447F46"/>
    <w:rsid w:val="00450140"/>
    <w:rsid w:val="00450A68"/>
    <w:rsid w:val="00450C23"/>
    <w:rsid w:val="00450D05"/>
    <w:rsid w:val="004516FF"/>
    <w:rsid w:val="00451E8A"/>
    <w:rsid w:val="00451F38"/>
    <w:rsid w:val="0045227F"/>
    <w:rsid w:val="0045252F"/>
    <w:rsid w:val="00452A38"/>
    <w:rsid w:val="00452C4D"/>
    <w:rsid w:val="0045365E"/>
    <w:rsid w:val="004538BD"/>
    <w:rsid w:val="00454089"/>
    <w:rsid w:val="0045488B"/>
    <w:rsid w:val="00454B65"/>
    <w:rsid w:val="00455301"/>
    <w:rsid w:val="00455873"/>
    <w:rsid w:val="00455B38"/>
    <w:rsid w:val="00455D60"/>
    <w:rsid w:val="00456416"/>
    <w:rsid w:val="00456A77"/>
    <w:rsid w:val="00456DB3"/>
    <w:rsid w:val="00457632"/>
    <w:rsid w:val="00457B80"/>
    <w:rsid w:val="00460128"/>
    <w:rsid w:val="00460C04"/>
    <w:rsid w:val="004610CF"/>
    <w:rsid w:val="0046138E"/>
    <w:rsid w:val="004615E6"/>
    <w:rsid w:val="00461644"/>
    <w:rsid w:val="004623AE"/>
    <w:rsid w:val="00463188"/>
    <w:rsid w:val="0046327C"/>
    <w:rsid w:val="004635B2"/>
    <w:rsid w:val="00463A34"/>
    <w:rsid w:val="00463BF1"/>
    <w:rsid w:val="004644C2"/>
    <w:rsid w:val="004647DF"/>
    <w:rsid w:val="00464D36"/>
    <w:rsid w:val="00465241"/>
    <w:rsid w:val="0046706B"/>
    <w:rsid w:val="00467108"/>
    <w:rsid w:val="00470190"/>
    <w:rsid w:val="004703F5"/>
    <w:rsid w:val="00470CA6"/>
    <w:rsid w:val="00470D3D"/>
    <w:rsid w:val="00470E20"/>
    <w:rsid w:val="00471039"/>
    <w:rsid w:val="004713B2"/>
    <w:rsid w:val="00471E16"/>
    <w:rsid w:val="004724A5"/>
    <w:rsid w:val="0047313D"/>
    <w:rsid w:val="004745CA"/>
    <w:rsid w:val="00474DE8"/>
    <w:rsid w:val="00475182"/>
    <w:rsid w:val="004754C2"/>
    <w:rsid w:val="004759FA"/>
    <w:rsid w:val="004766E4"/>
    <w:rsid w:val="00476867"/>
    <w:rsid w:val="00476AE9"/>
    <w:rsid w:val="00476B1D"/>
    <w:rsid w:val="00477448"/>
    <w:rsid w:val="00477948"/>
    <w:rsid w:val="004809FE"/>
    <w:rsid w:val="00480A16"/>
    <w:rsid w:val="00480BB4"/>
    <w:rsid w:val="00480DA7"/>
    <w:rsid w:val="00480F76"/>
    <w:rsid w:val="004815C6"/>
    <w:rsid w:val="00481E92"/>
    <w:rsid w:val="00482425"/>
    <w:rsid w:val="0048272C"/>
    <w:rsid w:val="00482797"/>
    <w:rsid w:val="0048297B"/>
    <w:rsid w:val="00482CFC"/>
    <w:rsid w:val="00483AAA"/>
    <w:rsid w:val="0048554B"/>
    <w:rsid w:val="004857DB"/>
    <w:rsid w:val="00485FEE"/>
    <w:rsid w:val="00486C9D"/>
    <w:rsid w:val="00487462"/>
    <w:rsid w:val="00490893"/>
    <w:rsid w:val="00490CE0"/>
    <w:rsid w:val="004913BB"/>
    <w:rsid w:val="00491575"/>
    <w:rsid w:val="00491771"/>
    <w:rsid w:val="00491AAD"/>
    <w:rsid w:val="004922EB"/>
    <w:rsid w:val="00492E75"/>
    <w:rsid w:val="00493B23"/>
    <w:rsid w:val="004941DA"/>
    <w:rsid w:val="0049422C"/>
    <w:rsid w:val="00495930"/>
    <w:rsid w:val="0049651C"/>
    <w:rsid w:val="00496B14"/>
    <w:rsid w:val="00496B5D"/>
    <w:rsid w:val="004970CB"/>
    <w:rsid w:val="004973BC"/>
    <w:rsid w:val="00497E93"/>
    <w:rsid w:val="004A119C"/>
    <w:rsid w:val="004A11D4"/>
    <w:rsid w:val="004A11F8"/>
    <w:rsid w:val="004A1216"/>
    <w:rsid w:val="004A132C"/>
    <w:rsid w:val="004A1996"/>
    <w:rsid w:val="004A1CBA"/>
    <w:rsid w:val="004A29CE"/>
    <w:rsid w:val="004A2E4F"/>
    <w:rsid w:val="004A3188"/>
    <w:rsid w:val="004A3C46"/>
    <w:rsid w:val="004A5460"/>
    <w:rsid w:val="004A5B7A"/>
    <w:rsid w:val="004A64FC"/>
    <w:rsid w:val="004A6AA2"/>
    <w:rsid w:val="004A6C68"/>
    <w:rsid w:val="004A6CBB"/>
    <w:rsid w:val="004A7153"/>
    <w:rsid w:val="004B0E25"/>
    <w:rsid w:val="004B12B6"/>
    <w:rsid w:val="004B1B9B"/>
    <w:rsid w:val="004B25FB"/>
    <w:rsid w:val="004B332B"/>
    <w:rsid w:val="004B49B3"/>
    <w:rsid w:val="004B49D4"/>
    <w:rsid w:val="004B4D9E"/>
    <w:rsid w:val="004B52B5"/>
    <w:rsid w:val="004B539F"/>
    <w:rsid w:val="004B5EC6"/>
    <w:rsid w:val="004B6585"/>
    <w:rsid w:val="004B6686"/>
    <w:rsid w:val="004B669A"/>
    <w:rsid w:val="004B6940"/>
    <w:rsid w:val="004B6D02"/>
    <w:rsid w:val="004B718E"/>
    <w:rsid w:val="004B719B"/>
    <w:rsid w:val="004B7448"/>
    <w:rsid w:val="004B77C6"/>
    <w:rsid w:val="004B7BB2"/>
    <w:rsid w:val="004C006C"/>
    <w:rsid w:val="004C237A"/>
    <w:rsid w:val="004C2642"/>
    <w:rsid w:val="004C2A19"/>
    <w:rsid w:val="004C2C25"/>
    <w:rsid w:val="004C2F55"/>
    <w:rsid w:val="004C35BA"/>
    <w:rsid w:val="004C4094"/>
    <w:rsid w:val="004C43A3"/>
    <w:rsid w:val="004C522D"/>
    <w:rsid w:val="004C5486"/>
    <w:rsid w:val="004C5D1F"/>
    <w:rsid w:val="004C5D37"/>
    <w:rsid w:val="004C63AD"/>
    <w:rsid w:val="004C6483"/>
    <w:rsid w:val="004C684F"/>
    <w:rsid w:val="004C6C53"/>
    <w:rsid w:val="004C6F3B"/>
    <w:rsid w:val="004D0908"/>
    <w:rsid w:val="004D2DFE"/>
    <w:rsid w:val="004D306B"/>
    <w:rsid w:val="004D32D4"/>
    <w:rsid w:val="004D3342"/>
    <w:rsid w:val="004D34E6"/>
    <w:rsid w:val="004D3837"/>
    <w:rsid w:val="004D390A"/>
    <w:rsid w:val="004D3EB2"/>
    <w:rsid w:val="004D4225"/>
    <w:rsid w:val="004D483C"/>
    <w:rsid w:val="004D57AE"/>
    <w:rsid w:val="004D57D8"/>
    <w:rsid w:val="004D6C5A"/>
    <w:rsid w:val="004D7031"/>
    <w:rsid w:val="004D732E"/>
    <w:rsid w:val="004D7609"/>
    <w:rsid w:val="004E06DA"/>
    <w:rsid w:val="004E0B43"/>
    <w:rsid w:val="004E0DAB"/>
    <w:rsid w:val="004E14F1"/>
    <w:rsid w:val="004E1819"/>
    <w:rsid w:val="004E1F86"/>
    <w:rsid w:val="004E24AD"/>
    <w:rsid w:val="004E3181"/>
    <w:rsid w:val="004E4371"/>
    <w:rsid w:val="004E5047"/>
    <w:rsid w:val="004E54BD"/>
    <w:rsid w:val="004E5A3D"/>
    <w:rsid w:val="004E6AB5"/>
    <w:rsid w:val="004E6F1A"/>
    <w:rsid w:val="004E6F54"/>
    <w:rsid w:val="004E70A2"/>
    <w:rsid w:val="004E72E3"/>
    <w:rsid w:val="004E730D"/>
    <w:rsid w:val="004F0891"/>
    <w:rsid w:val="004F0D0A"/>
    <w:rsid w:val="004F2628"/>
    <w:rsid w:val="004F340B"/>
    <w:rsid w:val="004F42FB"/>
    <w:rsid w:val="004F4FA6"/>
    <w:rsid w:val="004F57B0"/>
    <w:rsid w:val="004F5BF2"/>
    <w:rsid w:val="004F6F7E"/>
    <w:rsid w:val="004F7CCC"/>
    <w:rsid w:val="005000DF"/>
    <w:rsid w:val="00500DB0"/>
    <w:rsid w:val="00500E40"/>
    <w:rsid w:val="00501740"/>
    <w:rsid w:val="00501889"/>
    <w:rsid w:val="00501921"/>
    <w:rsid w:val="00501DFF"/>
    <w:rsid w:val="00502588"/>
    <w:rsid w:val="00504C65"/>
    <w:rsid w:val="005050C6"/>
    <w:rsid w:val="0050538B"/>
    <w:rsid w:val="00505738"/>
    <w:rsid w:val="00505796"/>
    <w:rsid w:val="00506780"/>
    <w:rsid w:val="005067A4"/>
    <w:rsid w:val="005068BD"/>
    <w:rsid w:val="00506D63"/>
    <w:rsid w:val="00506E27"/>
    <w:rsid w:val="005071C2"/>
    <w:rsid w:val="00507BFB"/>
    <w:rsid w:val="0051008E"/>
    <w:rsid w:val="00510131"/>
    <w:rsid w:val="0051015C"/>
    <w:rsid w:val="00510A03"/>
    <w:rsid w:val="00510FB1"/>
    <w:rsid w:val="00511A51"/>
    <w:rsid w:val="00511BB8"/>
    <w:rsid w:val="00511DAB"/>
    <w:rsid w:val="00511EE4"/>
    <w:rsid w:val="00511F05"/>
    <w:rsid w:val="005121BA"/>
    <w:rsid w:val="0051289F"/>
    <w:rsid w:val="00513D61"/>
    <w:rsid w:val="00513E6D"/>
    <w:rsid w:val="0051438B"/>
    <w:rsid w:val="0051501E"/>
    <w:rsid w:val="005162A3"/>
    <w:rsid w:val="005166DF"/>
    <w:rsid w:val="00516F46"/>
    <w:rsid w:val="0051726E"/>
    <w:rsid w:val="00517D5F"/>
    <w:rsid w:val="005207D9"/>
    <w:rsid w:val="00520B9B"/>
    <w:rsid w:val="00521504"/>
    <w:rsid w:val="0052181B"/>
    <w:rsid w:val="005219A6"/>
    <w:rsid w:val="00522CAA"/>
    <w:rsid w:val="00522CFB"/>
    <w:rsid w:val="00522E35"/>
    <w:rsid w:val="00523078"/>
    <w:rsid w:val="0052319D"/>
    <w:rsid w:val="00525008"/>
    <w:rsid w:val="00525C6A"/>
    <w:rsid w:val="0052603B"/>
    <w:rsid w:val="005262F3"/>
    <w:rsid w:val="0052683A"/>
    <w:rsid w:val="005268B1"/>
    <w:rsid w:val="00526C20"/>
    <w:rsid w:val="00526D5E"/>
    <w:rsid w:val="0052752E"/>
    <w:rsid w:val="00527BD1"/>
    <w:rsid w:val="005303D3"/>
    <w:rsid w:val="0053140B"/>
    <w:rsid w:val="00531AD0"/>
    <w:rsid w:val="00531DB0"/>
    <w:rsid w:val="005327D0"/>
    <w:rsid w:val="00532B9C"/>
    <w:rsid w:val="0053355B"/>
    <w:rsid w:val="005335F9"/>
    <w:rsid w:val="00533659"/>
    <w:rsid w:val="0053484E"/>
    <w:rsid w:val="0053563D"/>
    <w:rsid w:val="005357BC"/>
    <w:rsid w:val="0053603D"/>
    <w:rsid w:val="00536210"/>
    <w:rsid w:val="00536BCC"/>
    <w:rsid w:val="00537A42"/>
    <w:rsid w:val="0054035D"/>
    <w:rsid w:val="0054050E"/>
    <w:rsid w:val="00540596"/>
    <w:rsid w:val="00540B58"/>
    <w:rsid w:val="00540FA2"/>
    <w:rsid w:val="005410A9"/>
    <w:rsid w:val="005411A3"/>
    <w:rsid w:val="005415E9"/>
    <w:rsid w:val="00541AA9"/>
    <w:rsid w:val="00541DF7"/>
    <w:rsid w:val="00542158"/>
    <w:rsid w:val="005422CE"/>
    <w:rsid w:val="00542AB5"/>
    <w:rsid w:val="00542C69"/>
    <w:rsid w:val="005435F2"/>
    <w:rsid w:val="005437EE"/>
    <w:rsid w:val="00543C33"/>
    <w:rsid w:val="0054550D"/>
    <w:rsid w:val="00545D39"/>
    <w:rsid w:val="005468C6"/>
    <w:rsid w:val="00546B7E"/>
    <w:rsid w:val="0054754D"/>
    <w:rsid w:val="0055084E"/>
    <w:rsid w:val="00550BB1"/>
    <w:rsid w:val="005516DD"/>
    <w:rsid w:val="00551D7D"/>
    <w:rsid w:val="00553F8F"/>
    <w:rsid w:val="00554A86"/>
    <w:rsid w:val="00555B63"/>
    <w:rsid w:val="00555BE0"/>
    <w:rsid w:val="00555E9C"/>
    <w:rsid w:val="00556108"/>
    <w:rsid w:val="00556122"/>
    <w:rsid w:val="005565B0"/>
    <w:rsid w:val="005566B8"/>
    <w:rsid w:val="005566EE"/>
    <w:rsid w:val="00557204"/>
    <w:rsid w:val="00557835"/>
    <w:rsid w:val="00560530"/>
    <w:rsid w:val="005625EF"/>
    <w:rsid w:val="005628A3"/>
    <w:rsid w:val="00562A18"/>
    <w:rsid w:val="00562E62"/>
    <w:rsid w:val="00564322"/>
    <w:rsid w:val="00564344"/>
    <w:rsid w:val="00564ECD"/>
    <w:rsid w:val="00565ED9"/>
    <w:rsid w:val="00566001"/>
    <w:rsid w:val="005660EB"/>
    <w:rsid w:val="00566CCC"/>
    <w:rsid w:val="00567446"/>
    <w:rsid w:val="00567C61"/>
    <w:rsid w:val="00570757"/>
    <w:rsid w:val="0057084C"/>
    <w:rsid w:val="0057085A"/>
    <w:rsid w:val="00570A90"/>
    <w:rsid w:val="00570EE2"/>
    <w:rsid w:val="005714A0"/>
    <w:rsid w:val="00571A3C"/>
    <w:rsid w:val="00571A63"/>
    <w:rsid w:val="005724BC"/>
    <w:rsid w:val="005727ED"/>
    <w:rsid w:val="005728CD"/>
    <w:rsid w:val="00573179"/>
    <w:rsid w:val="005736C5"/>
    <w:rsid w:val="00573796"/>
    <w:rsid w:val="00573CE2"/>
    <w:rsid w:val="00574523"/>
    <w:rsid w:val="00574EFA"/>
    <w:rsid w:val="0057556A"/>
    <w:rsid w:val="00575791"/>
    <w:rsid w:val="005761FC"/>
    <w:rsid w:val="00576526"/>
    <w:rsid w:val="005765AB"/>
    <w:rsid w:val="00576A80"/>
    <w:rsid w:val="00576CA9"/>
    <w:rsid w:val="00577149"/>
    <w:rsid w:val="00577569"/>
    <w:rsid w:val="00577795"/>
    <w:rsid w:val="00577C45"/>
    <w:rsid w:val="00577F40"/>
    <w:rsid w:val="0058051A"/>
    <w:rsid w:val="00580581"/>
    <w:rsid w:val="00580B4C"/>
    <w:rsid w:val="00580DB3"/>
    <w:rsid w:val="0058103E"/>
    <w:rsid w:val="005831AB"/>
    <w:rsid w:val="0058338A"/>
    <w:rsid w:val="00583728"/>
    <w:rsid w:val="00583B98"/>
    <w:rsid w:val="00584944"/>
    <w:rsid w:val="00584A2D"/>
    <w:rsid w:val="00584BFE"/>
    <w:rsid w:val="00585125"/>
    <w:rsid w:val="005858E3"/>
    <w:rsid w:val="00585E6D"/>
    <w:rsid w:val="00585EBB"/>
    <w:rsid w:val="0058637E"/>
    <w:rsid w:val="00586AA9"/>
    <w:rsid w:val="005870D0"/>
    <w:rsid w:val="00587590"/>
    <w:rsid w:val="005876A3"/>
    <w:rsid w:val="0059078A"/>
    <w:rsid w:val="00590C11"/>
    <w:rsid w:val="00590D64"/>
    <w:rsid w:val="0059113D"/>
    <w:rsid w:val="0059230D"/>
    <w:rsid w:val="0059234E"/>
    <w:rsid w:val="005923B1"/>
    <w:rsid w:val="0059277D"/>
    <w:rsid w:val="00592B50"/>
    <w:rsid w:val="00593472"/>
    <w:rsid w:val="00593952"/>
    <w:rsid w:val="005941D1"/>
    <w:rsid w:val="00594AA7"/>
    <w:rsid w:val="00594D8D"/>
    <w:rsid w:val="005961A4"/>
    <w:rsid w:val="00596811"/>
    <w:rsid w:val="0059685F"/>
    <w:rsid w:val="005969FF"/>
    <w:rsid w:val="00596C9D"/>
    <w:rsid w:val="00596DE1"/>
    <w:rsid w:val="005970A1"/>
    <w:rsid w:val="00597AFF"/>
    <w:rsid w:val="00597FA6"/>
    <w:rsid w:val="005A0203"/>
    <w:rsid w:val="005A02CC"/>
    <w:rsid w:val="005A043F"/>
    <w:rsid w:val="005A050C"/>
    <w:rsid w:val="005A110F"/>
    <w:rsid w:val="005A1132"/>
    <w:rsid w:val="005A1848"/>
    <w:rsid w:val="005A19E7"/>
    <w:rsid w:val="005A24AD"/>
    <w:rsid w:val="005A29D9"/>
    <w:rsid w:val="005A2EA6"/>
    <w:rsid w:val="005A2EB1"/>
    <w:rsid w:val="005A37C7"/>
    <w:rsid w:val="005A4143"/>
    <w:rsid w:val="005A466B"/>
    <w:rsid w:val="005A55B7"/>
    <w:rsid w:val="005A629D"/>
    <w:rsid w:val="005A65B0"/>
    <w:rsid w:val="005B0733"/>
    <w:rsid w:val="005B0980"/>
    <w:rsid w:val="005B11DF"/>
    <w:rsid w:val="005B160D"/>
    <w:rsid w:val="005B260F"/>
    <w:rsid w:val="005B2773"/>
    <w:rsid w:val="005B43D8"/>
    <w:rsid w:val="005B4E2B"/>
    <w:rsid w:val="005B4F8A"/>
    <w:rsid w:val="005B5105"/>
    <w:rsid w:val="005B52B7"/>
    <w:rsid w:val="005B5419"/>
    <w:rsid w:val="005B564A"/>
    <w:rsid w:val="005B62BC"/>
    <w:rsid w:val="005B64C6"/>
    <w:rsid w:val="005B6740"/>
    <w:rsid w:val="005C00C3"/>
    <w:rsid w:val="005C0F48"/>
    <w:rsid w:val="005C0F65"/>
    <w:rsid w:val="005C13DB"/>
    <w:rsid w:val="005C1B04"/>
    <w:rsid w:val="005C1D39"/>
    <w:rsid w:val="005C23A1"/>
    <w:rsid w:val="005C3C71"/>
    <w:rsid w:val="005C4871"/>
    <w:rsid w:val="005C4886"/>
    <w:rsid w:val="005C4D26"/>
    <w:rsid w:val="005C4E5F"/>
    <w:rsid w:val="005C51D2"/>
    <w:rsid w:val="005C57F8"/>
    <w:rsid w:val="005C5DBC"/>
    <w:rsid w:val="005C6B79"/>
    <w:rsid w:val="005C6E0F"/>
    <w:rsid w:val="005C7489"/>
    <w:rsid w:val="005C7738"/>
    <w:rsid w:val="005C7DA2"/>
    <w:rsid w:val="005D006C"/>
    <w:rsid w:val="005D01C6"/>
    <w:rsid w:val="005D0D46"/>
    <w:rsid w:val="005D0F79"/>
    <w:rsid w:val="005D10C0"/>
    <w:rsid w:val="005D19BD"/>
    <w:rsid w:val="005D1E6C"/>
    <w:rsid w:val="005D2E39"/>
    <w:rsid w:val="005D2FD9"/>
    <w:rsid w:val="005D3405"/>
    <w:rsid w:val="005D36CD"/>
    <w:rsid w:val="005D38EC"/>
    <w:rsid w:val="005D3C71"/>
    <w:rsid w:val="005D3F2E"/>
    <w:rsid w:val="005D3F63"/>
    <w:rsid w:val="005D446E"/>
    <w:rsid w:val="005D47FD"/>
    <w:rsid w:val="005D4BD4"/>
    <w:rsid w:val="005D5138"/>
    <w:rsid w:val="005D659F"/>
    <w:rsid w:val="005D6884"/>
    <w:rsid w:val="005D6CAC"/>
    <w:rsid w:val="005D6F01"/>
    <w:rsid w:val="005D720D"/>
    <w:rsid w:val="005D72E2"/>
    <w:rsid w:val="005D7633"/>
    <w:rsid w:val="005D77EC"/>
    <w:rsid w:val="005D7A5C"/>
    <w:rsid w:val="005E054A"/>
    <w:rsid w:val="005E0973"/>
    <w:rsid w:val="005E1CB6"/>
    <w:rsid w:val="005E1E6D"/>
    <w:rsid w:val="005E201F"/>
    <w:rsid w:val="005E26B6"/>
    <w:rsid w:val="005E2802"/>
    <w:rsid w:val="005E2A07"/>
    <w:rsid w:val="005E3B84"/>
    <w:rsid w:val="005E3DC2"/>
    <w:rsid w:val="005E484D"/>
    <w:rsid w:val="005E5013"/>
    <w:rsid w:val="005E59D2"/>
    <w:rsid w:val="005E5B1F"/>
    <w:rsid w:val="005E60E4"/>
    <w:rsid w:val="005E6448"/>
    <w:rsid w:val="005E7395"/>
    <w:rsid w:val="005E7498"/>
    <w:rsid w:val="005E7D69"/>
    <w:rsid w:val="005E7E51"/>
    <w:rsid w:val="005F0452"/>
    <w:rsid w:val="005F0D13"/>
    <w:rsid w:val="005F140D"/>
    <w:rsid w:val="005F1841"/>
    <w:rsid w:val="005F1C0C"/>
    <w:rsid w:val="005F1D1D"/>
    <w:rsid w:val="005F2D55"/>
    <w:rsid w:val="005F354A"/>
    <w:rsid w:val="005F3DD4"/>
    <w:rsid w:val="005F75D5"/>
    <w:rsid w:val="005F77E6"/>
    <w:rsid w:val="005F7D7B"/>
    <w:rsid w:val="00600C20"/>
    <w:rsid w:val="00600CB3"/>
    <w:rsid w:val="00600D4B"/>
    <w:rsid w:val="006012C7"/>
    <w:rsid w:val="00601F07"/>
    <w:rsid w:val="00603A7F"/>
    <w:rsid w:val="00604057"/>
    <w:rsid w:val="0060417C"/>
    <w:rsid w:val="00604180"/>
    <w:rsid w:val="006046C8"/>
    <w:rsid w:val="00605776"/>
    <w:rsid w:val="00605818"/>
    <w:rsid w:val="00606632"/>
    <w:rsid w:val="00606685"/>
    <w:rsid w:val="00606A87"/>
    <w:rsid w:val="0060763F"/>
    <w:rsid w:val="00610D0C"/>
    <w:rsid w:val="0061113D"/>
    <w:rsid w:val="00611529"/>
    <w:rsid w:val="00613376"/>
    <w:rsid w:val="00613D4C"/>
    <w:rsid w:val="00613FC2"/>
    <w:rsid w:val="0061403B"/>
    <w:rsid w:val="006163B3"/>
    <w:rsid w:val="006171CD"/>
    <w:rsid w:val="00617679"/>
    <w:rsid w:val="006178CD"/>
    <w:rsid w:val="00617B09"/>
    <w:rsid w:val="00617FDF"/>
    <w:rsid w:val="006206A6"/>
    <w:rsid w:val="0062161F"/>
    <w:rsid w:val="00621DA8"/>
    <w:rsid w:val="00621F54"/>
    <w:rsid w:val="00622D85"/>
    <w:rsid w:val="00623920"/>
    <w:rsid w:val="006243B7"/>
    <w:rsid w:val="006243FE"/>
    <w:rsid w:val="00624CD9"/>
    <w:rsid w:val="00625374"/>
    <w:rsid w:val="006264F9"/>
    <w:rsid w:val="00626590"/>
    <w:rsid w:val="006265D6"/>
    <w:rsid w:val="00626917"/>
    <w:rsid w:val="00626D12"/>
    <w:rsid w:val="0062709C"/>
    <w:rsid w:val="00627399"/>
    <w:rsid w:val="0062742C"/>
    <w:rsid w:val="00630B0B"/>
    <w:rsid w:val="00630F39"/>
    <w:rsid w:val="006317C4"/>
    <w:rsid w:val="00632174"/>
    <w:rsid w:val="0063290F"/>
    <w:rsid w:val="00632ABD"/>
    <w:rsid w:val="00632D1C"/>
    <w:rsid w:val="006332B5"/>
    <w:rsid w:val="00633C46"/>
    <w:rsid w:val="00633F04"/>
    <w:rsid w:val="00633FE0"/>
    <w:rsid w:val="00634704"/>
    <w:rsid w:val="006349C9"/>
    <w:rsid w:val="00635967"/>
    <w:rsid w:val="006361BF"/>
    <w:rsid w:val="0063642D"/>
    <w:rsid w:val="00637296"/>
    <w:rsid w:val="00637829"/>
    <w:rsid w:val="00637FAA"/>
    <w:rsid w:val="00640154"/>
    <w:rsid w:val="006408F2"/>
    <w:rsid w:val="00640B14"/>
    <w:rsid w:val="00641BCF"/>
    <w:rsid w:val="00642968"/>
    <w:rsid w:val="006429DD"/>
    <w:rsid w:val="006431CE"/>
    <w:rsid w:val="006435C6"/>
    <w:rsid w:val="0064369A"/>
    <w:rsid w:val="00643B38"/>
    <w:rsid w:val="00643D6D"/>
    <w:rsid w:val="00644324"/>
    <w:rsid w:val="0064456E"/>
    <w:rsid w:val="006446B6"/>
    <w:rsid w:val="006452EC"/>
    <w:rsid w:val="00645C1E"/>
    <w:rsid w:val="006461CB"/>
    <w:rsid w:val="00647263"/>
    <w:rsid w:val="00647B9A"/>
    <w:rsid w:val="00650185"/>
    <w:rsid w:val="00650C93"/>
    <w:rsid w:val="006525FE"/>
    <w:rsid w:val="006530FF"/>
    <w:rsid w:val="0065357F"/>
    <w:rsid w:val="006537E2"/>
    <w:rsid w:val="00654604"/>
    <w:rsid w:val="00654D5B"/>
    <w:rsid w:val="006554FA"/>
    <w:rsid w:val="006555D5"/>
    <w:rsid w:val="00655C2A"/>
    <w:rsid w:val="00656886"/>
    <w:rsid w:val="006602EC"/>
    <w:rsid w:val="0066079F"/>
    <w:rsid w:val="00660C5A"/>
    <w:rsid w:val="00660F3C"/>
    <w:rsid w:val="006610BC"/>
    <w:rsid w:val="00661D6E"/>
    <w:rsid w:val="006621F4"/>
    <w:rsid w:val="00662251"/>
    <w:rsid w:val="00662497"/>
    <w:rsid w:val="00662EA1"/>
    <w:rsid w:val="00663BAE"/>
    <w:rsid w:val="00664C47"/>
    <w:rsid w:val="00664FCD"/>
    <w:rsid w:val="00665263"/>
    <w:rsid w:val="00665396"/>
    <w:rsid w:val="006656F9"/>
    <w:rsid w:val="00666C55"/>
    <w:rsid w:val="00666C7F"/>
    <w:rsid w:val="006673E1"/>
    <w:rsid w:val="0066740D"/>
    <w:rsid w:val="00667693"/>
    <w:rsid w:val="0066775A"/>
    <w:rsid w:val="00667FBD"/>
    <w:rsid w:val="00670083"/>
    <w:rsid w:val="006708FE"/>
    <w:rsid w:val="006713BF"/>
    <w:rsid w:val="00671766"/>
    <w:rsid w:val="00671952"/>
    <w:rsid w:val="00671993"/>
    <w:rsid w:val="00672C6F"/>
    <w:rsid w:val="00672C89"/>
    <w:rsid w:val="006733FA"/>
    <w:rsid w:val="00673FDD"/>
    <w:rsid w:val="00674527"/>
    <w:rsid w:val="00674705"/>
    <w:rsid w:val="00674B9D"/>
    <w:rsid w:val="006752B7"/>
    <w:rsid w:val="00675317"/>
    <w:rsid w:val="006756A4"/>
    <w:rsid w:val="00675892"/>
    <w:rsid w:val="006758FA"/>
    <w:rsid w:val="00675C94"/>
    <w:rsid w:val="00676248"/>
    <w:rsid w:val="0067668C"/>
    <w:rsid w:val="00676E61"/>
    <w:rsid w:val="006778A2"/>
    <w:rsid w:val="00677B75"/>
    <w:rsid w:val="00677E52"/>
    <w:rsid w:val="00677F64"/>
    <w:rsid w:val="0068038F"/>
    <w:rsid w:val="0068048B"/>
    <w:rsid w:val="00680DC1"/>
    <w:rsid w:val="00680F36"/>
    <w:rsid w:val="00680FEF"/>
    <w:rsid w:val="00681E7A"/>
    <w:rsid w:val="0068276E"/>
    <w:rsid w:val="006827B1"/>
    <w:rsid w:val="00682943"/>
    <w:rsid w:val="00682C26"/>
    <w:rsid w:val="00683667"/>
    <w:rsid w:val="00684330"/>
    <w:rsid w:val="006851DA"/>
    <w:rsid w:val="006854A1"/>
    <w:rsid w:val="00686034"/>
    <w:rsid w:val="006866AC"/>
    <w:rsid w:val="00686A82"/>
    <w:rsid w:val="006873B2"/>
    <w:rsid w:val="0068746E"/>
    <w:rsid w:val="00687813"/>
    <w:rsid w:val="00687BBA"/>
    <w:rsid w:val="0069013C"/>
    <w:rsid w:val="006901D3"/>
    <w:rsid w:val="006908D1"/>
    <w:rsid w:val="00692863"/>
    <w:rsid w:val="00692BD5"/>
    <w:rsid w:val="00692FBF"/>
    <w:rsid w:val="0069388B"/>
    <w:rsid w:val="00693965"/>
    <w:rsid w:val="00694112"/>
    <w:rsid w:val="00694EBE"/>
    <w:rsid w:val="006951BF"/>
    <w:rsid w:val="006953F8"/>
    <w:rsid w:val="006958E5"/>
    <w:rsid w:val="00695CB3"/>
    <w:rsid w:val="0069624A"/>
    <w:rsid w:val="00696589"/>
    <w:rsid w:val="0069698E"/>
    <w:rsid w:val="00697E05"/>
    <w:rsid w:val="006A003A"/>
    <w:rsid w:val="006A0274"/>
    <w:rsid w:val="006A07EB"/>
    <w:rsid w:val="006A10A7"/>
    <w:rsid w:val="006A145A"/>
    <w:rsid w:val="006A17DD"/>
    <w:rsid w:val="006A188F"/>
    <w:rsid w:val="006A21C0"/>
    <w:rsid w:val="006A2326"/>
    <w:rsid w:val="006A27E3"/>
    <w:rsid w:val="006A2A1B"/>
    <w:rsid w:val="006A3CED"/>
    <w:rsid w:val="006A4782"/>
    <w:rsid w:val="006A4BF8"/>
    <w:rsid w:val="006A4FC5"/>
    <w:rsid w:val="006A51ED"/>
    <w:rsid w:val="006A5842"/>
    <w:rsid w:val="006A5CAA"/>
    <w:rsid w:val="006A5E4A"/>
    <w:rsid w:val="006A5FCF"/>
    <w:rsid w:val="006A6039"/>
    <w:rsid w:val="006A6876"/>
    <w:rsid w:val="006A6DAB"/>
    <w:rsid w:val="006A70F4"/>
    <w:rsid w:val="006A717A"/>
    <w:rsid w:val="006A7AC5"/>
    <w:rsid w:val="006A7F97"/>
    <w:rsid w:val="006B06B8"/>
    <w:rsid w:val="006B0B57"/>
    <w:rsid w:val="006B0EB7"/>
    <w:rsid w:val="006B1B90"/>
    <w:rsid w:val="006B1CDE"/>
    <w:rsid w:val="006B1F31"/>
    <w:rsid w:val="006B246F"/>
    <w:rsid w:val="006B26FE"/>
    <w:rsid w:val="006B2C23"/>
    <w:rsid w:val="006B2E14"/>
    <w:rsid w:val="006B31D0"/>
    <w:rsid w:val="006B3993"/>
    <w:rsid w:val="006B45C2"/>
    <w:rsid w:val="006B4EB3"/>
    <w:rsid w:val="006B50A3"/>
    <w:rsid w:val="006B5D9D"/>
    <w:rsid w:val="006B6663"/>
    <w:rsid w:val="006B6793"/>
    <w:rsid w:val="006B6809"/>
    <w:rsid w:val="006B7009"/>
    <w:rsid w:val="006B7144"/>
    <w:rsid w:val="006B7214"/>
    <w:rsid w:val="006B745D"/>
    <w:rsid w:val="006B7517"/>
    <w:rsid w:val="006C040A"/>
    <w:rsid w:val="006C0B16"/>
    <w:rsid w:val="006C177C"/>
    <w:rsid w:val="006C1E96"/>
    <w:rsid w:val="006C2833"/>
    <w:rsid w:val="006C29BF"/>
    <w:rsid w:val="006C3065"/>
    <w:rsid w:val="006C35E9"/>
    <w:rsid w:val="006C3625"/>
    <w:rsid w:val="006C385E"/>
    <w:rsid w:val="006C3E7F"/>
    <w:rsid w:val="006C402C"/>
    <w:rsid w:val="006C407D"/>
    <w:rsid w:val="006C424B"/>
    <w:rsid w:val="006C4C40"/>
    <w:rsid w:val="006C56E0"/>
    <w:rsid w:val="006C59DC"/>
    <w:rsid w:val="006C609E"/>
    <w:rsid w:val="006C6657"/>
    <w:rsid w:val="006C67EC"/>
    <w:rsid w:val="006C68B7"/>
    <w:rsid w:val="006D00DD"/>
    <w:rsid w:val="006D0200"/>
    <w:rsid w:val="006D05F3"/>
    <w:rsid w:val="006D0B3F"/>
    <w:rsid w:val="006D0CB5"/>
    <w:rsid w:val="006D12FD"/>
    <w:rsid w:val="006D15F5"/>
    <w:rsid w:val="006D1782"/>
    <w:rsid w:val="006D1CBE"/>
    <w:rsid w:val="006D1CF2"/>
    <w:rsid w:val="006D2059"/>
    <w:rsid w:val="006D2367"/>
    <w:rsid w:val="006D2777"/>
    <w:rsid w:val="006D2E89"/>
    <w:rsid w:val="006D33D8"/>
    <w:rsid w:val="006D47F8"/>
    <w:rsid w:val="006D63B5"/>
    <w:rsid w:val="006D6576"/>
    <w:rsid w:val="006E0172"/>
    <w:rsid w:val="006E0468"/>
    <w:rsid w:val="006E07D9"/>
    <w:rsid w:val="006E09CE"/>
    <w:rsid w:val="006E178D"/>
    <w:rsid w:val="006E1879"/>
    <w:rsid w:val="006E1D8C"/>
    <w:rsid w:val="006E34A2"/>
    <w:rsid w:val="006E3552"/>
    <w:rsid w:val="006E3599"/>
    <w:rsid w:val="006E37B3"/>
    <w:rsid w:val="006E383A"/>
    <w:rsid w:val="006E3952"/>
    <w:rsid w:val="006E4487"/>
    <w:rsid w:val="006E4AEC"/>
    <w:rsid w:val="006E4EEB"/>
    <w:rsid w:val="006E4F0D"/>
    <w:rsid w:val="006E66DE"/>
    <w:rsid w:val="006E67C4"/>
    <w:rsid w:val="006E6A40"/>
    <w:rsid w:val="006E6AE3"/>
    <w:rsid w:val="006E705E"/>
    <w:rsid w:val="006E7C4B"/>
    <w:rsid w:val="006E7CDA"/>
    <w:rsid w:val="006F0877"/>
    <w:rsid w:val="006F08D3"/>
    <w:rsid w:val="006F0EC4"/>
    <w:rsid w:val="006F0FAC"/>
    <w:rsid w:val="006F1640"/>
    <w:rsid w:val="006F1D92"/>
    <w:rsid w:val="006F2163"/>
    <w:rsid w:val="006F2ADC"/>
    <w:rsid w:val="006F3671"/>
    <w:rsid w:val="006F3B5F"/>
    <w:rsid w:val="006F3F8F"/>
    <w:rsid w:val="006F4018"/>
    <w:rsid w:val="006F4A6F"/>
    <w:rsid w:val="006F4D8D"/>
    <w:rsid w:val="006F5197"/>
    <w:rsid w:val="006F53BA"/>
    <w:rsid w:val="006F568E"/>
    <w:rsid w:val="006F56C0"/>
    <w:rsid w:val="006F570E"/>
    <w:rsid w:val="006F58C3"/>
    <w:rsid w:val="006F5D3B"/>
    <w:rsid w:val="006F6379"/>
    <w:rsid w:val="006F6DC3"/>
    <w:rsid w:val="006F6E05"/>
    <w:rsid w:val="006F6F43"/>
    <w:rsid w:val="006F7852"/>
    <w:rsid w:val="006F7B12"/>
    <w:rsid w:val="006F7C2B"/>
    <w:rsid w:val="00700198"/>
    <w:rsid w:val="007006D4"/>
    <w:rsid w:val="00700AE9"/>
    <w:rsid w:val="00700E0B"/>
    <w:rsid w:val="00700FDE"/>
    <w:rsid w:val="007010B1"/>
    <w:rsid w:val="0070177F"/>
    <w:rsid w:val="00701BC2"/>
    <w:rsid w:val="007025A6"/>
    <w:rsid w:val="0070269A"/>
    <w:rsid w:val="00702DF5"/>
    <w:rsid w:val="0070317A"/>
    <w:rsid w:val="00703257"/>
    <w:rsid w:val="0070361F"/>
    <w:rsid w:val="007037FF"/>
    <w:rsid w:val="00704D47"/>
    <w:rsid w:val="00704FB5"/>
    <w:rsid w:val="0070532D"/>
    <w:rsid w:val="00705841"/>
    <w:rsid w:val="00705A2F"/>
    <w:rsid w:val="00706637"/>
    <w:rsid w:val="00706B86"/>
    <w:rsid w:val="00706E82"/>
    <w:rsid w:val="00707B20"/>
    <w:rsid w:val="00707B5E"/>
    <w:rsid w:val="007101D0"/>
    <w:rsid w:val="00710622"/>
    <w:rsid w:val="0071074D"/>
    <w:rsid w:val="00710ADD"/>
    <w:rsid w:val="00710B20"/>
    <w:rsid w:val="00710E27"/>
    <w:rsid w:val="007113FB"/>
    <w:rsid w:val="0071165E"/>
    <w:rsid w:val="00711D96"/>
    <w:rsid w:val="00711FDD"/>
    <w:rsid w:val="00712AB6"/>
    <w:rsid w:val="00712D5D"/>
    <w:rsid w:val="00713506"/>
    <w:rsid w:val="007137AA"/>
    <w:rsid w:val="00713FE3"/>
    <w:rsid w:val="00714AEC"/>
    <w:rsid w:val="00714E49"/>
    <w:rsid w:val="0071514B"/>
    <w:rsid w:val="007158DF"/>
    <w:rsid w:val="00716431"/>
    <w:rsid w:val="00716829"/>
    <w:rsid w:val="00716962"/>
    <w:rsid w:val="00717354"/>
    <w:rsid w:val="007179E9"/>
    <w:rsid w:val="00717CF8"/>
    <w:rsid w:val="00720B79"/>
    <w:rsid w:val="00720DBD"/>
    <w:rsid w:val="00721B82"/>
    <w:rsid w:val="00721FAE"/>
    <w:rsid w:val="00722098"/>
    <w:rsid w:val="0072243F"/>
    <w:rsid w:val="00722932"/>
    <w:rsid w:val="00723062"/>
    <w:rsid w:val="007233B1"/>
    <w:rsid w:val="00723440"/>
    <w:rsid w:val="00724A55"/>
    <w:rsid w:val="00724C35"/>
    <w:rsid w:val="00724C5E"/>
    <w:rsid w:val="0072573D"/>
    <w:rsid w:val="00725774"/>
    <w:rsid w:val="007266D3"/>
    <w:rsid w:val="00726CF7"/>
    <w:rsid w:val="007308DF"/>
    <w:rsid w:val="007314E5"/>
    <w:rsid w:val="00731978"/>
    <w:rsid w:val="00731F41"/>
    <w:rsid w:val="007322FA"/>
    <w:rsid w:val="00733304"/>
    <w:rsid w:val="00733990"/>
    <w:rsid w:val="00733BC2"/>
    <w:rsid w:val="007356A0"/>
    <w:rsid w:val="00735ADE"/>
    <w:rsid w:val="00735B26"/>
    <w:rsid w:val="0073683C"/>
    <w:rsid w:val="00736B10"/>
    <w:rsid w:val="00740A4B"/>
    <w:rsid w:val="00740A56"/>
    <w:rsid w:val="00741543"/>
    <w:rsid w:val="007415BE"/>
    <w:rsid w:val="00741C32"/>
    <w:rsid w:val="007425BB"/>
    <w:rsid w:val="00742937"/>
    <w:rsid w:val="00742E40"/>
    <w:rsid w:val="007438C4"/>
    <w:rsid w:val="00743D0A"/>
    <w:rsid w:val="007440A8"/>
    <w:rsid w:val="007441E9"/>
    <w:rsid w:val="0074439A"/>
    <w:rsid w:val="00744AEF"/>
    <w:rsid w:val="00744BE3"/>
    <w:rsid w:val="00745F1C"/>
    <w:rsid w:val="007460A3"/>
    <w:rsid w:val="00747276"/>
    <w:rsid w:val="00747344"/>
    <w:rsid w:val="007474FC"/>
    <w:rsid w:val="00750907"/>
    <w:rsid w:val="00750BED"/>
    <w:rsid w:val="007512C2"/>
    <w:rsid w:val="007516E0"/>
    <w:rsid w:val="00751DEE"/>
    <w:rsid w:val="00752BDC"/>
    <w:rsid w:val="00752F8E"/>
    <w:rsid w:val="00753330"/>
    <w:rsid w:val="00753C11"/>
    <w:rsid w:val="00754171"/>
    <w:rsid w:val="0075438F"/>
    <w:rsid w:val="00754DAA"/>
    <w:rsid w:val="0075528B"/>
    <w:rsid w:val="00755803"/>
    <w:rsid w:val="00756281"/>
    <w:rsid w:val="00756658"/>
    <w:rsid w:val="007570C2"/>
    <w:rsid w:val="007572D5"/>
    <w:rsid w:val="00757451"/>
    <w:rsid w:val="007603A6"/>
    <w:rsid w:val="00761366"/>
    <w:rsid w:val="00761799"/>
    <w:rsid w:val="00761DD0"/>
    <w:rsid w:val="00762EB9"/>
    <w:rsid w:val="00763420"/>
    <w:rsid w:val="0076343E"/>
    <w:rsid w:val="0076398A"/>
    <w:rsid w:val="00763FC5"/>
    <w:rsid w:val="0076437B"/>
    <w:rsid w:val="0076529D"/>
    <w:rsid w:val="00765AB4"/>
    <w:rsid w:val="007704D0"/>
    <w:rsid w:val="00770526"/>
    <w:rsid w:val="00771A28"/>
    <w:rsid w:val="007729F0"/>
    <w:rsid w:val="00773683"/>
    <w:rsid w:val="00773DE4"/>
    <w:rsid w:val="00773F26"/>
    <w:rsid w:val="0077476D"/>
    <w:rsid w:val="00775170"/>
    <w:rsid w:val="00775852"/>
    <w:rsid w:val="00775F6C"/>
    <w:rsid w:val="007761DA"/>
    <w:rsid w:val="00776305"/>
    <w:rsid w:val="00776F56"/>
    <w:rsid w:val="0077721C"/>
    <w:rsid w:val="00777B66"/>
    <w:rsid w:val="00777F85"/>
    <w:rsid w:val="00780282"/>
    <w:rsid w:val="007811D8"/>
    <w:rsid w:val="00781F63"/>
    <w:rsid w:val="00782165"/>
    <w:rsid w:val="00782832"/>
    <w:rsid w:val="00782A36"/>
    <w:rsid w:val="00782AFB"/>
    <w:rsid w:val="00782DCE"/>
    <w:rsid w:val="00783905"/>
    <w:rsid w:val="007839AC"/>
    <w:rsid w:val="00783D00"/>
    <w:rsid w:val="00784399"/>
    <w:rsid w:val="00784730"/>
    <w:rsid w:val="007848F0"/>
    <w:rsid w:val="00784A60"/>
    <w:rsid w:val="00784D5E"/>
    <w:rsid w:val="00785501"/>
    <w:rsid w:val="007857D4"/>
    <w:rsid w:val="00785C87"/>
    <w:rsid w:val="00785EE5"/>
    <w:rsid w:val="00787B5C"/>
    <w:rsid w:val="00790BBB"/>
    <w:rsid w:val="00790BC6"/>
    <w:rsid w:val="00790EBE"/>
    <w:rsid w:val="007918B3"/>
    <w:rsid w:val="00791ABE"/>
    <w:rsid w:val="00791B4B"/>
    <w:rsid w:val="00791D0E"/>
    <w:rsid w:val="0079287A"/>
    <w:rsid w:val="007930F2"/>
    <w:rsid w:val="00793714"/>
    <w:rsid w:val="007937DE"/>
    <w:rsid w:val="00794718"/>
    <w:rsid w:val="007948A5"/>
    <w:rsid w:val="00794CB6"/>
    <w:rsid w:val="007950D7"/>
    <w:rsid w:val="00795ABE"/>
    <w:rsid w:val="00795D87"/>
    <w:rsid w:val="00796429"/>
    <w:rsid w:val="00796A03"/>
    <w:rsid w:val="00796D29"/>
    <w:rsid w:val="00797003"/>
    <w:rsid w:val="00797332"/>
    <w:rsid w:val="00797378"/>
    <w:rsid w:val="007977CE"/>
    <w:rsid w:val="007A0656"/>
    <w:rsid w:val="007A0765"/>
    <w:rsid w:val="007A097D"/>
    <w:rsid w:val="007A0ABC"/>
    <w:rsid w:val="007A0CE7"/>
    <w:rsid w:val="007A1173"/>
    <w:rsid w:val="007A153E"/>
    <w:rsid w:val="007A1DC2"/>
    <w:rsid w:val="007A1E59"/>
    <w:rsid w:val="007A25B6"/>
    <w:rsid w:val="007A2852"/>
    <w:rsid w:val="007A29BE"/>
    <w:rsid w:val="007A2FE3"/>
    <w:rsid w:val="007A33D8"/>
    <w:rsid w:val="007A373C"/>
    <w:rsid w:val="007A3A51"/>
    <w:rsid w:val="007A3D27"/>
    <w:rsid w:val="007A3F54"/>
    <w:rsid w:val="007A436F"/>
    <w:rsid w:val="007A5368"/>
    <w:rsid w:val="007A5780"/>
    <w:rsid w:val="007A57E1"/>
    <w:rsid w:val="007A635D"/>
    <w:rsid w:val="007A65F1"/>
    <w:rsid w:val="007A66E6"/>
    <w:rsid w:val="007A67C2"/>
    <w:rsid w:val="007A6F79"/>
    <w:rsid w:val="007A701D"/>
    <w:rsid w:val="007A706E"/>
    <w:rsid w:val="007A7665"/>
    <w:rsid w:val="007A7666"/>
    <w:rsid w:val="007A788D"/>
    <w:rsid w:val="007B039F"/>
    <w:rsid w:val="007B160F"/>
    <w:rsid w:val="007B1BA2"/>
    <w:rsid w:val="007B1D75"/>
    <w:rsid w:val="007B226D"/>
    <w:rsid w:val="007B331D"/>
    <w:rsid w:val="007B3B86"/>
    <w:rsid w:val="007B3DF2"/>
    <w:rsid w:val="007B3F8B"/>
    <w:rsid w:val="007B407D"/>
    <w:rsid w:val="007B4123"/>
    <w:rsid w:val="007B4B76"/>
    <w:rsid w:val="007B4CE1"/>
    <w:rsid w:val="007B5C90"/>
    <w:rsid w:val="007B602B"/>
    <w:rsid w:val="007B6088"/>
    <w:rsid w:val="007B6338"/>
    <w:rsid w:val="007B762B"/>
    <w:rsid w:val="007B7F70"/>
    <w:rsid w:val="007C0217"/>
    <w:rsid w:val="007C0266"/>
    <w:rsid w:val="007C05B9"/>
    <w:rsid w:val="007C0924"/>
    <w:rsid w:val="007C1D88"/>
    <w:rsid w:val="007C2100"/>
    <w:rsid w:val="007C2B54"/>
    <w:rsid w:val="007C2CC6"/>
    <w:rsid w:val="007C34FD"/>
    <w:rsid w:val="007C41D7"/>
    <w:rsid w:val="007C436B"/>
    <w:rsid w:val="007C48B7"/>
    <w:rsid w:val="007C7014"/>
    <w:rsid w:val="007C72A9"/>
    <w:rsid w:val="007D0E86"/>
    <w:rsid w:val="007D1A67"/>
    <w:rsid w:val="007D2136"/>
    <w:rsid w:val="007D310F"/>
    <w:rsid w:val="007D31D2"/>
    <w:rsid w:val="007D337F"/>
    <w:rsid w:val="007D34F7"/>
    <w:rsid w:val="007D3AD3"/>
    <w:rsid w:val="007D3CA9"/>
    <w:rsid w:val="007D413A"/>
    <w:rsid w:val="007D43BE"/>
    <w:rsid w:val="007D4474"/>
    <w:rsid w:val="007D48E8"/>
    <w:rsid w:val="007D4A66"/>
    <w:rsid w:val="007D4E25"/>
    <w:rsid w:val="007D6BCC"/>
    <w:rsid w:val="007D6D7B"/>
    <w:rsid w:val="007D730E"/>
    <w:rsid w:val="007D7CA4"/>
    <w:rsid w:val="007E03F1"/>
    <w:rsid w:val="007E0679"/>
    <w:rsid w:val="007E0710"/>
    <w:rsid w:val="007E1183"/>
    <w:rsid w:val="007E1EFB"/>
    <w:rsid w:val="007E2EB1"/>
    <w:rsid w:val="007E33D1"/>
    <w:rsid w:val="007E37DE"/>
    <w:rsid w:val="007E3D1D"/>
    <w:rsid w:val="007E42E6"/>
    <w:rsid w:val="007E4BC2"/>
    <w:rsid w:val="007E53E3"/>
    <w:rsid w:val="007E55D8"/>
    <w:rsid w:val="007E5741"/>
    <w:rsid w:val="007E5962"/>
    <w:rsid w:val="007E5AB9"/>
    <w:rsid w:val="007E6285"/>
    <w:rsid w:val="007E6347"/>
    <w:rsid w:val="007E6D7E"/>
    <w:rsid w:val="007E6EBB"/>
    <w:rsid w:val="007E7462"/>
    <w:rsid w:val="007E763F"/>
    <w:rsid w:val="007E77C6"/>
    <w:rsid w:val="007E77DB"/>
    <w:rsid w:val="007E7D83"/>
    <w:rsid w:val="007F141E"/>
    <w:rsid w:val="007F214F"/>
    <w:rsid w:val="007F2955"/>
    <w:rsid w:val="007F3678"/>
    <w:rsid w:val="007F39C6"/>
    <w:rsid w:val="007F41CE"/>
    <w:rsid w:val="007F5655"/>
    <w:rsid w:val="007F5909"/>
    <w:rsid w:val="007F599C"/>
    <w:rsid w:val="007F641E"/>
    <w:rsid w:val="007F65DE"/>
    <w:rsid w:val="007F6A3D"/>
    <w:rsid w:val="007F6B07"/>
    <w:rsid w:val="007F7104"/>
    <w:rsid w:val="007F7794"/>
    <w:rsid w:val="007F77F7"/>
    <w:rsid w:val="008004D5"/>
    <w:rsid w:val="00801118"/>
    <w:rsid w:val="0080158A"/>
    <w:rsid w:val="00803002"/>
    <w:rsid w:val="008030FA"/>
    <w:rsid w:val="008034D0"/>
    <w:rsid w:val="0080395E"/>
    <w:rsid w:val="00804181"/>
    <w:rsid w:val="008043AA"/>
    <w:rsid w:val="00806365"/>
    <w:rsid w:val="0080693F"/>
    <w:rsid w:val="0080695D"/>
    <w:rsid w:val="0080732A"/>
    <w:rsid w:val="0081001D"/>
    <w:rsid w:val="00810588"/>
    <w:rsid w:val="00811E28"/>
    <w:rsid w:val="008129DA"/>
    <w:rsid w:val="00813713"/>
    <w:rsid w:val="00813DF2"/>
    <w:rsid w:val="00814681"/>
    <w:rsid w:val="00814943"/>
    <w:rsid w:val="00815229"/>
    <w:rsid w:val="008154C0"/>
    <w:rsid w:val="00815846"/>
    <w:rsid w:val="00815C6B"/>
    <w:rsid w:val="0081754B"/>
    <w:rsid w:val="0081769E"/>
    <w:rsid w:val="008176B6"/>
    <w:rsid w:val="008179C6"/>
    <w:rsid w:val="008210D4"/>
    <w:rsid w:val="00821582"/>
    <w:rsid w:val="00821900"/>
    <w:rsid w:val="00822183"/>
    <w:rsid w:val="008224DC"/>
    <w:rsid w:val="00822801"/>
    <w:rsid w:val="00822A2C"/>
    <w:rsid w:val="00822C44"/>
    <w:rsid w:val="00822D28"/>
    <w:rsid w:val="00822DB0"/>
    <w:rsid w:val="00822EAF"/>
    <w:rsid w:val="00823150"/>
    <w:rsid w:val="00823322"/>
    <w:rsid w:val="008248DB"/>
    <w:rsid w:val="00824B96"/>
    <w:rsid w:val="00825054"/>
    <w:rsid w:val="0082513D"/>
    <w:rsid w:val="00825338"/>
    <w:rsid w:val="00825FEA"/>
    <w:rsid w:val="0082678B"/>
    <w:rsid w:val="00827509"/>
    <w:rsid w:val="00827BA1"/>
    <w:rsid w:val="0083079A"/>
    <w:rsid w:val="00830BDC"/>
    <w:rsid w:val="00832B7D"/>
    <w:rsid w:val="00833520"/>
    <w:rsid w:val="008343C2"/>
    <w:rsid w:val="00835821"/>
    <w:rsid w:val="00835AD9"/>
    <w:rsid w:val="00835B7A"/>
    <w:rsid w:val="00835F3F"/>
    <w:rsid w:val="0083603C"/>
    <w:rsid w:val="00836371"/>
    <w:rsid w:val="00837601"/>
    <w:rsid w:val="00840744"/>
    <w:rsid w:val="0084086D"/>
    <w:rsid w:val="00840D09"/>
    <w:rsid w:val="00840D6B"/>
    <w:rsid w:val="0084107A"/>
    <w:rsid w:val="008410F2"/>
    <w:rsid w:val="00841923"/>
    <w:rsid w:val="00842515"/>
    <w:rsid w:val="00842C05"/>
    <w:rsid w:val="00843B36"/>
    <w:rsid w:val="00843BE5"/>
    <w:rsid w:val="00843CCB"/>
    <w:rsid w:val="0084450E"/>
    <w:rsid w:val="0084459E"/>
    <w:rsid w:val="008445C3"/>
    <w:rsid w:val="00844639"/>
    <w:rsid w:val="00844B36"/>
    <w:rsid w:val="0084615D"/>
    <w:rsid w:val="008461D0"/>
    <w:rsid w:val="00846616"/>
    <w:rsid w:val="00846892"/>
    <w:rsid w:val="00846B9C"/>
    <w:rsid w:val="0084724D"/>
    <w:rsid w:val="00847826"/>
    <w:rsid w:val="00850006"/>
    <w:rsid w:val="00850213"/>
    <w:rsid w:val="00850663"/>
    <w:rsid w:val="00850A65"/>
    <w:rsid w:val="00850CC1"/>
    <w:rsid w:val="008516F3"/>
    <w:rsid w:val="00851BAC"/>
    <w:rsid w:val="008520BA"/>
    <w:rsid w:val="0085214B"/>
    <w:rsid w:val="00852279"/>
    <w:rsid w:val="008524BC"/>
    <w:rsid w:val="008524FF"/>
    <w:rsid w:val="00852C18"/>
    <w:rsid w:val="0085309E"/>
    <w:rsid w:val="008531A5"/>
    <w:rsid w:val="00853EBC"/>
    <w:rsid w:val="00855919"/>
    <w:rsid w:val="00856787"/>
    <w:rsid w:val="0085740C"/>
    <w:rsid w:val="008579FA"/>
    <w:rsid w:val="00860053"/>
    <w:rsid w:val="00860224"/>
    <w:rsid w:val="0086080E"/>
    <w:rsid w:val="00860BA6"/>
    <w:rsid w:val="008611F8"/>
    <w:rsid w:val="00861BA2"/>
    <w:rsid w:val="00861D66"/>
    <w:rsid w:val="00862B3D"/>
    <w:rsid w:val="00862B8A"/>
    <w:rsid w:val="00862F90"/>
    <w:rsid w:val="0086370E"/>
    <w:rsid w:val="00863923"/>
    <w:rsid w:val="00864443"/>
    <w:rsid w:val="00864639"/>
    <w:rsid w:val="00864C0F"/>
    <w:rsid w:val="008656EF"/>
    <w:rsid w:val="00865DBB"/>
    <w:rsid w:val="00865DE0"/>
    <w:rsid w:val="00865FAA"/>
    <w:rsid w:val="00866084"/>
    <w:rsid w:val="00867216"/>
    <w:rsid w:val="00867641"/>
    <w:rsid w:val="00867866"/>
    <w:rsid w:val="0087022E"/>
    <w:rsid w:val="00870F7C"/>
    <w:rsid w:val="0087101E"/>
    <w:rsid w:val="00871C86"/>
    <w:rsid w:val="00871D91"/>
    <w:rsid w:val="00872350"/>
    <w:rsid w:val="008724DE"/>
    <w:rsid w:val="00872AF2"/>
    <w:rsid w:val="00873B2B"/>
    <w:rsid w:val="0087425B"/>
    <w:rsid w:val="008743E7"/>
    <w:rsid w:val="00874838"/>
    <w:rsid w:val="00874884"/>
    <w:rsid w:val="00874CA6"/>
    <w:rsid w:val="00875B90"/>
    <w:rsid w:val="00875DE1"/>
    <w:rsid w:val="00876314"/>
    <w:rsid w:val="00876402"/>
    <w:rsid w:val="00881468"/>
    <w:rsid w:val="00881813"/>
    <w:rsid w:val="008819B0"/>
    <w:rsid w:val="00881F85"/>
    <w:rsid w:val="00882335"/>
    <w:rsid w:val="008826CC"/>
    <w:rsid w:val="00882A8A"/>
    <w:rsid w:val="00882B8E"/>
    <w:rsid w:val="00885411"/>
    <w:rsid w:val="0088553E"/>
    <w:rsid w:val="0088592A"/>
    <w:rsid w:val="00885ED4"/>
    <w:rsid w:val="00885F04"/>
    <w:rsid w:val="008860A4"/>
    <w:rsid w:val="008877FD"/>
    <w:rsid w:val="0089028F"/>
    <w:rsid w:val="00890494"/>
    <w:rsid w:val="00890BDA"/>
    <w:rsid w:val="00890F43"/>
    <w:rsid w:val="0089105A"/>
    <w:rsid w:val="00892192"/>
    <w:rsid w:val="00892368"/>
    <w:rsid w:val="008931BD"/>
    <w:rsid w:val="0089322A"/>
    <w:rsid w:val="00893D44"/>
    <w:rsid w:val="00894CF5"/>
    <w:rsid w:val="00894F71"/>
    <w:rsid w:val="00895543"/>
    <w:rsid w:val="008958CB"/>
    <w:rsid w:val="00896202"/>
    <w:rsid w:val="008972C9"/>
    <w:rsid w:val="00897632"/>
    <w:rsid w:val="008A061E"/>
    <w:rsid w:val="008A0F62"/>
    <w:rsid w:val="008A1323"/>
    <w:rsid w:val="008A230E"/>
    <w:rsid w:val="008A2545"/>
    <w:rsid w:val="008A2587"/>
    <w:rsid w:val="008A2618"/>
    <w:rsid w:val="008A2D4D"/>
    <w:rsid w:val="008A3387"/>
    <w:rsid w:val="008A34ED"/>
    <w:rsid w:val="008A4141"/>
    <w:rsid w:val="008A43A8"/>
    <w:rsid w:val="008A4A72"/>
    <w:rsid w:val="008A528C"/>
    <w:rsid w:val="008A56FA"/>
    <w:rsid w:val="008A6336"/>
    <w:rsid w:val="008A66E9"/>
    <w:rsid w:val="008A6812"/>
    <w:rsid w:val="008A6E61"/>
    <w:rsid w:val="008A70EB"/>
    <w:rsid w:val="008A7C16"/>
    <w:rsid w:val="008A7E6B"/>
    <w:rsid w:val="008B0E22"/>
    <w:rsid w:val="008B1479"/>
    <w:rsid w:val="008B16A0"/>
    <w:rsid w:val="008B1A58"/>
    <w:rsid w:val="008B1B2F"/>
    <w:rsid w:val="008B239C"/>
    <w:rsid w:val="008B281B"/>
    <w:rsid w:val="008B2C90"/>
    <w:rsid w:val="008B30A0"/>
    <w:rsid w:val="008B356E"/>
    <w:rsid w:val="008B36D2"/>
    <w:rsid w:val="008B38F9"/>
    <w:rsid w:val="008B4A23"/>
    <w:rsid w:val="008B518F"/>
    <w:rsid w:val="008B51E4"/>
    <w:rsid w:val="008B5285"/>
    <w:rsid w:val="008B55B0"/>
    <w:rsid w:val="008B5972"/>
    <w:rsid w:val="008B5E31"/>
    <w:rsid w:val="008B5F3D"/>
    <w:rsid w:val="008B5F84"/>
    <w:rsid w:val="008C05F4"/>
    <w:rsid w:val="008C17AE"/>
    <w:rsid w:val="008C1963"/>
    <w:rsid w:val="008C1C36"/>
    <w:rsid w:val="008C28D6"/>
    <w:rsid w:val="008C2A0E"/>
    <w:rsid w:val="008C338C"/>
    <w:rsid w:val="008C3B97"/>
    <w:rsid w:val="008C412F"/>
    <w:rsid w:val="008C4602"/>
    <w:rsid w:val="008C484C"/>
    <w:rsid w:val="008C48A7"/>
    <w:rsid w:val="008C4B88"/>
    <w:rsid w:val="008C4F18"/>
    <w:rsid w:val="008C5755"/>
    <w:rsid w:val="008C60EA"/>
    <w:rsid w:val="008C6DBC"/>
    <w:rsid w:val="008C74D5"/>
    <w:rsid w:val="008C7649"/>
    <w:rsid w:val="008C76C2"/>
    <w:rsid w:val="008D0EE8"/>
    <w:rsid w:val="008D1360"/>
    <w:rsid w:val="008D1FFF"/>
    <w:rsid w:val="008D2039"/>
    <w:rsid w:val="008D288D"/>
    <w:rsid w:val="008D2B27"/>
    <w:rsid w:val="008D3FCF"/>
    <w:rsid w:val="008D4021"/>
    <w:rsid w:val="008D4024"/>
    <w:rsid w:val="008D544B"/>
    <w:rsid w:val="008D5587"/>
    <w:rsid w:val="008D66CA"/>
    <w:rsid w:val="008D6906"/>
    <w:rsid w:val="008D703F"/>
    <w:rsid w:val="008D7327"/>
    <w:rsid w:val="008D7337"/>
    <w:rsid w:val="008D7556"/>
    <w:rsid w:val="008D7BA1"/>
    <w:rsid w:val="008E0266"/>
    <w:rsid w:val="008E02B6"/>
    <w:rsid w:val="008E049D"/>
    <w:rsid w:val="008E08E1"/>
    <w:rsid w:val="008E1A69"/>
    <w:rsid w:val="008E1DBA"/>
    <w:rsid w:val="008E216C"/>
    <w:rsid w:val="008E298F"/>
    <w:rsid w:val="008E2F61"/>
    <w:rsid w:val="008E314A"/>
    <w:rsid w:val="008E3A0F"/>
    <w:rsid w:val="008E42A8"/>
    <w:rsid w:val="008E453F"/>
    <w:rsid w:val="008E4B43"/>
    <w:rsid w:val="008E5A65"/>
    <w:rsid w:val="008E6000"/>
    <w:rsid w:val="008E63FA"/>
    <w:rsid w:val="008E7A0E"/>
    <w:rsid w:val="008E7B8F"/>
    <w:rsid w:val="008E7BFD"/>
    <w:rsid w:val="008E7C76"/>
    <w:rsid w:val="008F0338"/>
    <w:rsid w:val="008F05AF"/>
    <w:rsid w:val="008F0A25"/>
    <w:rsid w:val="008F0E04"/>
    <w:rsid w:val="008F116B"/>
    <w:rsid w:val="008F1341"/>
    <w:rsid w:val="008F1C69"/>
    <w:rsid w:val="008F1E13"/>
    <w:rsid w:val="008F2921"/>
    <w:rsid w:val="008F2C8F"/>
    <w:rsid w:val="008F2C9A"/>
    <w:rsid w:val="008F3249"/>
    <w:rsid w:val="008F3645"/>
    <w:rsid w:val="008F3D85"/>
    <w:rsid w:val="008F43D0"/>
    <w:rsid w:val="008F480C"/>
    <w:rsid w:val="008F4E58"/>
    <w:rsid w:val="008F54EA"/>
    <w:rsid w:val="008F5EE2"/>
    <w:rsid w:val="008F6633"/>
    <w:rsid w:val="008F6F66"/>
    <w:rsid w:val="008F717A"/>
    <w:rsid w:val="008F7DE0"/>
    <w:rsid w:val="00900960"/>
    <w:rsid w:val="00901452"/>
    <w:rsid w:val="00901C65"/>
    <w:rsid w:val="0090427F"/>
    <w:rsid w:val="0090494E"/>
    <w:rsid w:val="00905812"/>
    <w:rsid w:val="00905CB4"/>
    <w:rsid w:val="0090606E"/>
    <w:rsid w:val="009062F1"/>
    <w:rsid w:val="00906DF8"/>
    <w:rsid w:val="009070D7"/>
    <w:rsid w:val="00907359"/>
    <w:rsid w:val="009076D9"/>
    <w:rsid w:val="009103CC"/>
    <w:rsid w:val="00911137"/>
    <w:rsid w:val="0091214A"/>
    <w:rsid w:val="00912793"/>
    <w:rsid w:val="00913CCD"/>
    <w:rsid w:val="00913E6D"/>
    <w:rsid w:val="00914427"/>
    <w:rsid w:val="00914DE0"/>
    <w:rsid w:val="009155B7"/>
    <w:rsid w:val="0091683C"/>
    <w:rsid w:val="00917A69"/>
    <w:rsid w:val="00920AD2"/>
    <w:rsid w:val="00920F48"/>
    <w:rsid w:val="00921152"/>
    <w:rsid w:val="00922BA3"/>
    <w:rsid w:val="00923109"/>
    <w:rsid w:val="009237F3"/>
    <w:rsid w:val="00923C4B"/>
    <w:rsid w:val="00924255"/>
    <w:rsid w:val="00924AFB"/>
    <w:rsid w:val="00925495"/>
    <w:rsid w:val="00925DDC"/>
    <w:rsid w:val="00926697"/>
    <w:rsid w:val="009268E0"/>
    <w:rsid w:val="0092696B"/>
    <w:rsid w:val="0092708D"/>
    <w:rsid w:val="009272A6"/>
    <w:rsid w:val="0092740D"/>
    <w:rsid w:val="00927EFB"/>
    <w:rsid w:val="009310EC"/>
    <w:rsid w:val="00931350"/>
    <w:rsid w:val="009322B9"/>
    <w:rsid w:val="00932FF9"/>
    <w:rsid w:val="00933590"/>
    <w:rsid w:val="0093401D"/>
    <w:rsid w:val="0093425B"/>
    <w:rsid w:val="009343C8"/>
    <w:rsid w:val="0093458A"/>
    <w:rsid w:val="00935548"/>
    <w:rsid w:val="0093571E"/>
    <w:rsid w:val="00935BD7"/>
    <w:rsid w:val="00935F0A"/>
    <w:rsid w:val="00936182"/>
    <w:rsid w:val="0093672E"/>
    <w:rsid w:val="0093721E"/>
    <w:rsid w:val="00937BB8"/>
    <w:rsid w:val="00937C4B"/>
    <w:rsid w:val="00937D28"/>
    <w:rsid w:val="00937D53"/>
    <w:rsid w:val="00937FEA"/>
    <w:rsid w:val="009400E2"/>
    <w:rsid w:val="0094025E"/>
    <w:rsid w:val="009402DF"/>
    <w:rsid w:val="009407BB"/>
    <w:rsid w:val="009413BD"/>
    <w:rsid w:val="00941D34"/>
    <w:rsid w:val="00941E4D"/>
    <w:rsid w:val="00941E79"/>
    <w:rsid w:val="0094234F"/>
    <w:rsid w:val="0094264E"/>
    <w:rsid w:val="009429F6"/>
    <w:rsid w:val="00942F87"/>
    <w:rsid w:val="009434D0"/>
    <w:rsid w:val="00943659"/>
    <w:rsid w:val="00943ADC"/>
    <w:rsid w:val="00943DB7"/>
    <w:rsid w:val="00944B75"/>
    <w:rsid w:val="009453EB"/>
    <w:rsid w:val="00945F51"/>
    <w:rsid w:val="00947904"/>
    <w:rsid w:val="0094795E"/>
    <w:rsid w:val="00947C19"/>
    <w:rsid w:val="009503F8"/>
    <w:rsid w:val="00951535"/>
    <w:rsid w:val="0095170B"/>
    <w:rsid w:val="00951AE6"/>
    <w:rsid w:val="00951B5C"/>
    <w:rsid w:val="00952013"/>
    <w:rsid w:val="0095240F"/>
    <w:rsid w:val="0095297F"/>
    <w:rsid w:val="00952B00"/>
    <w:rsid w:val="00954B3F"/>
    <w:rsid w:val="0095521F"/>
    <w:rsid w:val="0095549A"/>
    <w:rsid w:val="00955605"/>
    <w:rsid w:val="00955D67"/>
    <w:rsid w:val="009560F4"/>
    <w:rsid w:val="00956232"/>
    <w:rsid w:val="009569CC"/>
    <w:rsid w:val="00957603"/>
    <w:rsid w:val="0096090C"/>
    <w:rsid w:val="00960AC8"/>
    <w:rsid w:val="00960D4C"/>
    <w:rsid w:val="009614AD"/>
    <w:rsid w:val="0096189D"/>
    <w:rsid w:val="00961BD0"/>
    <w:rsid w:val="00961FD9"/>
    <w:rsid w:val="00962088"/>
    <w:rsid w:val="009626B3"/>
    <w:rsid w:val="00962C59"/>
    <w:rsid w:val="00963054"/>
    <w:rsid w:val="00963C3A"/>
    <w:rsid w:val="00963C46"/>
    <w:rsid w:val="00963D95"/>
    <w:rsid w:val="00963F69"/>
    <w:rsid w:val="009653BF"/>
    <w:rsid w:val="00965756"/>
    <w:rsid w:val="00965D16"/>
    <w:rsid w:val="00966CF1"/>
    <w:rsid w:val="00967CBD"/>
    <w:rsid w:val="0097056D"/>
    <w:rsid w:val="00970D88"/>
    <w:rsid w:val="00970E3F"/>
    <w:rsid w:val="00970F70"/>
    <w:rsid w:val="00971095"/>
    <w:rsid w:val="009717FA"/>
    <w:rsid w:val="00971D21"/>
    <w:rsid w:val="009728E0"/>
    <w:rsid w:val="00972AD8"/>
    <w:rsid w:val="00973FE0"/>
    <w:rsid w:val="0097438D"/>
    <w:rsid w:val="00974450"/>
    <w:rsid w:val="00974A13"/>
    <w:rsid w:val="00975101"/>
    <w:rsid w:val="009753D7"/>
    <w:rsid w:val="00975D6D"/>
    <w:rsid w:val="0097600B"/>
    <w:rsid w:val="00976446"/>
    <w:rsid w:val="00976612"/>
    <w:rsid w:val="009769F5"/>
    <w:rsid w:val="00976D3F"/>
    <w:rsid w:val="00976F41"/>
    <w:rsid w:val="00980258"/>
    <w:rsid w:val="00980DC2"/>
    <w:rsid w:val="009816B7"/>
    <w:rsid w:val="0098217C"/>
    <w:rsid w:val="00982985"/>
    <w:rsid w:val="00982E29"/>
    <w:rsid w:val="00983173"/>
    <w:rsid w:val="009833BE"/>
    <w:rsid w:val="00984327"/>
    <w:rsid w:val="0098499C"/>
    <w:rsid w:val="00984A6F"/>
    <w:rsid w:val="00984EA4"/>
    <w:rsid w:val="00985005"/>
    <w:rsid w:val="009851FE"/>
    <w:rsid w:val="009854B7"/>
    <w:rsid w:val="00985BE3"/>
    <w:rsid w:val="00985C9A"/>
    <w:rsid w:val="0098628D"/>
    <w:rsid w:val="0098682C"/>
    <w:rsid w:val="00986D31"/>
    <w:rsid w:val="00987130"/>
    <w:rsid w:val="009879C8"/>
    <w:rsid w:val="00990C3E"/>
    <w:rsid w:val="00990C61"/>
    <w:rsid w:val="0099112B"/>
    <w:rsid w:val="00991ACE"/>
    <w:rsid w:val="00991DE9"/>
    <w:rsid w:val="00992440"/>
    <w:rsid w:val="0099280A"/>
    <w:rsid w:val="00992E7C"/>
    <w:rsid w:val="009932A2"/>
    <w:rsid w:val="00993C5E"/>
    <w:rsid w:val="00993E33"/>
    <w:rsid w:val="00993FE7"/>
    <w:rsid w:val="00994D36"/>
    <w:rsid w:val="00994F7C"/>
    <w:rsid w:val="0099535B"/>
    <w:rsid w:val="00995FD3"/>
    <w:rsid w:val="00996334"/>
    <w:rsid w:val="0099720B"/>
    <w:rsid w:val="00997DB3"/>
    <w:rsid w:val="00997E3A"/>
    <w:rsid w:val="009A0385"/>
    <w:rsid w:val="009A0CCA"/>
    <w:rsid w:val="009A1380"/>
    <w:rsid w:val="009A15EA"/>
    <w:rsid w:val="009A1858"/>
    <w:rsid w:val="009A19C1"/>
    <w:rsid w:val="009A1AAF"/>
    <w:rsid w:val="009A1FC3"/>
    <w:rsid w:val="009A200C"/>
    <w:rsid w:val="009A2503"/>
    <w:rsid w:val="009A26B7"/>
    <w:rsid w:val="009A28F8"/>
    <w:rsid w:val="009A3023"/>
    <w:rsid w:val="009A31A2"/>
    <w:rsid w:val="009A3559"/>
    <w:rsid w:val="009A36CD"/>
    <w:rsid w:val="009A3FE3"/>
    <w:rsid w:val="009A48BE"/>
    <w:rsid w:val="009A4A62"/>
    <w:rsid w:val="009A561E"/>
    <w:rsid w:val="009A574E"/>
    <w:rsid w:val="009A59A8"/>
    <w:rsid w:val="009A6B20"/>
    <w:rsid w:val="009A6B95"/>
    <w:rsid w:val="009A7067"/>
    <w:rsid w:val="009A73E7"/>
    <w:rsid w:val="009A7713"/>
    <w:rsid w:val="009B03B7"/>
    <w:rsid w:val="009B07A0"/>
    <w:rsid w:val="009B0A65"/>
    <w:rsid w:val="009B0BB0"/>
    <w:rsid w:val="009B0FF6"/>
    <w:rsid w:val="009B160B"/>
    <w:rsid w:val="009B201F"/>
    <w:rsid w:val="009B226D"/>
    <w:rsid w:val="009B247A"/>
    <w:rsid w:val="009B2CFE"/>
    <w:rsid w:val="009B2D50"/>
    <w:rsid w:val="009B4D89"/>
    <w:rsid w:val="009B6072"/>
    <w:rsid w:val="009B676C"/>
    <w:rsid w:val="009B68F9"/>
    <w:rsid w:val="009B6C4F"/>
    <w:rsid w:val="009B6FC8"/>
    <w:rsid w:val="009B74DB"/>
    <w:rsid w:val="009B76EA"/>
    <w:rsid w:val="009C03C5"/>
    <w:rsid w:val="009C054E"/>
    <w:rsid w:val="009C090E"/>
    <w:rsid w:val="009C0A6D"/>
    <w:rsid w:val="009C110E"/>
    <w:rsid w:val="009C2F95"/>
    <w:rsid w:val="009C3534"/>
    <w:rsid w:val="009C3B7B"/>
    <w:rsid w:val="009C40EC"/>
    <w:rsid w:val="009C4383"/>
    <w:rsid w:val="009C442C"/>
    <w:rsid w:val="009C5B2C"/>
    <w:rsid w:val="009C5B2D"/>
    <w:rsid w:val="009C6450"/>
    <w:rsid w:val="009C6BF2"/>
    <w:rsid w:val="009C6DD5"/>
    <w:rsid w:val="009C7318"/>
    <w:rsid w:val="009C7456"/>
    <w:rsid w:val="009C7BF0"/>
    <w:rsid w:val="009D025B"/>
    <w:rsid w:val="009D04D4"/>
    <w:rsid w:val="009D0569"/>
    <w:rsid w:val="009D06BF"/>
    <w:rsid w:val="009D1069"/>
    <w:rsid w:val="009D1200"/>
    <w:rsid w:val="009D136B"/>
    <w:rsid w:val="009D1C72"/>
    <w:rsid w:val="009D1DFB"/>
    <w:rsid w:val="009D29E5"/>
    <w:rsid w:val="009D3B8D"/>
    <w:rsid w:val="009D3BAD"/>
    <w:rsid w:val="009D4189"/>
    <w:rsid w:val="009D49F0"/>
    <w:rsid w:val="009D69FC"/>
    <w:rsid w:val="009D6E6C"/>
    <w:rsid w:val="009D73B4"/>
    <w:rsid w:val="009D746C"/>
    <w:rsid w:val="009D765E"/>
    <w:rsid w:val="009E0E98"/>
    <w:rsid w:val="009E1024"/>
    <w:rsid w:val="009E1115"/>
    <w:rsid w:val="009E374E"/>
    <w:rsid w:val="009E3A78"/>
    <w:rsid w:val="009E5121"/>
    <w:rsid w:val="009E5291"/>
    <w:rsid w:val="009E59F3"/>
    <w:rsid w:val="009E5DC6"/>
    <w:rsid w:val="009E6965"/>
    <w:rsid w:val="009E6A67"/>
    <w:rsid w:val="009E6E93"/>
    <w:rsid w:val="009E742E"/>
    <w:rsid w:val="009E7C2C"/>
    <w:rsid w:val="009F048D"/>
    <w:rsid w:val="009F07F7"/>
    <w:rsid w:val="009F0AAD"/>
    <w:rsid w:val="009F0D0A"/>
    <w:rsid w:val="009F0E64"/>
    <w:rsid w:val="009F0ECD"/>
    <w:rsid w:val="009F0FF7"/>
    <w:rsid w:val="009F2527"/>
    <w:rsid w:val="009F27B1"/>
    <w:rsid w:val="009F45B0"/>
    <w:rsid w:val="009F4B2B"/>
    <w:rsid w:val="009F57A2"/>
    <w:rsid w:val="009F5A3B"/>
    <w:rsid w:val="009F5CE3"/>
    <w:rsid w:val="009F5E56"/>
    <w:rsid w:val="009F5FB6"/>
    <w:rsid w:val="009F6119"/>
    <w:rsid w:val="009F655E"/>
    <w:rsid w:val="009F6BC5"/>
    <w:rsid w:val="009F6DD3"/>
    <w:rsid w:val="009F72E2"/>
    <w:rsid w:val="009F7C5A"/>
    <w:rsid w:val="009F7DC3"/>
    <w:rsid w:val="00A003A8"/>
    <w:rsid w:val="00A0042A"/>
    <w:rsid w:val="00A0062A"/>
    <w:rsid w:val="00A0073B"/>
    <w:rsid w:val="00A0079E"/>
    <w:rsid w:val="00A00BB4"/>
    <w:rsid w:val="00A011A3"/>
    <w:rsid w:val="00A02155"/>
    <w:rsid w:val="00A021BB"/>
    <w:rsid w:val="00A0288E"/>
    <w:rsid w:val="00A03869"/>
    <w:rsid w:val="00A03DC7"/>
    <w:rsid w:val="00A04C4E"/>
    <w:rsid w:val="00A0526E"/>
    <w:rsid w:val="00A055E1"/>
    <w:rsid w:val="00A05BA8"/>
    <w:rsid w:val="00A05D55"/>
    <w:rsid w:val="00A06287"/>
    <w:rsid w:val="00A06CE5"/>
    <w:rsid w:val="00A06FF9"/>
    <w:rsid w:val="00A07014"/>
    <w:rsid w:val="00A0782F"/>
    <w:rsid w:val="00A07D7B"/>
    <w:rsid w:val="00A07DB9"/>
    <w:rsid w:val="00A102BB"/>
    <w:rsid w:val="00A104B4"/>
    <w:rsid w:val="00A1060A"/>
    <w:rsid w:val="00A11432"/>
    <w:rsid w:val="00A12219"/>
    <w:rsid w:val="00A126EB"/>
    <w:rsid w:val="00A129BB"/>
    <w:rsid w:val="00A129D7"/>
    <w:rsid w:val="00A12CD4"/>
    <w:rsid w:val="00A13657"/>
    <w:rsid w:val="00A13ADA"/>
    <w:rsid w:val="00A13B36"/>
    <w:rsid w:val="00A15011"/>
    <w:rsid w:val="00A152DD"/>
    <w:rsid w:val="00A15824"/>
    <w:rsid w:val="00A16164"/>
    <w:rsid w:val="00A16F28"/>
    <w:rsid w:val="00A2024E"/>
    <w:rsid w:val="00A2038C"/>
    <w:rsid w:val="00A20637"/>
    <w:rsid w:val="00A20827"/>
    <w:rsid w:val="00A2173F"/>
    <w:rsid w:val="00A224E4"/>
    <w:rsid w:val="00A22B64"/>
    <w:rsid w:val="00A22EB2"/>
    <w:rsid w:val="00A23546"/>
    <w:rsid w:val="00A23B49"/>
    <w:rsid w:val="00A23F2D"/>
    <w:rsid w:val="00A24AEB"/>
    <w:rsid w:val="00A25AD4"/>
    <w:rsid w:val="00A25E7B"/>
    <w:rsid w:val="00A25F34"/>
    <w:rsid w:val="00A2617F"/>
    <w:rsid w:val="00A26305"/>
    <w:rsid w:val="00A26C29"/>
    <w:rsid w:val="00A26F1A"/>
    <w:rsid w:val="00A273CD"/>
    <w:rsid w:val="00A30C73"/>
    <w:rsid w:val="00A30D1C"/>
    <w:rsid w:val="00A3100B"/>
    <w:rsid w:val="00A31404"/>
    <w:rsid w:val="00A32796"/>
    <w:rsid w:val="00A32E4D"/>
    <w:rsid w:val="00A330E2"/>
    <w:rsid w:val="00A331A0"/>
    <w:rsid w:val="00A3378B"/>
    <w:rsid w:val="00A3397B"/>
    <w:rsid w:val="00A33B1C"/>
    <w:rsid w:val="00A33EC2"/>
    <w:rsid w:val="00A35357"/>
    <w:rsid w:val="00A354F8"/>
    <w:rsid w:val="00A360B6"/>
    <w:rsid w:val="00A36436"/>
    <w:rsid w:val="00A364A8"/>
    <w:rsid w:val="00A364DE"/>
    <w:rsid w:val="00A3658E"/>
    <w:rsid w:val="00A37082"/>
    <w:rsid w:val="00A3749C"/>
    <w:rsid w:val="00A37AFD"/>
    <w:rsid w:val="00A405F6"/>
    <w:rsid w:val="00A41686"/>
    <w:rsid w:val="00A4207D"/>
    <w:rsid w:val="00A42226"/>
    <w:rsid w:val="00A4327B"/>
    <w:rsid w:val="00A4353E"/>
    <w:rsid w:val="00A44305"/>
    <w:rsid w:val="00A44635"/>
    <w:rsid w:val="00A4494A"/>
    <w:rsid w:val="00A44DE5"/>
    <w:rsid w:val="00A45366"/>
    <w:rsid w:val="00A4545F"/>
    <w:rsid w:val="00A4678E"/>
    <w:rsid w:val="00A472E2"/>
    <w:rsid w:val="00A473EB"/>
    <w:rsid w:val="00A47659"/>
    <w:rsid w:val="00A47DAC"/>
    <w:rsid w:val="00A508ED"/>
    <w:rsid w:val="00A50934"/>
    <w:rsid w:val="00A5112B"/>
    <w:rsid w:val="00A5136C"/>
    <w:rsid w:val="00A51A83"/>
    <w:rsid w:val="00A5200F"/>
    <w:rsid w:val="00A53047"/>
    <w:rsid w:val="00A530FA"/>
    <w:rsid w:val="00A53430"/>
    <w:rsid w:val="00A54385"/>
    <w:rsid w:val="00A551F4"/>
    <w:rsid w:val="00A55271"/>
    <w:rsid w:val="00A55CDC"/>
    <w:rsid w:val="00A56228"/>
    <w:rsid w:val="00A56AA7"/>
    <w:rsid w:val="00A56C39"/>
    <w:rsid w:val="00A56E3C"/>
    <w:rsid w:val="00A573F2"/>
    <w:rsid w:val="00A57864"/>
    <w:rsid w:val="00A60003"/>
    <w:rsid w:val="00A60013"/>
    <w:rsid w:val="00A60C82"/>
    <w:rsid w:val="00A615E9"/>
    <w:rsid w:val="00A6189F"/>
    <w:rsid w:val="00A61A57"/>
    <w:rsid w:val="00A62EBB"/>
    <w:rsid w:val="00A6342D"/>
    <w:rsid w:val="00A6408D"/>
    <w:rsid w:val="00A64416"/>
    <w:rsid w:val="00A6470F"/>
    <w:rsid w:val="00A647E7"/>
    <w:rsid w:val="00A65798"/>
    <w:rsid w:val="00A661B4"/>
    <w:rsid w:val="00A66D73"/>
    <w:rsid w:val="00A675B4"/>
    <w:rsid w:val="00A67943"/>
    <w:rsid w:val="00A713E5"/>
    <w:rsid w:val="00A71683"/>
    <w:rsid w:val="00A719A6"/>
    <w:rsid w:val="00A71DAA"/>
    <w:rsid w:val="00A71DE1"/>
    <w:rsid w:val="00A71E29"/>
    <w:rsid w:val="00A7279C"/>
    <w:rsid w:val="00A73208"/>
    <w:rsid w:val="00A733D4"/>
    <w:rsid w:val="00A7386A"/>
    <w:rsid w:val="00A73BE2"/>
    <w:rsid w:val="00A741F6"/>
    <w:rsid w:val="00A7440D"/>
    <w:rsid w:val="00A75208"/>
    <w:rsid w:val="00A7521E"/>
    <w:rsid w:val="00A762E6"/>
    <w:rsid w:val="00A7676D"/>
    <w:rsid w:val="00A771B5"/>
    <w:rsid w:val="00A77513"/>
    <w:rsid w:val="00A802D5"/>
    <w:rsid w:val="00A8032D"/>
    <w:rsid w:val="00A809EB"/>
    <w:rsid w:val="00A80A49"/>
    <w:rsid w:val="00A81046"/>
    <w:rsid w:val="00A8105F"/>
    <w:rsid w:val="00A811FC"/>
    <w:rsid w:val="00A81F41"/>
    <w:rsid w:val="00A81FB1"/>
    <w:rsid w:val="00A825A6"/>
    <w:rsid w:val="00A82AF8"/>
    <w:rsid w:val="00A83200"/>
    <w:rsid w:val="00A83761"/>
    <w:rsid w:val="00A85634"/>
    <w:rsid w:val="00A85862"/>
    <w:rsid w:val="00A904CC"/>
    <w:rsid w:val="00A90575"/>
    <w:rsid w:val="00A90DDC"/>
    <w:rsid w:val="00A9180F"/>
    <w:rsid w:val="00A92611"/>
    <w:rsid w:val="00A92C13"/>
    <w:rsid w:val="00A93664"/>
    <w:rsid w:val="00A9444E"/>
    <w:rsid w:val="00A94598"/>
    <w:rsid w:val="00A94CA4"/>
    <w:rsid w:val="00A94FEC"/>
    <w:rsid w:val="00A95167"/>
    <w:rsid w:val="00A957E5"/>
    <w:rsid w:val="00A9634D"/>
    <w:rsid w:val="00A9685C"/>
    <w:rsid w:val="00A97346"/>
    <w:rsid w:val="00A976C2"/>
    <w:rsid w:val="00A9779A"/>
    <w:rsid w:val="00A97F09"/>
    <w:rsid w:val="00AA0E25"/>
    <w:rsid w:val="00AA0FBE"/>
    <w:rsid w:val="00AA12CD"/>
    <w:rsid w:val="00AA13B6"/>
    <w:rsid w:val="00AA16DB"/>
    <w:rsid w:val="00AA1802"/>
    <w:rsid w:val="00AA1B65"/>
    <w:rsid w:val="00AA2661"/>
    <w:rsid w:val="00AA2B95"/>
    <w:rsid w:val="00AA376E"/>
    <w:rsid w:val="00AA38A6"/>
    <w:rsid w:val="00AA3CDD"/>
    <w:rsid w:val="00AA48E5"/>
    <w:rsid w:val="00AA547B"/>
    <w:rsid w:val="00AA57F4"/>
    <w:rsid w:val="00AA5EEA"/>
    <w:rsid w:val="00AA658D"/>
    <w:rsid w:val="00AA67EF"/>
    <w:rsid w:val="00AA72A5"/>
    <w:rsid w:val="00AA78C2"/>
    <w:rsid w:val="00AA7A5D"/>
    <w:rsid w:val="00AA7D82"/>
    <w:rsid w:val="00AB0618"/>
    <w:rsid w:val="00AB067F"/>
    <w:rsid w:val="00AB0717"/>
    <w:rsid w:val="00AB0A21"/>
    <w:rsid w:val="00AB0B19"/>
    <w:rsid w:val="00AB11EE"/>
    <w:rsid w:val="00AB19FB"/>
    <w:rsid w:val="00AB2DC6"/>
    <w:rsid w:val="00AB42EE"/>
    <w:rsid w:val="00AB484A"/>
    <w:rsid w:val="00AB4A55"/>
    <w:rsid w:val="00AB4D4A"/>
    <w:rsid w:val="00AB508C"/>
    <w:rsid w:val="00AB5B3F"/>
    <w:rsid w:val="00AB6B31"/>
    <w:rsid w:val="00AC009A"/>
    <w:rsid w:val="00AC0263"/>
    <w:rsid w:val="00AC03FB"/>
    <w:rsid w:val="00AC05A4"/>
    <w:rsid w:val="00AC0959"/>
    <w:rsid w:val="00AC0BE8"/>
    <w:rsid w:val="00AC1728"/>
    <w:rsid w:val="00AC2C52"/>
    <w:rsid w:val="00AC3016"/>
    <w:rsid w:val="00AC3C19"/>
    <w:rsid w:val="00AC403E"/>
    <w:rsid w:val="00AC410E"/>
    <w:rsid w:val="00AC4A08"/>
    <w:rsid w:val="00AC4BD1"/>
    <w:rsid w:val="00AC520C"/>
    <w:rsid w:val="00AC5218"/>
    <w:rsid w:val="00AC536E"/>
    <w:rsid w:val="00AC5E94"/>
    <w:rsid w:val="00AC62AD"/>
    <w:rsid w:val="00AC63B1"/>
    <w:rsid w:val="00AC6FCE"/>
    <w:rsid w:val="00AC785A"/>
    <w:rsid w:val="00AC7D95"/>
    <w:rsid w:val="00AD0615"/>
    <w:rsid w:val="00AD0D5F"/>
    <w:rsid w:val="00AD17A8"/>
    <w:rsid w:val="00AD1DA8"/>
    <w:rsid w:val="00AD1E83"/>
    <w:rsid w:val="00AD2D3A"/>
    <w:rsid w:val="00AD364F"/>
    <w:rsid w:val="00AD3CDA"/>
    <w:rsid w:val="00AD3EE8"/>
    <w:rsid w:val="00AD5EF5"/>
    <w:rsid w:val="00AD65C9"/>
    <w:rsid w:val="00AD6716"/>
    <w:rsid w:val="00AD6799"/>
    <w:rsid w:val="00AD6BC1"/>
    <w:rsid w:val="00AD6E08"/>
    <w:rsid w:val="00AD78E2"/>
    <w:rsid w:val="00AE05E1"/>
    <w:rsid w:val="00AE0991"/>
    <w:rsid w:val="00AE09AE"/>
    <w:rsid w:val="00AE2133"/>
    <w:rsid w:val="00AE2213"/>
    <w:rsid w:val="00AE2855"/>
    <w:rsid w:val="00AE2ACD"/>
    <w:rsid w:val="00AE2C12"/>
    <w:rsid w:val="00AE2CF3"/>
    <w:rsid w:val="00AE2E93"/>
    <w:rsid w:val="00AE36E6"/>
    <w:rsid w:val="00AE3756"/>
    <w:rsid w:val="00AE3BDA"/>
    <w:rsid w:val="00AE479B"/>
    <w:rsid w:val="00AE4A7E"/>
    <w:rsid w:val="00AE5724"/>
    <w:rsid w:val="00AE59CE"/>
    <w:rsid w:val="00AE611B"/>
    <w:rsid w:val="00AE669F"/>
    <w:rsid w:val="00AE6823"/>
    <w:rsid w:val="00AE693C"/>
    <w:rsid w:val="00AE6CDB"/>
    <w:rsid w:val="00AE7006"/>
    <w:rsid w:val="00AE75DB"/>
    <w:rsid w:val="00AE76BE"/>
    <w:rsid w:val="00AF0686"/>
    <w:rsid w:val="00AF0BB8"/>
    <w:rsid w:val="00AF152C"/>
    <w:rsid w:val="00AF166F"/>
    <w:rsid w:val="00AF208C"/>
    <w:rsid w:val="00AF2BFF"/>
    <w:rsid w:val="00AF3412"/>
    <w:rsid w:val="00AF479D"/>
    <w:rsid w:val="00AF48FF"/>
    <w:rsid w:val="00AF5077"/>
    <w:rsid w:val="00AF6609"/>
    <w:rsid w:val="00AF6A1D"/>
    <w:rsid w:val="00AF6BCC"/>
    <w:rsid w:val="00AF6E13"/>
    <w:rsid w:val="00AF7138"/>
    <w:rsid w:val="00AF7790"/>
    <w:rsid w:val="00AF7CF1"/>
    <w:rsid w:val="00AF7E43"/>
    <w:rsid w:val="00B00E30"/>
    <w:rsid w:val="00B00E48"/>
    <w:rsid w:val="00B0225C"/>
    <w:rsid w:val="00B0225D"/>
    <w:rsid w:val="00B02467"/>
    <w:rsid w:val="00B035B7"/>
    <w:rsid w:val="00B050D5"/>
    <w:rsid w:val="00B058C8"/>
    <w:rsid w:val="00B062BD"/>
    <w:rsid w:val="00B06377"/>
    <w:rsid w:val="00B067F0"/>
    <w:rsid w:val="00B0712B"/>
    <w:rsid w:val="00B07643"/>
    <w:rsid w:val="00B101BE"/>
    <w:rsid w:val="00B102E8"/>
    <w:rsid w:val="00B105DA"/>
    <w:rsid w:val="00B111DD"/>
    <w:rsid w:val="00B11883"/>
    <w:rsid w:val="00B11D79"/>
    <w:rsid w:val="00B1230E"/>
    <w:rsid w:val="00B12A27"/>
    <w:rsid w:val="00B1310B"/>
    <w:rsid w:val="00B133D5"/>
    <w:rsid w:val="00B137D2"/>
    <w:rsid w:val="00B1397A"/>
    <w:rsid w:val="00B13B11"/>
    <w:rsid w:val="00B13B74"/>
    <w:rsid w:val="00B14105"/>
    <w:rsid w:val="00B143C7"/>
    <w:rsid w:val="00B1448E"/>
    <w:rsid w:val="00B1493C"/>
    <w:rsid w:val="00B15032"/>
    <w:rsid w:val="00B15033"/>
    <w:rsid w:val="00B157BE"/>
    <w:rsid w:val="00B15C13"/>
    <w:rsid w:val="00B15FAD"/>
    <w:rsid w:val="00B173CD"/>
    <w:rsid w:val="00B17436"/>
    <w:rsid w:val="00B2018C"/>
    <w:rsid w:val="00B205E9"/>
    <w:rsid w:val="00B20AEA"/>
    <w:rsid w:val="00B21D46"/>
    <w:rsid w:val="00B226F1"/>
    <w:rsid w:val="00B23C69"/>
    <w:rsid w:val="00B24743"/>
    <w:rsid w:val="00B24E23"/>
    <w:rsid w:val="00B25076"/>
    <w:rsid w:val="00B253A8"/>
    <w:rsid w:val="00B253CC"/>
    <w:rsid w:val="00B2581F"/>
    <w:rsid w:val="00B2595E"/>
    <w:rsid w:val="00B26684"/>
    <w:rsid w:val="00B26DD1"/>
    <w:rsid w:val="00B27726"/>
    <w:rsid w:val="00B27956"/>
    <w:rsid w:val="00B27EC1"/>
    <w:rsid w:val="00B3097F"/>
    <w:rsid w:val="00B30BEF"/>
    <w:rsid w:val="00B30DF9"/>
    <w:rsid w:val="00B3305B"/>
    <w:rsid w:val="00B33079"/>
    <w:rsid w:val="00B336C9"/>
    <w:rsid w:val="00B3481D"/>
    <w:rsid w:val="00B34EB5"/>
    <w:rsid w:val="00B351BC"/>
    <w:rsid w:val="00B354D4"/>
    <w:rsid w:val="00B356FA"/>
    <w:rsid w:val="00B35DF4"/>
    <w:rsid w:val="00B36B80"/>
    <w:rsid w:val="00B36D1B"/>
    <w:rsid w:val="00B36DE8"/>
    <w:rsid w:val="00B371FD"/>
    <w:rsid w:val="00B3778C"/>
    <w:rsid w:val="00B37B9B"/>
    <w:rsid w:val="00B417FA"/>
    <w:rsid w:val="00B41E19"/>
    <w:rsid w:val="00B42263"/>
    <w:rsid w:val="00B428D9"/>
    <w:rsid w:val="00B42DF0"/>
    <w:rsid w:val="00B440D3"/>
    <w:rsid w:val="00B44DDD"/>
    <w:rsid w:val="00B4552B"/>
    <w:rsid w:val="00B45C37"/>
    <w:rsid w:val="00B47134"/>
    <w:rsid w:val="00B471D1"/>
    <w:rsid w:val="00B477B4"/>
    <w:rsid w:val="00B47EAB"/>
    <w:rsid w:val="00B47EDE"/>
    <w:rsid w:val="00B507C9"/>
    <w:rsid w:val="00B50F3B"/>
    <w:rsid w:val="00B50FF0"/>
    <w:rsid w:val="00B51724"/>
    <w:rsid w:val="00B517B7"/>
    <w:rsid w:val="00B517E9"/>
    <w:rsid w:val="00B52B4B"/>
    <w:rsid w:val="00B531C8"/>
    <w:rsid w:val="00B5327A"/>
    <w:rsid w:val="00B53890"/>
    <w:rsid w:val="00B5421A"/>
    <w:rsid w:val="00B5469C"/>
    <w:rsid w:val="00B552B1"/>
    <w:rsid w:val="00B55824"/>
    <w:rsid w:val="00B55BEF"/>
    <w:rsid w:val="00B55E3B"/>
    <w:rsid w:val="00B5605C"/>
    <w:rsid w:val="00B56084"/>
    <w:rsid w:val="00B56145"/>
    <w:rsid w:val="00B56A1C"/>
    <w:rsid w:val="00B56FF6"/>
    <w:rsid w:val="00B57638"/>
    <w:rsid w:val="00B57D91"/>
    <w:rsid w:val="00B6011C"/>
    <w:rsid w:val="00B61024"/>
    <w:rsid w:val="00B61522"/>
    <w:rsid w:val="00B61663"/>
    <w:rsid w:val="00B617A8"/>
    <w:rsid w:val="00B61B1E"/>
    <w:rsid w:val="00B61BE5"/>
    <w:rsid w:val="00B622EA"/>
    <w:rsid w:val="00B62336"/>
    <w:rsid w:val="00B6269A"/>
    <w:rsid w:val="00B63D84"/>
    <w:rsid w:val="00B641DC"/>
    <w:rsid w:val="00B64C30"/>
    <w:rsid w:val="00B65C82"/>
    <w:rsid w:val="00B66A19"/>
    <w:rsid w:val="00B66FBB"/>
    <w:rsid w:val="00B67567"/>
    <w:rsid w:val="00B6786C"/>
    <w:rsid w:val="00B679C7"/>
    <w:rsid w:val="00B67DDD"/>
    <w:rsid w:val="00B70CC0"/>
    <w:rsid w:val="00B714DE"/>
    <w:rsid w:val="00B71CCD"/>
    <w:rsid w:val="00B72745"/>
    <w:rsid w:val="00B72AE7"/>
    <w:rsid w:val="00B72AF6"/>
    <w:rsid w:val="00B72BDE"/>
    <w:rsid w:val="00B73564"/>
    <w:rsid w:val="00B7386C"/>
    <w:rsid w:val="00B738B5"/>
    <w:rsid w:val="00B73904"/>
    <w:rsid w:val="00B73D11"/>
    <w:rsid w:val="00B73D89"/>
    <w:rsid w:val="00B75075"/>
    <w:rsid w:val="00B7523B"/>
    <w:rsid w:val="00B75F77"/>
    <w:rsid w:val="00B760B8"/>
    <w:rsid w:val="00B77FB3"/>
    <w:rsid w:val="00B800C8"/>
    <w:rsid w:val="00B801BE"/>
    <w:rsid w:val="00B803FA"/>
    <w:rsid w:val="00B80B69"/>
    <w:rsid w:val="00B83FA1"/>
    <w:rsid w:val="00B84318"/>
    <w:rsid w:val="00B847B7"/>
    <w:rsid w:val="00B84831"/>
    <w:rsid w:val="00B84EBE"/>
    <w:rsid w:val="00B850D7"/>
    <w:rsid w:val="00B853A7"/>
    <w:rsid w:val="00B85C09"/>
    <w:rsid w:val="00B8605D"/>
    <w:rsid w:val="00B86532"/>
    <w:rsid w:val="00B86C9A"/>
    <w:rsid w:val="00B86E7E"/>
    <w:rsid w:val="00B87261"/>
    <w:rsid w:val="00B90A0E"/>
    <w:rsid w:val="00B90AFE"/>
    <w:rsid w:val="00B90CBF"/>
    <w:rsid w:val="00B92844"/>
    <w:rsid w:val="00B930F8"/>
    <w:rsid w:val="00B93663"/>
    <w:rsid w:val="00B936CC"/>
    <w:rsid w:val="00B93930"/>
    <w:rsid w:val="00B93C27"/>
    <w:rsid w:val="00B94144"/>
    <w:rsid w:val="00B952B7"/>
    <w:rsid w:val="00B973CE"/>
    <w:rsid w:val="00B9763F"/>
    <w:rsid w:val="00B977AA"/>
    <w:rsid w:val="00B97CE1"/>
    <w:rsid w:val="00B97DA3"/>
    <w:rsid w:val="00BA03A9"/>
    <w:rsid w:val="00BA0740"/>
    <w:rsid w:val="00BA0C3F"/>
    <w:rsid w:val="00BA1349"/>
    <w:rsid w:val="00BA1423"/>
    <w:rsid w:val="00BA24C0"/>
    <w:rsid w:val="00BA26D8"/>
    <w:rsid w:val="00BA311A"/>
    <w:rsid w:val="00BA3480"/>
    <w:rsid w:val="00BA3AFB"/>
    <w:rsid w:val="00BA4E0F"/>
    <w:rsid w:val="00BA5B0B"/>
    <w:rsid w:val="00BA5FB4"/>
    <w:rsid w:val="00BA646B"/>
    <w:rsid w:val="00BA656A"/>
    <w:rsid w:val="00BA70E0"/>
    <w:rsid w:val="00BA72F0"/>
    <w:rsid w:val="00BB0378"/>
    <w:rsid w:val="00BB0B49"/>
    <w:rsid w:val="00BB197B"/>
    <w:rsid w:val="00BB1CE7"/>
    <w:rsid w:val="00BB2A01"/>
    <w:rsid w:val="00BB328E"/>
    <w:rsid w:val="00BB3DF7"/>
    <w:rsid w:val="00BB46BB"/>
    <w:rsid w:val="00BB4C78"/>
    <w:rsid w:val="00BB4DEF"/>
    <w:rsid w:val="00BB50E0"/>
    <w:rsid w:val="00BB5B81"/>
    <w:rsid w:val="00BB5EB8"/>
    <w:rsid w:val="00BB6E2D"/>
    <w:rsid w:val="00BB71E2"/>
    <w:rsid w:val="00BB77B8"/>
    <w:rsid w:val="00BB7F4C"/>
    <w:rsid w:val="00BC09DD"/>
    <w:rsid w:val="00BC0E30"/>
    <w:rsid w:val="00BC13C9"/>
    <w:rsid w:val="00BC13EF"/>
    <w:rsid w:val="00BC1556"/>
    <w:rsid w:val="00BC18D5"/>
    <w:rsid w:val="00BC1A39"/>
    <w:rsid w:val="00BC1F4D"/>
    <w:rsid w:val="00BC2A37"/>
    <w:rsid w:val="00BC3051"/>
    <w:rsid w:val="00BC335B"/>
    <w:rsid w:val="00BC3725"/>
    <w:rsid w:val="00BC45CE"/>
    <w:rsid w:val="00BC4C54"/>
    <w:rsid w:val="00BC5194"/>
    <w:rsid w:val="00BC51C7"/>
    <w:rsid w:val="00BC5969"/>
    <w:rsid w:val="00BC5CFB"/>
    <w:rsid w:val="00BC60B3"/>
    <w:rsid w:val="00BC60B5"/>
    <w:rsid w:val="00BC63A0"/>
    <w:rsid w:val="00BC6915"/>
    <w:rsid w:val="00BC7492"/>
    <w:rsid w:val="00BD05FA"/>
    <w:rsid w:val="00BD0AB0"/>
    <w:rsid w:val="00BD0EB1"/>
    <w:rsid w:val="00BD183D"/>
    <w:rsid w:val="00BD1D4E"/>
    <w:rsid w:val="00BD227D"/>
    <w:rsid w:val="00BD2708"/>
    <w:rsid w:val="00BD3037"/>
    <w:rsid w:val="00BD3169"/>
    <w:rsid w:val="00BD35FE"/>
    <w:rsid w:val="00BD4046"/>
    <w:rsid w:val="00BD4544"/>
    <w:rsid w:val="00BD46D1"/>
    <w:rsid w:val="00BD48E1"/>
    <w:rsid w:val="00BD4C39"/>
    <w:rsid w:val="00BD4C4B"/>
    <w:rsid w:val="00BD5534"/>
    <w:rsid w:val="00BD5AAD"/>
    <w:rsid w:val="00BD6AB5"/>
    <w:rsid w:val="00BD73C7"/>
    <w:rsid w:val="00BD7665"/>
    <w:rsid w:val="00BD7678"/>
    <w:rsid w:val="00BD7BEF"/>
    <w:rsid w:val="00BE0291"/>
    <w:rsid w:val="00BE0361"/>
    <w:rsid w:val="00BE0704"/>
    <w:rsid w:val="00BE0958"/>
    <w:rsid w:val="00BE09ED"/>
    <w:rsid w:val="00BE0D01"/>
    <w:rsid w:val="00BE1079"/>
    <w:rsid w:val="00BE115D"/>
    <w:rsid w:val="00BE1234"/>
    <w:rsid w:val="00BE1236"/>
    <w:rsid w:val="00BE1958"/>
    <w:rsid w:val="00BE21C7"/>
    <w:rsid w:val="00BE3B0D"/>
    <w:rsid w:val="00BE3CE5"/>
    <w:rsid w:val="00BE3DA7"/>
    <w:rsid w:val="00BE49E4"/>
    <w:rsid w:val="00BE4E7E"/>
    <w:rsid w:val="00BE504D"/>
    <w:rsid w:val="00BE6183"/>
    <w:rsid w:val="00BE63E7"/>
    <w:rsid w:val="00BE6717"/>
    <w:rsid w:val="00BE7754"/>
    <w:rsid w:val="00BF0447"/>
    <w:rsid w:val="00BF0FA0"/>
    <w:rsid w:val="00BF1161"/>
    <w:rsid w:val="00BF189B"/>
    <w:rsid w:val="00BF2CD8"/>
    <w:rsid w:val="00BF2D8D"/>
    <w:rsid w:val="00BF2EEB"/>
    <w:rsid w:val="00BF3BCB"/>
    <w:rsid w:val="00BF3BF9"/>
    <w:rsid w:val="00BF4034"/>
    <w:rsid w:val="00BF53B6"/>
    <w:rsid w:val="00BF5713"/>
    <w:rsid w:val="00BF57BE"/>
    <w:rsid w:val="00BF5AC3"/>
    <w:rsid w:val="00BF6BED"/>
    <w:rsid w:val="00BF6D26"/>
    <w:rsid w:val="00BF70BC"/>
    <w:rsid w:val="00BF7C0C"/>
    <w:rsid w:val="00C001AB"/>
    <w:rsid w:val="00C005C3"/>
    <w:rsid w:val="00C007C6"/>
    <w:rsid w:val="00C00AE9"/>
    <w:rsid w:val="00C01143"/>
    <w:rsid w:val="00C01587"/>
    <w:rsid w:val="00C016CB"/>
    <w:rsid w:val="00C02144"/>
    <w:rsid w:val="00C02A8A"/>
    <w:rsid w:val="00C0329F"/>
    <w:rsid w:val="00C035DE"/>
    <w:rsid w:val="00C035F5"/>
    <w:rsid w:val="00C03A71"/>
    <w:rsid w:val="00C03D31"/>
    <w:rsid w:val="00C047DE"/>
    <w:rsid w:val="00C0489A"/>
    <w:rsid w:val="00C050CE"/>
    <w:rsid w:val="00C060D8"/>
    <w:rsid w:val="00C0614B"/>
    <w:rsid w:val="00C062AF"/>
    <w:rsid w:val="00C0690B"/>
    <w:rsid w:val="00C06D73"/>
    <w:rsid w:val="00C07114"/>
    <w:rsid w:val="00C07E0B"/>
    <w:rsid w:val="00C07F8C"/>
    <w:rsid w:val="00C10B0F"/>
    <w:rsid w:val="00C112AE"/>
    <w:rsid w:val="00C11BCE"/>
    <w:rsid w:val="00C11EB1"/>
    <w:rsid w:val="00C120AE"/>
    <w:rsid w:val="00C12C9F"/>
    <w:rsid w:val="00C12EBD"/>
    <w:rsid w:val="00C136F2"/>
    <w:rsid w:val="00C13786"/>
    <w:rsid w:val="00C14AF4"/>
    <w:rsid w:val="00C15C6F"/>
    <w:rsid w:val="00C163E1"/>
    <w:rsid w:val="00C16F2C"/>
    <w:rsid w:val="00C17372"/>
    <w:rsid w:val="00C17E1D"/>
    <w:rsid w:val="00C2056E"/>
    <w:rsid w:val="00C205D5"/>
    <w:rsid w:val="00C20690"/>
    <w:rsid w:val="00C208A2"/>
    <w:rsid w:val="00C20F7D"/>
    <w:rsid w:val="00C22539"/>
    <w:rsid w:val="00C23014"/>
    <w:rsid w:val="00C2359D"/>
    <w:rsid w:val="00C23672"/>
    <w:rsid w:val="00C23E73"/>
    <w:rsid w:val="00C24AC7"/>
    <w:rsid w:val="00C24CE9"/>
    <w:rsid w:val="00C250AE"/>
    <w:rsid w:val="00C253B6"/>
    <w:rsid w:val="00C256D4"/>
    <w:rsid w:val="00C25CCE"/>
    <w:rsid w:val="00C26C41"/>
    <w:rsid w:val="00C26DFA"/>
    <w:rsid w:val="00C26F58"/>
    <w:rsid w:val="00C27985"/>
    <w:rsid w:val="00C30415"/>
    <w:rsid w:val="00C30B0C"/>
    <w:rsid w:val="00C318CE"/>
    <w:rsid w:val="00C31CDE"/>
    <w:rsid w:val="00C32001"/>
    <w:rsid w:val="00C3216B"/>
    <w:rsid w:val="00C33A6D"/>
    <w:rsid w:val="00C33F89"/>
    <w:rsid w:val="00C3478A"/>
    <w:rsid w:val="00C356D3"/>
    <w:rsid w:val="00C3596E"/>
    <w:rsid w:val="00C3598E"/>
    <w:rsid w:val="00C35AC1"/>
    <w:rsid w:val="00C35E68"/>
    <w:rsid w:val="00C36264"/>
    <w:rsid w:val="00C3690C"/>
    <w:rsid w:val="00C36AC3"/>
    <w:rsid w:val="00C36F5B"/>
    <w:rsid w:val="00C37053"/>
    <w:rsid w:val="00C3717B"/>
    <w:rsid w:val="00C37310"/>
    <w:rsid w:val="00C40473"/>
    <w:rsid w:val="00C40AE7"/>
    <w:rsid w:val="00C40B2C"/>
    <w:rsid w:val="00C41190"/>
    <w:rsid w:val="00C41708"/>
    <w:rsid w:val="00C417CF"/>
    <w:rsid w:val="00C41AA2"/>
    <w:rsid w:val="00C41D62"/>
    <w:rsid w:val="00C42EDC"/>
    <w:rsid w:val="00C43E90"/>
    <w:rsid w:val="00C4583A"/>
    <w:rsid w:val="00C4624F"/>
    <w:rsid w:val="00C47499"/>
    <w:rsid w:val="00C501EE"/>
    <w:rsid w:val="00C50268"/>
    <w:rsid w:val="00C506F0"/>
    <w:rsid w:val="00C50B94"/>
    <w:rsid w:val="00C50D18"/>
    <w:rsid w:val="00C50D3D"/>
    <w:rsid w:val="00C51DBE"/>
    <w:rsid w:val="00C5326F"/>
    <w:rsid w:val="00C5385F"/>
    <w:rsid w:val="00C5399B"/>
    <w:rsid w:val="00C53A1C"/>
    <w:rsid w:val="00C53D46"/>
    <w:rsid w:val="00C53D7A"/>
    <w:rsid w:val="00C53FE7"/>
    <w:rsid w:val="00C548B3"/>
    <w:rsid w:val="00C553B2"/>
    <w:rsid w:val="00C55D0E"/>
    <w:rsid w:val="00C5638A"/>
    <w:rsid w:val="00C571AE"/>
    <w:rsid w:val="00C57812"/>
    <w:rsid w:val="00C57B51"/>
    <w:rsid w:val="00C603E7"/>
    <w:rsid w:val="00C60C8B"/>
    <w:rsid w:val="00C60EE1"/>
    <w:rsid w:val="00C61BE9"/>
    <w:rsid w:val="00C61DBE"/>
    <w:rsid w:val="00C61FF5"/>
    <w:rsid w:val="00C6259B"/>
    <w:rsid w:val="00C62D9A"/>
    <w:rsid w:val="00C62EA8"/>
    <w:rsid w:val="00C638CF"/>
    <w:rsid w:val="00C63DC8"/>
    <w:rsid w:val="00C6434B"/>
    <w:rsid w:val="00C64C27"/>
    <w:rsid w:val="00C65AB8"/>
    <w:rsid w:val="00C65CE9"/>
    <w:rsid w:val="00C66025"/>
    <w:rsid w:val="00C66071"/>
    <w:rsid w:val="00C66268"/>
    <w:rsid w:val="00C664A9"/>
    <w:rsid w:val="00C672DC"/>
    <w:rsid w:val="00C673B7"/>
    <w:rsid w:val="00C679D3"/>
    <w:rsid w:val="00C679F2"/>
    <w:rsid w:val="00C67EA1"/>
    <w:rsid w:val="00C70025"/>
    <w:rsid w:val="00C70356"/>
    <w:rsid w:val="00C70969"/>
    <w:rsid w:val="00C712CA"/>
    <w:rsid w:val="00C71EB8"/>
    <w:rsid w:val="00C7289E"/>
    <w:rsid w:val="00C729F1"/>
    <w:rsid w:val="00C7338F"/>
    <w:rsid w:val="00C7341A"/>
    <w:rsid w:val="00C73BE4"/>
    <w:rsid w:val="00C742FA"/>
    <w:rsid w:val="00C7484D"/>
    <w:rsid w:val="00C74CAF"/>
    <w:rsid w:val="00C74EA0"/>
    <w:rsid w:val="00C75833"/>
    <w:rsid w:val="00C75E20"/>
    <w:rsid w:val="00C75E24"/>
    <w:rsid w:val="00C76FBA"/>
    <w:rsid w:val="00C77202"/>
    <w:rsid w:val="00C775B4"/>
    <w:rsid w:val="00C77B34"/>
    <w:rsid w:val="00C803B3"/>
    <w:rsid w:val="00C80668"/>
    <w:rsid w:val="00C818A7"/>
    <w:rsid w:val="00C81F5C"/>
    <w:rsid w:val="00C82361"/>
    <w:rsid w:val="00C8242B"/>
    <w:rsid w:val="00C82869"/>
    <w:rsid w:val="00C83552"/>
    <w:rsid w:val="00C836A2"/>
    <w:rsid w:val="00C83B1B"/>
    <w:rsid w:val="00C83D26"/>
    <w:rsid w:val="00C841C2"/>
    <w:rsid w:val="00C84801"/>
    <w:rsid w:val="00C85455"/>
    <w:rsid w:val="00C86736"/>
    <w:rsid w:val="00C86775"/>
    <w:rsid w:val="00C869F8"/>
    <w:rsid w:val="00C86C66"/>
    <w:rsid w:val="00C87C88"/>
    <w:rsid w:val="00C87CC9"/>
    <w:rsid w:val="00C90310"/>
    <w:rsid w:val="00C90625"/>
    <w:rsid w:val="00C90A57"/>
    <w:rsid w:val="00C90AE8"/>
    <w:rsid w:val="00C90FE5"/>
    <w:rsid w:val="00C91874"/>
    <w:rsid w:val="00C927C7"/>
    <w:rsid w:val="00C9291A"/>
    <w:rsid w:val="00C93723"/>
    <w:rsid w:val="00C93867"/>
    <w:rsid w:val="00C949CD"/>
    <w:rsid w:val="00C951DE"/>
    <w:rsid w:val="00C9525F"/>
    <w:rsid w:val="00C955D7"/>
    <w:rsid w:val="00C964F3"/>
    <w:rsid w:val="00C96545"/>
    <w:rsid w:val="00C96C88"/>
    <w:rsid w:val="00C96D12"/>
    <w:rsid w:val="00C96F12"/>
    <w:rsid w:val="00C9729A"/>
    <w:rsid w:val="00C97330"/>
    <w:rsid w:val="00CA008A"/>
    <w:rsid w:val="00CA04C7"/>
    <w:rsid w:val="00CA06ED"/>
    <w:rsid w:val="00CA0EAD"/>
    <w:rsid w:val="00CA167B"/>
    <w:rsid w:val="00CA1F7F"/>
    <w:rsid w:val="00CA2237"/>
    <w:rsid w:val="00CA2258"/>
    <w:rsid w:val="00CA2260"/>
    <w:rsid w:val="00CA2881"/>
    <w:rsid w:val="00CA2905"/>
    <w:rsid w:val="00CA2A30"/>
    <w:rsid w:val="00CA2AD8"/>
    <w:rsid w:val="00CA303B"/>
    <w:rsid w:val="00CA3216"/>
    <w:rsid w:val="00CA354F"/>
    <w:rsid w:val="00CA4065"/>
    <w:rsid w:val="00CA4F2A"/>
    <w:rsid w:val="00CA550C"/>
    <w:rsid w:val="00CA5A69"/>
    <w:rsid w:val="00CA5F8A"/>
    <w:rsid w:val="00CA6267"/>
    <w:rsid w:val="00CA652A"/>
    <w:rsid w:val="00CA6B8F"/>
    <w:rsid w:val="00CA6F85"/>
    <w:rsid w:val="00CA7221"/>
    <w:rsid w:val="00CA7C9E"/>
    <w:rsid w:val="00CA7D15"/>
    <w:rsid w:val="00CB07EF"/>
    <w:rsid w:val="00CB0FED"/>
    <w:rsid w:val="00CB15B1"/>
    <w:rsid w:val="00CB1E79"/>
    <w:rsid w:val="00CB2698"/>
    <w:rsid w:val="00CB38A8"/>
    <w:rsid w:val="00CB46CA"/>
    <w:rsid w:val="00CB4EEA"/>
    <w:rsid w:val="00CB5E3C"/>
    <w:rsid w:val="00CB625C"/>
    <w:rsid w:val="00CB62D8"/>
    <w:rsid w:val="00CB6B14"/>
    <w:rsid w:val="00CB6DE4"/>
    <w:rsid w:val="00CB6E0C"/>
    <w:rsid w:val="00CB6F2D"/>
    <w:rsid w:val="00CC02BB"/>
    <w:rsid w:val="00CC055F"/>
    <w:rsid w:val="00CC0ACB"/>
    <w:rsid w:val="00CC0E25"/>
    <w:rsid w:val="00CC16BA"/>
    <w:rsid w:val="00CC1A2D"/>
    <w:rsid w:val="00CC1AC9"/>
    <w:rsid w:val="00CC26B6"/>
    <w:rsid w:val="00CC2DAA"/>
    <w:rsid w:val="00CC2FF0"/>
    <w:rsid w:val="00CC30A3"/>
    <w:rsid w:val="00CC37F4"/>
    <w:rsid w:val="00CC386B"/>
    <w:rsid w:val="00CC3DDF"/>
    <w:rsid w:val="00CC4068"/>
    <w:rsid w:val="00CC4162"/>
    <w:rsid w:val="00CC447F"/>
    <w:rsid w:val="00CC45D1"/>
    <w:rsid w:val="00CC52BF"/>
    <w:rsid w:val="00CC5489"/>
    <w:rsid w:val="00CC5FA3"/>
    <w:rsid w:val="00CC603E"/>
    <w:rsid w:val="00CC6315"/>
    <w:rsid w:val="00CC66A7"/>
    <w:rsid w:val="00CC6754"/>
    <w:rsid w:val="00CC7BF6"/>
    <w:rsid w:val="00CD0A63"/>
    <w:rsid w:val="00CD0F5A"/>
    <w:rsid w:val="00CD196D"/>
    <w:rsid w:val="00CD1D2D"/>
    <w:rsid w:val="00CD23FE"/>
    <w:rsid w:val="00CD25EC"/>
    <w:rsid w:val="00CD2AE0"/>
    <w:rsid w:val="00CD2DB9"/>
    <w:rsid w:val="00CD306B"/>
    <w:rsid w:val="00CD3529"/>
    <w:rsid w:val="00CD3FE1"/>
    <w:rsid w:val="00CD459F"/>
    <w:rsid w:val="00CD5D5D"/>
    <w:rsid w:val="00CD64FA"/>
    <w:rsid w:val="00CD68B3"/>
    <w:rsid w:val="00CD705E"/>
    <w:rsid w:val="00CD757B"/>
    <w:rsid w:val="00CD75C6"/>
    <w:rsid w:val="00CD7B35"/>
    <w:rsid w:val="00CD7C22"/>
    <w:rsid w:val="00CE082D"/>
    <w:rsid w:val="00CE08EC"/>
    <w:rsid w:val="00CE0E47"/>
    <w:rsid w:val="00CE157A"/>
    <w:rsid w:val="00CE15D5"/>
    <w:rsid w:val="00CE16F2"/>
    <w:rsid w:val="00CE28DB"/>
    <w:rsid w:val="00CE2F49"/>
    <w:rsid w:val="00CE310E"/>
    <w:rsid w:val="00CE31AC"/>
    <w:rsid w:val="00CE328E"/>
    <w:rsid w:val="00CE3FC7"/>
    <w:rsid w:val="00CE4B64"/>
    <w:rsid w:val="00CE4D8F"/>
    <w:rsid w:val="00CE5227"/>
    <w:rsid w:val="00CE52A0"/>
    <w:rsid w:val="00CE56B1"/>
    <w:rsid w:val="00CE6170"/>
    <w:rsid w:val="00CE6AE3"/>
    <w:rsid w:val="00CE6ED4"/>
    <w:rsid w:val="00CE7FCF"/>
    <w:rsid w:val="00CF0131"/>
    <w:rsid w:val="00CF0855"/>
    <w:rsid w:val="00CF0862"/>
    <w:rsid w:val="00CF093F"/>
    <w:rsid w:val="00CF117C"/>
    <w:rsid w:val="00CF1E55"/>
    <w:rsid w:val="00CF25D1"/>
    <w:rsid w:val="00CF25EE"/>
    <w:rsid w:val="00CF2CF7"/>
    <w:rsid w:val="00CF2D25"/>
    <w:rsid w:val="00CF2DF3"/>
    <w:rsid w:val="00CF3011"/>
    <w:rsid w:val="00CF371D"/>
    <w:rsid w:val="00CF3855"/>
    <w:rsid w:val="00CF3A04"/>
    <w:rsid w:val="00CF4059"/>
    <w:rsid w:val="00CF435D"/>
    <w:rsid w:val="00CF4A7F"/>
    <w:rsid w:val="00CF4B55"/>
    <w:rsid w:val="00CF4EDA"/>
    <w:rsid w:val="00CF58C0"/>
    <w:rsid w:val="00CF64C8"/>
    <w:rsid w:val="00CF69A2"/>
    <w:rsid w:val="00CF708A"/>
    <w:rsid w:val="00CF7267"/>
    <w:rsid w:val="00CF7A85"/>
    <w:rsid w:val="00D00070"/>
    <w:rsid w:val="00D00278"/>
    <w:rsid w:val="00D00904"/>
    <w:rsid w:val="00D009B7"/>
    <w:rsid w:val="00D00FDA"/>
    <w:rsid w:val="00D010F2"/>
    <w:rsid w:val="00D0132F"/>
    <w:rsid w:val="00D013D7"/>
    <w:rsid w:val="00D015B4"/>
    <w:rsid w:val="00D01711"/>
    <w:rsid w:val="00D017A3"/>
    <w:rsid w:val="00D01A9A"/>
    <w:rsid w:val="00D0260E"/>
    <w:rsid w:val="00D02655"/>
    <w:rsid w:val="00D02A86"/>
    <w:rsid w:val="00D0311C"/>
    <w:rsid w:val="00D034F1"/>
    <w:rsid w:val="00D04456"/>
    <w:rsid w:val="00D04529"/>
    <w:rsid w:val="00D04DCC"/>
    <w:rsid w:val="00D0534C"/>
    <w:rsid w:val="00D0614C"/>
    <w:rsid w:val="00D073D2"/>
    <w:rsid w:val="00D102DE"/>
    <w:rsid w:val="00D1162C"/>
    <w:rsid w:val="00D118B2"/>
    <w:rsid w:val="00D119BD"/>
    <w:rsid w:val="00D11A72"/>
    <w:rsid w:val="00D11D8B"/>
    <w:rsid w:val="00D126D0"/>
    <w:rsid w:val="00D12857"/>
    <w:rsid w:val="00D12AC2"/>
    <w:rsid w:val="00D13876"/>
    <w:rsid w:val="00D13B43"/>
    <w:rsid w:val="00D13C81"/>
    <w:rsid w:val="00D1456D"/>
    <w:rsid w:val="00D145CD"/>
    <w:rsid w:val="00D14761"/>
    <w:rsid w:val="00D14C25"/>
    <w:rsid w:val="00D151B8"/>
    <w:rsid w:val="00D151D7"/>
    <w:rsid w:val="00D15996"/>
    <w:rsid w:val="00D16350"/>
    <w:rsid w:val="00D1651F"/>
    <w:rsid w:val="00D17907"/>
    <w:rsid w:val="00D17C5E"/>
    <w:rsid w:val="00D20000"/>
    <w:rsid w:val="00D202D6"/>
    <w:rsid w:val="00D207D0"/>
    <w:rsid w:val="00D21848"/>
    <w:rsid w:val="00D21BF9"/>
    <w:rsid w:val="00D22102"/>
    <w:rsid w:val="00D229AF"/>
    <w:rsid w:val="00D22F21"/>
    <w:rsid w:val="00D23782"/>
    <w:rsid w:val="00D237D4"/>
    <w:rsid w:val="00D246DA"/>
    <w:rsid w:val="00D25CF1"/>
    <w:rsid w:val="00D27755"/>
    <w:rsid w:val="00D27BD6"/>
    <w:rsid w:val="00D27D90"/>
    <w:rsid w:val="00D27E8E"/>
    <w:rsid w:val="00D27F14"/>
    <w:rsid w:val="00D30290"/>
    <w:rsid w:val="00D30341"/>
    <w:rsid w:val="00D305FC"/>
    <w:rsid w:val="00D306F7"/>
    <w:rsid w:val="00D30ED4"/>
    <w:rsid w:val="00D31BA2"/>
    <w:rsid w:val="00D3222C"/>
    <w:rsid w:val="00D32280"/>
    <w:rsid w:val="00D323B7"/>
    <w:rsid w:val="00D3292F"/>
    <w:rsid w:val="00D32A99"/>
    <w:rsid w:val="00D33541"/>
    <w:rsid w:val="00D33BB4"/>
    <w:rsid w:val="00D35087"/>
    <w:rsid w:val="00D354FA"/>
    <w:rsid w:val="00D35550"/>
    <w:rsid w:val="00D35999"/>
    <w:rsid w:val="00D35DCD"/>
    <w:rsid w:val="00D363FC"/>
    <w:rsid w:val="00D37973"/>
    <w:rsid w:val="00D40D15"/>
    <w:rsid w:val="00D411A5"/>
    <w:rsid w:val="00D41F11"/>
    <w:rsid w:val="00D42C2C"/>
    <w:rsid w:val="00D42E24"/>
    <w:rsid w:val="00D435C5"/>
    <w:rsid w:val="00D449A7"/>
    <w:rsid w:val="00D44C29"/>
    <w:rsid w:val="00D45498"/>
    <w:rsid w:val="00D455DD"/>
    <w:rsid w:val="00D45C67"/>
    <w:rsid w:val="00D47611"/>
    <w:rsid w:val="00D47A66"/>
    <w:rsid w:val="00D47E4D"/>
    <w:rsid w:val="00D5038E"/>
    <w:rsid w:val="00D50887"/>
    <w:rsid w:val="00D50BD3"/>
    <w:rsid w:val="00D5156D"/>
    <w:rsid w:val="00D51831"/>
    <w:rsid w:val="00D518BD"/>
    <w:rsid w:val="00D51D40"/>
    <w:rsid w:val="00D5222B"/>
    <w:rsid w:val="00D52767"/>
    <w:rsid w:val="00D52A23"/>
    <w:rsid w:val="00D52E6C"/>
    <w:rsid w:val="00D53B7C"/>
    <w:rsid w:val="00D54A82"/>
    <w:rsid w:val="00D54B25"/>
    <w:rsid w:val="00D54C61"/>
    <w:rsid w:val="00D554EB"/>
    <w:rsid w:val="00D5582A"/>
    <w:rsid w:val="00D55897"/>
    <w:rsid w:val="00D56002"/>
    <w:rsid w:val="00D56C77"/>
    <w:rsid w:val="00D5714F"/>
    <w:rsid w:val="00D602F5"/>
    <w:rsid w:val="00D6072B"/>
    <w:rsid w:val="00D61420"/>
    <w:rsid w:val="00D61A07"/>
    <w:rsid w:val="00D6230D"/>
    <w:rsid w:val="00D62CB0"/>
    <w:rsid w:val="00D62D31"/>
    <w:rsid w:val="00D62E54"/>
    <w:rsid w:val="00D632D6"/>
    <w:rsid w:val="00D63998"/>
    <w:rsid w:val="00D63B5D"/>
    <w:rsid w:val="00D63D64"/>
    <w:rsid w:val="00D643C4"/>
    <w:rsid w:val="00D64D2D"/>
    <w:rsid w:val="00D64F56"/>
    <w:rsid w:val="00D6596B"/>
    <w:rsid w:val="00D66359"/>
    <w:rsid w:val="00D66451"/>
    <w:rsid w:val="00D66B05"/>
    <w:rsid w:val="00D66C83"/>
    <w:rsid w:val="00D67B55"/>
    <w:rsid w:val="00D70A25"/>
    <w:rsid w:val="00D70E09"/>
    <w:rsid w:val="00D70FEF"/>
    <w:rsid w:val="00D714B7"/>
    <w:rsid w:val="00D715F6"/>
    <w:rsid w:val="00D718AB"/>
    <w:rsid w:val="00D723F0"/>
    <w:rsid w:val="00D73DAB"/>
    <w:rsid w:val="00D74472"/>
    <w:rsid w:val="00D7527F"/>
    <w:rsid w:val="00D75923"/>
    <w:rsid w:val="00D763B4"/>
    <w:rsid w:val="00D76BC2"/>
    <w:rsid w:val="00D77042"/>
    <w:rsid w:val="00D772F6"/>
    <w:rsid w:val="00D77FE3"/>
    <w:rsid w:val="00D804BA"/>
    <w:rsid w:val="00D80C1F"/>
    <w:rsid w:val="00D80FF6"/>
    <w:rsid w:val="00D8107B"/>
    <w:rsid w:val="00D82D46"/>
    <w:rsid w:val="00D83200"/>
    <w:rsid w:val="00D8320D"/>
    <w:rsid w:val="00D83AA9"/>
    <w:rsid w:val="00D83BB2"/>
    <w:rsid w:val="00D84FEC"/>
    <w:rsid w:val="00D85224"/>
    <w:rsid w:val="00D856AF"/>
    <w:rsid w:val="00D85AA6"/>
    <w:rsid w:val="00D864FB"/>
    <w:rsid w:val="00D9028B"/>
    <w:rsid w:val="00D90771"/>
    <w:rsid w:val="00D907AB"/>
    <w:rsid w:val="00D90C65"/>
    <w:rsid w:val="00D910B9"/>
    <w:rsid w:val="00D9115B"/>
    <w:rsid w:val="00D913E3"/>
    <w:rsid w:val="00D9162C"/>
    <w:rsid w:val="00D92211"/>
    <w:rsid w:val="00D9250A"/>
    <w:rsid w:val="00D927FD"/>
    <w:rsid w:val="00D932EB"/>
    <w:rsid w:val="00D9438C"/>
    <w:rsid w:val="00D945D4"/>
    <w:rsid w:val="00D9586D"/>
    <w:rsid w:val="00D97583"/>
    <w:rsid w:val="00D97AC0"/>
    <w:rsid w:val="00D97E3F"/>
    <w:rsid w:val="00DA10E1"/>
    <w:rsid w:val="00DA1B6E"/>
    <w:rsid w:val="00DA2431"/>
    <w:rsid w:val="00DA37A5"/>
    <w:rsid w:val="00DA4A83"/>
    <w:rsid w:val="00DA4ECF"/>
    <w:rsid w:val="00DA4F53"/>
    <w:rsid w:val="00DA5555"/>
    <w:rsid w:val="00DA6099"/>
    <w:rsid w:val="00DA7400"/>
    <w:rsid w:val="00DA745B"/>
    <w:rsid w:val="00DB031A"/>
    <w:rsid w:val="00DB0F28"/>
    <w:rsid w:val="00DB111F"/>
    <w:rsid w:val="00DB1152"/>
    <w:rsid w:val="00DB1973"/>
    <w:rsid w:val="00DB1F2F"/>
    <w:rsid w:val="00DB2327"/>
    <w:rsid w:val="00DB2756"/>
    <w:rsid w:val="00DB323E"/>
    <w:rsid w:val="00DB3F65"/>
    <w:rsid w:val="00DB449B"/>
    <w:rsid w:val="00DB4AAE"/>
    <w:rsid w:val="00DB4CFA"/>
    <w:rsid w:val="00DB4D33"/>
    <w:rsid w:val="00DB4DEA"/>
    <w:rsid w:val="00DB591C"/>
    <w:rsid w:val="00DB5D15"/>
    <w:rsid w:val="00DB5D6F"/>
    <w:rsid w:val="00DB7101"/>
    <w:rsid w:val="00DB710A"/>
    <w:rsid w:val="00DB7BAC"/>
    <w:rsid w:val="00DB7FDF"/>
    <w:rsid w:val="00DC0135"/>
    <w:rsid w:val="00DC016C"/>
    <w:rsid w:val="00DC0B6A"/>
    <w:rsid w:val="00DC1C76"/>
    <w:rsid w:val="00DC2338"/>
    <w:rsid w:val="00DC29C1"/>
    <w:rsid w:val="00DC3068"/>
    <w:rsid w:val="00DC32DE"/>
    <w:rsid w:val="00DC3EF6"/>
    <w:rsid w:val="00DC5648"/>
    <w:rsid w:val="00DC5885"/>
    <w:rsid w:val="00DC6552"/>
    <w:rsid w:val="00DC6805"/>
    <w:rsid w:val="00DC6A47"/>
    <w:rsid w:val="00DC6D91"/>
    <w:rsid w:val="00DC70AA"/>
    <w:rsid w:val="00DC7164"/>
    <w:rsid w:val="00DC7BA8"/>
    <w:rsid w:val="00DD0074"/>
    <w:rsid w:val="00DD03F9"/>
    <w:rsid w:val="00DD0AE7"/>
    <w:rsid w:val="00DD0B4E"/>
    <w:rsid w:val="00DD0DDA"/>
    <w:rsid w:val="00DD1274"/>
    <w:rsid w:val="00DD196C"/>
    <w:rsid w:val="00DD1A48"/>
    <w:rsid w:val="00DD1E89"/>
    <w:rsid w:val="00DD29B8"/>
    <w:rsid w:val="00DD2E8A"/>
    <w:rsid w:val="00DD3D24"/>
    <w:rsid w:val="00DD3FD7"/>
    <w:rsid w:val="00DD449B"/>
    <w:rsid w:val="00DD5862"/>
    <w:rsid w:val="00DD5ACE"/>
    <w:rsid w:val="00DD6980"/>
    <w:rsid w:val="00DD6A9D"/>
    <w:rsid w:val="00DD7A94"/>
    <w:rsid w:val="00DD7FC2"/>
    <w:rsid w:val="00DE0566"/>
    <w:rsid w:val="00DE089C"/>
    <w:rsid w:val="00DE0B10"/>
    <w:rsid w:val="00DE0DE1"/>
    <w:rsid w:val="00DE185A"/>
    <w:rsid w:val="00DE19F6"/>
    <w:rsid w:val="00DE1F08"/>
    <w:rsid w:val="00DE2834"/>
    <w:rsid w:val="00DE2D9C"/>
    <w:rsid w:val="00DE373A"/>
    <w:rsid w:val="00DE466B"/>
    <w:rsid w:val="00DE5226"/>
    <w:rsid w:val="00DE6716"/>
    <w:rsid w:val="00DE732B"/>
    <w:rsid w:val="00DE73DC"/>
    <w:rsid w:val="00DE7C32"/>
    <w:rsid w:val="00DE7D0F"/>
    <w:rsid w:val="00DF01F0"/>
    <w:rsid w:val="00DF031C"/>
    <w:rsid w:val="00DF0469"/>
    <w:rsid w:val="00DF079D"/>
    <w:rsid w:val="00DF0981"/>
    <w:rsid w:val="00DF0EA7"/>
    <w:rsid w:val="00DF145D"/>
    <w:rsid w:val="00DF2027"/>
    <w:rsid w:val="00DF2180"/>
    <w:rsid w:val="00DF235F"/>
    <w:rsid w:val="00DF24C6"/>
    <w:rsid w:val="00DF2C69"/>
    <w:rsid w:val="00DF2FE4"/>
    <w:rsid w:val="00DF3276"/>
    <w:rsid w:val="00DF4676"/>
    <w:rsid w:val="00DF4732"/>
    <w:rsid w:val="00DF4CD2"/>
    <w:rsid w:val="00DF529A"/>
    <w:rsid w:val="00DF52A7"/>
    <w:rsid w:val="00DF6B9C"/>
    <w:rsid w:val="00DF729A"/>
    <w:rsid w:val="00DF78BB"/>
    <w:rsid w:val="00DF7AF5"/>
    <w:rsid w:val="00DF7DB0"/>
    <w:rsid w:val="00E007A3"/>
    <w:rsid w:val="00E00E98"/>
    <w:rsid w:val="00E016F6"/>
    <w:rsid w:val="00E01D16"/>
    <w:rsid w:val="00E026C6"/>
    <w:rsid w:val="00E02DDE"/>
    <w:rsid w:val="00E03039"/>
    <w:rsid w:val="00E03551"/>
    <w:rsid w:val="00E03AD7"/>
    <w:rsid w:val="00E04360"/>
    <w:rsid w:val="00E05307"/>
    <w:rsid w:val="00E0562F"/>
    <w:rsid w:val="00E06276"/>
    <w:rsid w:val="00E06407"/>
    <w:rsid w:val="00E068A4"/>
    <w:rsid w:val="00E06C49"/>
    <w:rsid w:val="00E07072"/>
    <w:rsid w:val="00E0708B"/>
    <w:rsid w:val="00E071F8"/>
    <w:rsid w:val="00E07241"/>
    <w:rsid w:val="00E072B2"/>
    <w:rsid w:val="00E07395"/>
    <w:rsid w:val="00E07A2C"/>
    <w:rsid w:val="00E105A4"/>
    <w:rsid w:val="00E105C5"/>
    <w:rsid w:val="00E108DB"/>
    <w:rsid w:val="00E109B8"/>
    <w:rsid w:val="00E112F7"/>
    <w:rsid w:val="00E11699"/>
    <w:rsid w:val="00E11F61"/>
    <w:rsid w:val="00E12140"/>
    <w:rsid w:val="00E124F0"/>
    <w:rsid w:val="00E126B5"/>
    <w:rsid w:val="00E12CFD"/>
    <w:rsid w:val="00E13105"/>
    <w:rsid w:val="00E13230"/>
    <w:rsid w:val="00E13DF5"/>
    <w:rsid w:val="00E142CA"/>
    <w:rsid w:val="00E14827"/>
    <w:rsid w:val="00E1488F"/>
    <w:rsid w:val="00E14DEF"/>
    <w:rsid w:val="00E163FD"/>
    <w:rsid w:val="00E1694B"/>
    <w:rsid w:val="00E16979"/>
    <w:rsid w:val="00E16FD6"/>
    <w:rsid w:val="00E1727B"/>
    <w:rsid w:val="00E1748D"/>
    <w:rsid w:val="00E17565"/>
    <w:rsid w:val="00E17F54"/>
    <w:rsid w:val="00E205ED"/>
    <w:rsid w:val="00E22803"/>
    <w:rsid w:val="00E23061"/>
    <w:rsid w:val="00E237BC"/>
    <w:rsid w:val="00E2382A"/>
    <w:rsid w:val="00E24B22"/>
    <w:rsid w:val="00E24BD0"/>
    <w:rsid w:val="00E25E08"/>
    <w:rsid w:val="00E26AD0"/>
    <w:rsid w:val="00E26E82"/>
    <w:rsid w:val="00E27341"/>
    <w:rsid w:val="00E277B8"/>
    <w:rsid w:val="00E278CE"/>
    <w:rsid w:val="00E27B1B"/>
    <w:rsid w:val="00E300EA"/>
    <w:rsid w:val="00E304C7"/>
    <w:rsid w:val="00E305FF"/>
    <w:rsid w:val="00E3066E"/>
    <w:rsid w:val="00E30CB6"/>
    <w:rsid w:val="00E30D71"/>
    <w:rsid w:val="00E310BB"/>
    <w:rsid w:val="00E316A4"/>
    <w:rsid w:val="00E3183F"/>
    <w:rsid w:val="00E318E5"/>
    <w:rsid w:val="00E31C61"/>
    <w:rsid w:val="00E32515"/>
    <w:rsid w:val="00E327C8"/>
    <w:rsid w:val="00E337DF"/>
    <w:rsid w:val="00E34546"/>
    <w:rsid w:val="00E346E9"/>
    <w:rsid w:val="00E34923"/>
    <w:rsid w:val="00E34A84"/>
    <w:rsid w:val="00E36398"/>
    <w:rsid w:val="00E36C11"/>
    <w:rsid w:val="00E36D42"/>
    <w:rsid w:val="00E372B7"/>
    <w:rsid w:val="00E372C2"/>
    <w:rsid w:val="00E37BF1"/>
    <w:rsid w:val="00E37C47"/>
    <w:rsid w:val="00E40383"/>
    <w:rsid w:val="00E40BCB"/>
    <w:rsid w:val="00E411E1"/>
    <w:rsid w:val="00E413C6"/>
    <w:rsid w:val="00E4189D"/>
    <w:rsid w:val="00E419B4"/>
    <w:rsid w:val="00E4207C"/>
    <w:rsid w:val="00E42AAA"/>
    <w:rsid w:val="00E42F25"/>
    <w:rsid w:val="00E43A79"/>
    <w:rsid w:val="00E43D5F"/>
    <w:rsid w:val="00E44E31"/>
    <w:rsid w:val="00E45375"/>
    <w:rsid w:val="00E453C3"/>
    <w:rsid w:val="00E45796"/>
    <w:rsid w:val="00E45B56"/>
    <w:rsid w:val="00E47B96"/>
    <w:rsid w:val="00E508C0"/>
    <w:rsid w:val="00E523CB"/>
    <w:rsid w:val="00E52CCB"/>
    <w:rsid w:val="00E52E4C"/>
    <w:rsid w:val="00E530FC"/>
    <w:rsid w:val="00E533EF"/>
    <w:rsid w:val="00E5356C"/>
    <w:rsid w:val="00E53652"/>
    <w:rsid w:val="00E53764"/>
    <w:rsid w:val="00E5382A"/>
    <w:rsid w:val="00E5433B"/>
    <w:rsid w:val="00E55D00"/>
    <w:rsid w:val="00E561F0"/>
    <w:rsid w:val="00E5633C"/>
    <w:rsid w:val="00E56EAE"/>
    <w:rsid w:val="00E56F6D"/>
    <w:rsid w:val="00E577C4"/>
    <w:rsid w:val="00E5791E"/>
    <w:rsid w:val="00E57A47"/>
    <w:rsid w:val="00E57B7C"/>
    <w:rsid w:val="00E57D31"/>
    <w:rsid w:val="00E60FE2"/>
    <w:rsid w:val="00E61499"/>
    <w:rsid w:val="00E6163B"/>
    <w:rsid w:val="00E6205A"/>
    <w:rsid w:val="00E62389"/>
    <w:rsid w:val="00E634F5"/>
    <w:rsid w:val="00E639BA"/>
    <w:rsid w:val="00E63A35"/>
    <w:rsid w:val="00E63A64"/>
    <w:rsid w:val="00E63F19"/>
    <w:rsid w:val="00E64816"/>
    <w:rsid w:val="00E64EFD"/>
    <w:rsid w:val="00E6509F"/>
    <w:rsid w:val="00E661B9"/>
    <w:rsid w:val="00E66CD3"/>
    <w:rsid w:val="00E66D51"/>
    <w:rsid w:val="00E67532"/>
    <w:rsid w:val="00E675FE"/>
    <w:rsid w:val="00E6792F"/>
    <w:rsid w:val="00E67DBC"/>
    <w:rsid w:val="00E7024F"/>
    <w:rsid w:val="00E70303"/>
    <w:rsid w:val="00E70439"/>
    <w:rsid w:val="00E70726"/>
    <w:rsid w:val="00E70CAF"/>
    <w:rsid w:val="00E70DB4"/>
    <w:rsid w:val="00E70DFC"/>
    <w:rsid w:val="00E7177B"/>
    <w:rsid w:val="00E7257A"/>
    <w:rsid w:val="00E72763"/>
    <w:rsid w:val="00E733B7"/>
    <w:rsid w:val="00E7430A"/>
    <w:rsid w:val="00E744EB"/>
    <w:rsid w:val="00E75A3F"/>
    <w:rsid w:val="00E76373"/>
    <w:rsid w:val="00E803D0"/>
    <w:rsid w:val="00E80457"/>
    <w:rsid w:val="00E822B8"/>
    <w:rsid w:val="00E82672"/>
    <w:rsid w:val="00E829E9"/>
    <w:rsid w:val="00E83AD5"/>
    <w:rsid w:val="00E83BF0"/>
    <w:rsid w:val="00E83C54"/>
    <w:rsid w:val="00E83FCE"/>
    <w:rsid w:val="00E8450C"/>
    <w:rsid w:val="00E84645"/>
    <w:rsid w:val="00E84A6E"/>
    <w:rsid w:val="00E84D1D"/>
    <w:rsid w:val="00E8523A"/>
    <w:rsid w:val="00E85CD6"/>
    <w:rsid w:val="00E8614C"/>
    <w:rsid w:val="00E86A58"/>
    <w:rsid w:val="00E87921"/>
    <w:rsid w:val="00E87BD3"/>
    <w:rsid w:val="00E87C59"/>
    <w:rsid w:val="00E87EA0"/>
    <w:rsid w:val="00E87EE4"/>
    <w:rsid w:val="00E906D7"/>
    <w:rsid w:val="00E90D85"/>
    <w:rsid w:val="00E90EC5"/>
    <w:rsid w:val="00E91524"/>
    <w:rsid w:val="00E915C5"/>
    <w:rsid w:val="00E91CBD"/>
    <w:rsid w:val="00E927FA"/>
    <w:rsid w:val="00E93C8D"/>
    <w:rsid w:val="00E9495B"/>
    <w:rsid w:val="00E9500C"/>
    <w:rsid w:val="00E95080"/>
    <w:rsid w:val="00E95C7D"/>
    <w:rsid w:val="00E95D22"/>
    <w:rsid w:val="00E95D8F"/>
    <w:rsid w:val="00E96317"/>
    <w:rsid w:val="00E9669B"/>
    <w:rsid w:val="00E96B66"/>
    <w:rsid w:val="00E96CD8"/>
    <w:rsid w:val="00E96D34"/>
    <w:rsid w:val="00E971C9"/>
    <w:rsid w:val="00E979DB"/>
    <w:rsid w:val="00E97A30"/>
    <w:rsid w:val="00EA0881"/>
    <w:rsid w:val="00EA23FF"/>
    <w:rsid w:val="00EA26AF"/>
    <w:rsid w:val="00EA2A3B"/>
    <w:rsid w:val="00EA2D9D"/>
    <w:rsid w:val="00EA2FA8"/>
    <w:rsid w:val="00EA306C"/>
    <w:rsid w:val="00EA3294"/>
    <w:rsid w:val="00EA34F1"/>
    <w:rsid w:val="00EA3B21"/>
    <w:rsid w:val="00EA4835"/>
    <w:rsid w:val="00EA4C6D"/>
    <w:rsid w:val="00EA4EF7"/>
    <w:rsid w:val="00EA6B44"/>
    <w:rsid w:val="00EA76D7"/>
    <w:rsid w:val="00EB03F2"/>
    <w:rsid w:val="00EB0732"/>
    <w:rsid w:val="00EB11EF"/>
    <w:rsid w:val="00EB1287"/>
    <w:rsid w:val="00EB1422"/>
    <w:rsid w:val="00EB2885"/>
    <w:rsid w:val="00EB3D92"/>
    <w:rsid w:val="00EB3E87"/>
    <w:rsid w:val="00EB4668"/>
    <w:rsid w:val="00EB4700"/>
    <w:rsid w:val="00EB5B71"/>
    <w:rsid w:val="00EB5C63"/>
    <w:rsid w:val="00EB5CA7"/>
    <w:rsid w:val="00EC0010"/>
    <w:rsid w:val="00EC0585"/>
    <w:rsid w:val="00EC1703"/>
    <w:rsid w:val="00EC18AE"/>
    <w:rsid w:val="00EC1E85"/>
    <w:rsid w:val="00EC23A2"/>
    <w:rsid w:val="00EC2414"/>
    <w:rsid w:val="00EC2701"/>
    <w:rsid w:val="00EC292E"/>
    <w:rsid w:val="00EC3787"/>
    <w:rsid w:val="00EC3A30"/>
    <w:rsid w:val="00EC4288"/>
    <w:rsid w:val="00EC469C"/>
    <w:rsid w:val="00EC48D6"/>
    <w:rsid w:val="00EC4AD7"/>
    <w:rsid w:val="00EC4D54"/>
    <w:rsid w:val="00EC5202"/>
    <w:rsid w:val="00EC5600"/>
    <w:rsid w:val="00EC56A6"/>
    <w:rsid w:val="00EC5B4C"/>
    <w:rsid w:val="00EC60EA"/>
    <w:rsid w:val="00EC6B73"/>
    <w:rsid w:val="00EC6C2A"/>
    <w:rsid w:val="00EC6E10"/>
    <w:rsid w:val="00EC70F9"/>
    <w:rsid w:val="00ED0378"/>
    <w:rsid w:val="00ED09EB"/>
    <w:rsid w:val="00ED0D80"/>
    <w:rsid w:val="00ED0EBC"/>
    <w:rsid w:val="00ED18F8"/>
    <w:rsid w:val="00ED195B"/>
    <w:rsid w:val="00ED1BA1"/>
    <w:rsid w:val="00ED2102"/>
    <w:rsid w:val="00ED3277"/>
    <w:rsid w:val="00ED39E7"/>
    <w:rsid w:val="00ED3B4C"/>
    <w:rsid w:val="00ED3E30"/>
    <w:rsid w:val="00ED40DF"/>
    <w:rsid w:val="00ED494E"/>
    <w:rsid w:val="00ED4AFB"/>
    <w:rsid w:val="00ED5069"/>
    <w:rsid w:val="00ED53A9"/>
    <w:rsid w:val="00ED5C37"/>
    <w:rsid w:val="00ED6E97"/>
    <w:rsid w:val="00ED7A81"/>
    <w:rsid w:val="00EE0494"/>
    <w:rsid w:val="00EE0BB7"/>
    <w:rsid w:val="00EE0BEB"/>
    <w:rsid w:val="00EE0CA3"/>
    <w:rsid w:val="00EE11D9"/>
    <w:rsid w:val="00EE1593"/>
    <w:rsid w:val="00EE17DE"/>
    <w:rsid w:val="00EE1BBD"/>
    <w:rsid w:val="00EE1F4B"/>
    <w:rsid w:val="00EE2280"/>
    <w:rsid w:val="00EE22B7"/>
    <w:rsid w:val="00EE310B"/>
    <w:rsid w:val="00EE3441"/>
    <w:rsid w:val="00EE3EE8"/>
    <w:rsid w:val="00EE4163"/>
    <w:rsid w:val="00EE5E45"/>
    <w:rsid w:val="00EE60D3"/>
    <w:rsid w:val="00EE682D"/>
    <w:rsid w:val="00EE6909"/>
    <w:rsid w:val="00EE6E37"/>
    <w:rsid w:val="00EE7455"/>
    <w:rsid w:val="00EE7F0F"/>
    <w:rsid w:val="00EF2C26"/>
    <w:rsid w:val="00EF367F"/>
    <w:rsid w:val="00EF3E4D"/>
    <w:rsid w:val="00EF3E72"/>
    <w:rsid w:val="00EF4385"/>
    <w:rsid w:val="00EF4555"/>
    <w:rsid w:val="00EF46B6"/>
    <w:rsid w:val="00EF4FE7"/>
    <w:rsid w:val="00EF5304"/>
    <w:rsid w:val="00EF599A"/>
    <w:rsid w:val="00EF68BE"/>
    <w:rsid w:val="00EF6D63"/>
    <w:rsid w:val="00EF736F"/>
    <w:rsid w:val="00EF75FF"/>
    <w:rsid w:val="00F00C98"/>
    <w:rsid w:val="00F01B62"/>
    <w:rsid w:val="00F022B7"/>
    <w:rsid w:val="00F02437"/>
    <w:rsid w:val="00F024ED"/>
    <w:rsid w:val="00F02756"/>
    <w:rsid w:val="00F02764"/>
    <w:rsid w:val="00F02895"/>
    <w:rsid w:val="00F0326A"/>
    <w:rsid w:val="00F03281"/>
    <w:rsid w:val="00F03521"/>
    <w:rsid w:val="00F04356"/>
    <w:rsid w:val="00F0443A"/>
    <w:rsid w:val="00F049ED"/>
    <w:rsid w:val="00F050E4"/>
    <w:rsid w:val="00F050F1"/>
    <w:rsid w:val="00F055FB"/>
    <w:rsid w:val="00F05AD7"/>
    <w:rsid w:val="00F05D65"/>
    <w:rsid w:val="00F05FB2"/>
    <w:rsid w:val="00F06CAC"/>
    <w:rsid w:val="00F06CF4"/>
    <w:rsid w:val="00F07055"/>
    <w:rsid w:val="00F072BE"/>
    <w:rsid w:val="00F10353"/>
    <w:rsid w:val="00F10429"/>
    <w:rsid w:val="00F1061B"/>
    <w:rsid w:val="00F1134A"/>
    <w:rsid w:val="00F114DA"/>
    <w:rsid w:val="00F11A2C"/>
    <w:rsid w:val="00F11B6E"/>
    <w:rsid w:val="00F12446"/>
    <w:rsid w:val="00F12BAB"/>
    <w:rsid w:val="00F12FD7"/>
    <w:rsid w:val="00F13126"/>
    <w:rsid w:val="00F13982"/>
    <w:rsid w:val="00F13A7F"/>
    <w:rsid w:val="00F13DBF"/>
    <w:rsid w:val="00F13F21"/>
    <w:rsid w:val="00F143E6"/>
    <w:rsid w:val="00F14A77"/>
    <w:rsid w:val="00F14B6D"/>
    <w:rsid w:val="00F1520D"/>
    <w:rsid w:val="00F1542B"/>
    <w:rsid w:val="00F1589A"/>
    <w:rsid w:val="00F15C52"/>
    <w:rsid w:val="00F15DD3"/>
    <w:rsid w:val="00F1606D"/>
    <w:rsid w:val="00F162EF"/>
    <w:rsid w:val="00F16C89"/>
    <w:rsid w:val="00F172A0"/>
    <w:rsid w:val="00F1739E"/>
    <w:rsid w:val="00F173CB"/>
    <w:rsid w:val="00F20817"/>
    <w:rsid w:val="00F20D95"/>
    <w:rsid w:val="00F20E43"/>
    <w:rsid w:val="00F2114D"/>
    <w:rsid w:val="00F21187"/>
    <w:rsid w:val="00F2128D"/>
    <w:rsid w:val="00F213D7"/>
    <w:rsid w:val="00F217FD"/>
    <w:rsid w:val="00F227AC"/>
    <w:rsid w:val="00F23092"/>
    <w:rsid w:val="00F230B1"/>
    <w:rsid w:val="00F230B7"/>
    <w:rsid w:val="00F23C5A"/>
    <w:rsid w:val="00F23E58"/>
    <w:rsid w:val="00F23FE2"/>
    <w:rsid w:val="00F248A9"/>
    <w:rsid w:val="00F250CF"/>
    <w:rsid w:val="00F25370"/>
    <w:rsid w:val="00F2665E"/>
    <w:rsid w:val="00F266A2"/>
    <w:rsid w:val="00F269F2"/>
    <w:rsid w:val="00F26D1D"/>
    <w:rsid w:val="00F26DF4"/>
    <w:rsid w:val="00F27BFF"/>
    <w:rsid w:val="00F27EE2"/>
    <w:rsid w:val="00F3008F"/>
    <w:rsid w:val="00F30164"/>
    <w:rsid w:val="00F30167"/>
    <w:rsid w:val="00F303A4"/>
    <w:rsid w:val="00F30A01"/>
    <w:rsid w:val="00F30A15"/>
    <w:rsid w:val="00F3235D"/>
    <w:rsid w:val="00F3243B"/>
    <w:rsid w:val="00F32563"/>
    <w:rsid w:val="00F32D8B"/>
    <w:rsid w:val="00F32DCA"/>
    <w:rsid w:val="00F33F79"/>
    <w:rsid w:val="00F344F9"/>
    <w:rsid w:val="00F34C24"/>
    <w:rsid w:val="00F35075"/>
    <w:rsid w:val="00F350AD"/>
    <w:rsid w:val="00F35584"/>
    <w:rsid w:val="00F36072"/>
    <w:rsid w:val="00F3742A"/>
    <w:rsid w:val="00F37D87"/>
    <w:rsid w:val="00F37F86"/>
    <w:rsid w:val="00F40119"/>
    <w:rsid w:val="00F4017D"/>
    <w:rsid w:val="00F406A7"/>
    <w:rsid w:val="00F40724"/>
    <w:rsid w:val="00F4150B"/>
    <w:rsid w:val="00F41519"/>
    <w:rsid w:val="00F426E2"/>
    <w:rsid w:val="00F429C0"/>
    <w:rsid w:val="00F4323E"/>
    <w:rsid w:val="00F43998"/>
    <w:rsid w:val="00F43B55"/>
    <w:rsid w:val="00F43BD8"/>
    <w:rsid w:val="00F43C34"/>
    <w:rsid w:val="00F43ECC"/>
    <w:rsid w:val="00F4491A"/>
    <w:rsid w:val="00F45F43"/>
    <w:rsid w:val="00F46714"/>
    <w:rsid w:val="00F4727F"/>
    <w:rsid w:val="00F4738D"/>
    <w:rsid w:val="00F47AE3"/>
    <w:rsid w:val="00F47AF5"/>
    <w:rsid w:val="00F47F0A"/>
    <w:rsid w:val="00F50012"/>
    <w:rsid w:val="00F5009C"/>
    <w:rsid w:val="00F502CB"/>
    <w:rsid w:val="00F512C3"/>
    <w:rsid w:val="00F51336"/>
    <w:rsid w:val="00F51604"/>
    <w:rsid w:val="00F51A88"/>
    <w:rsid w:val="00F51E37"/>
    <w:rsid w:val="00F5216A"/>
    <w:rsid w:val="00F5220A"/>
    <w:rsid w:val="00F52687"/>
    <w:rsid w:val="00F53694"/>
    <w:rsid w:val="00F53EA3"/>
    <w:rsid w:val="00F545A5"/>
    <w:rsid w:val="00F54896"/>
    <w:rsid w:val="00F54A1E"/>
    <w:rsid w:val="00F54FD5"/>
    <w:rsid w:val="00F55303"/>
    <w:rsid w:val="00F55508"/>
    <w:rsid w:val="00F55BB2"/>
    <w:rsid w:val="00F55D12"/>
    <w:rsid w:val="00F55E96"/>
    <w:rsid w:val="00F5659D"/>
    <w:rsid w:val="00F566BA"/>
    <w:rsid w:val="00F57056"/>
    <w:rsid w:val="00F57C1B"/>
    <w:rsid w:val="00F6045C"/>
    <w:rsid w:val="00F605BE"/>
    <w:rsid w:val="00F60B07"/>
    <w:rsid w:val="00F60C5F"/>
    <w:rsid w:val="00F60E71"/>
    <w:rsid w:val="00F611F7"/>
    <w:rsid w:val="00F61237"/>
    <w:rsid w:val="00F613B7"/>
    <w:rsid w:val="00F6158B"/>
    <w:rsid w:val="00F618AA"/>
    <w:rsid w:val="00F6194F"/>
    <w:rsid w:val="00F62B80"/>
    <w:rsid w:val="00F62E22"/>
    <w:rsid w:val="00F63101"/>
    <w:rsid w:val="00F63223"/>
    <w:rsid w:val="00F63880"/>
    <w:rsid w:val="00F63B63"/>
    <w:rsid w:val="00F63F79"/>
    <w:rsid w:val="00F6457E"/>
    <w:rsid w:val="00F64948"/>
    <w:rsid w:val="00F64F3B"/>
    <w:rsid w:val="00F65AE7"/>
    <w:rsid w:val="00F66371"/>
    <w:rsid w:val="00F6665B"/>
    <w:rsid w:val="00F66D6C"/>
    <w:rsid w:val="00F678A9"/>
    <w:rsid w:val="00F679E0"/>
    <w:rsid w:val="00F706AC"/>
    <w:rsid w:val="00F707F0"/>
    <w:rsid w:val="00F70E30"/>
    <w:rsid w:val="00F71681"/>
    <w:rsid w:val="00F71A30"/>
    <w:rsid w:val="00F71DF8"/>
    <w:rsid w:val="00F74237"/>
    <w:rsid w:val="00F75931"/>
    <w:rsid w:val="00F762DF"/>
    <w:rsid w:val="00F7708B"/>
    <w:rsid w:val="00F771E5"/>
    <w:rsid w:val="00F8044C"/>
    <w:rsid w:val="00F810ED"/>
    <w:rsid w:val="00F824DC"/>
    <w:rsid w:val="00F82C54"/>
    <w:rsid w:val="00F82FD9"/>
    <w:rsid w:val="00F832E6"/>
    <w:rsid w:val="00F832EE"/>
    <w:rsid w:val="00F83554"/>
    <w:rsid w:val="00F8403E"/>
    <w:rsid w:val="00F841BA"/>
    <w:rsid w:val="00F8434F"/>
    <w:rsid w:val="00F844D3"/>
    <w:rsid w:val="00F848F7"/>
    <w:rsid w:val="00F84C4E"/>
    <w:rsid w:val="00F852A6"/>
    <w:rsid w:val="00F8617A"/>
    <w:rsid w:val="00F86CFA"/>
    <w:rsid w:val="00F8732F"/>
    <w:rsid w:val="00F877AA"/>
    <w:rsid w:val="00F878A5"/>
    <w:rsid w:val="00F90B10"/>
    <w:rsid w:val="00F90D67"/>
    <w:rsid w:val="00F912B6"/>
    <w:rsid w:val="00F91A47"/>
    <w:rsid w:val="00F91AD1"/>
    <w:rsid w:val="00F91C7D"/>
    <w:rsid w:val="00F91F87"/>
    <w:rsid w:val="00F924ED"/>
    <w:rsid w:val="00F92A05"/>
    <w:rsid w:val="00F93174"/>
    <w:rsid w:val="00F93EE7"/>
    <w:rsid w:val="00F94001"/>
    <w:rsid w:val="00F9491F"/>
    <w:rsid w:val="00F9573F"/>
    <w:rsid w:val="00F96151"/>
    <w:rsid w:val="00F96341"/>
    <w:rsid w:val="00F96A99"/>
    <w:rsid w:val="00F96C44"/>
    <w:rsid w:val="00F977E3"/>
    <w:rsid w:val="00F978F2"/>
    <w:rsid w:val="00FA183D"/>
    <w:rsid w:val="00FA184B"/>
    <w:rsid w:val="00FA193A"/>
    <w:rsid w:val="00FA21E3"/>
    <w:rsid w:val="00FA2347"/>
    <w:rsid w:val="00FA27C8"/>
    <w:rsid w:val="00FA33B1"/>
    <w:rsid w:val="00FA3B3F"/>
    <w:rsid w:val="00FA40AD"/>
    <w:rsid w:val="00FA43D1"/>
    <w:rsid w:val="00FA6300"/>
    <w:rsid w:val="00FA70EB"/>
    <w:rsid w:val="00FB034C"/>
    <w:rsid w:val="00FB1293"/>
    <w:rsid w:val="00FB1946"/>
    <w:rsid w:val="00FB1D71"/>
    <w:rsid w:val="00FB22DC"/>
    <w:rsid w:val="00FB238B"/>
    <w:rsid w:val="00FB2B73"/>
    <w:rsid w:val="00FB2E5E"/>
    <w:rsid w:val="00FB39F6"/>
    <w:rsid w:val="00FB44E2"/>
    <w:rsid w:val="00FB5104"/>
    <w:rsid w:val="00FB5662"/>
    <w:rsid w:val="00FB5DCB"/>
    <w:rsid w:val="00FB5DF7"/>
    <w:rsid w:val="00FB5F2F"/>
    <w:rsid w:val="00FB5F90"/>
    <w:rsid w:val="00FB634D"/>
    <w:rsid w:val="00FB6420"/>
    <w:rsid w:val="00FB64D0"/>
    <w:rsid w:val="00FB7255"/>
    <w:rsid w:val="00FB75BC"/>
    <w:rsid w:val="00FB7947"/>
    <w:rsid w:val="00FC0252"/>
    <w:rsid w:val="00FC0863"/>
    <w:rsid w:val="00FC086D"/>
    <w:rsid w:val="00FC0F54"/>
    <w:rsid w:val="00FC1E0F"/>
    <w:rsid w:val="00FC1FAF"/>
    <w:rsid w:val="00FC23A4"/>
    <w:rsid w:val="00FC24F7"/>
    <w:rsid w:val="00FC2BA8"/>
    <w:rsid w:val="00FC3706"/>
    <w:rsid w:val="00FC38EA"/>
    <w:rsid w:val="00FC3E0A"/>
    <w:rsid w:val="00FC3E47"/>
    <w:rsid w:val="00FC475F"/>
    <w:rsid w:val="00FC4B48"/>
    <w:rsid w:val="00FC4DCC"/>
    <w:rsid w:val="00FC5C92"/>
    <w:rsid w:val="00FC5E49"/>
    <w:rsid w:val="00FC5EAF"/>
    <w:rsid w:val="00FC63AE"/>
    <w:rsid w:val="00FC65DF"/>
    <w:rsid w:val="00FC6812"/>
    <w:rsid w:val="00FC76F5"/>
    <w:rsid w:val="00FC7851"/>
    <w:rsid w:val="00FC7AD1"/>
    <w:rsid w:val="00FC7C1C"/>
    <w:rsid w:val="00FD02B5"/>
    <w:rsid w:val="00FD102A"/>
    <w:rsid w:val="00FD1320"/>
    <w:rsid w:val="00FD14E2"/>
    <w:rsid w:val="00FD1644"/>
    <w:rsid w:val="00FD18B2"/>
    <w:rsid w:val="00FD1AC5"/>
    <w:rsid w:val="00FD1CBC"/>
    <w:rsid w:val="00FD2B09"/>
    <w:rsid w:val="00FD2BEB"/>
    <w:rsid w:val="00FD3277"/>
    <w:rsid w:val="00FD332F"/>
    <w:rsid w:val="00FD428D"/>
    <w:rsid w:val="00FD43BC"/>
    <w:rsid w:val="00FD5677"/>
    <w:rsid w:val="00FD5ABC"/>
    <w:rsid w:val="00FD5E7C"/>
    <w:rsid w:val="00FD660E"/>
    <w:rsid w:val="00FD66D7"/>
    <w:rsid w:val="00FD6C71"/>
    <w:rsid w:val="00FE0C2C"/>
    <w:rsid w:val="00FE0D82"/>
    <w:rsid w:val="00FE100F"/>
    <w:rsid w:val="00FE13F4"/>
    <w:rsid w:val="00FE1B09"/>
    <w:rsid w:val="00FE1D38"/>
    <w:rsid w:val="00FE28AE"/>
    <w:rsid w:val="00FE2C4B"/>
    <w:rsid w:val="00FE2FCA"/>
    <w:rsid w:val="00FE3A34"/>
    <w:rsid w:val="00FE3B53"/>
    <w:rsid w:val="00FE3E6F"/>
    <w:rsid w:val="00FE4282"/>
    <w:rsid w:val="00FE42D2"/>
    <w:rsid w:val="00FE443A"/>
    <w:rsid w:val="00FE44C2"/>
    <w:rsid w:val="00FE4E16"/>
    <w:rsid w:val="00FE5AB7"/>
    <w:rsid w:val="00FE656C"/>
    <w:rsid w:val="00FE6739"/>
    <w:rsid w:val="00FE6A06"/>
    <w:rsid w:val="00FE7F16"/>
    <w:rsid w:val="00FF00A1"/>
    <w:rsid w:val="00FF039D"/>
    <w:rsid w:val="00FF06E1"/>
    <w:rsid w:val="00FF0AB4"/>
    <w:rsid w:val="00FF0BA9"/>
    <w:rsid w:val="00FF0BD6"/>
    <w:rsid w:val="00FF0BDB"/>
    <w:rsid w:val="00FF0C00"/>
    <w:rsid w:val="00FF0C2B"/>
    <w:rsid w:val="00FF0F8C"/>
    <w:rsid w:val="00FF1333"/>
    <w:rsid w:val="00FF14FC"/>
    <w:rsid w:val="00FF17E1"/>
    <w:rsid w:val="00FF1ED2"/>
    <w:rsid w:val="00FF29DC"/>
    <w:rsid w:val="00FF3115"/>
    <w:rsid w:val="00FF312C"/>
    <w:rsid w:val="00FF403D"/>
    <w:rsid w:val="00FF475C"/>
    <w:rsid w:val="00FF4AB6"/>
    <w:rsid w:val="00FF4B91"/>
    <w:rsid w:val="00FF50B8"/>
    <w:rsid w:val="00FF5117"/>
    <w:rsid w:val="00FF58E5"/>
    <w:rsid w:val="00FF67BF"/>
    <w:rsid w:val="00FF6822"/>
    <w:rsid w:val="00FF7217"/>
    <w:rsid w:val="00FF7251"/>
    <w:rsid w:val="00FF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 style="mso-width-percent:900;v-text-anchor:bottom" fill="f" fillcolor="white" strokecolor="white">
      <v:fill color="white" on="f"/>
      <v:stroke color="white" weight=".5pt"/>
      <v:textbox inset=",,,0"/>
    </o:shapedefaults>
    <o:shapelayout v:ext="edit">
      <o:idmap v:ext="edit" data="1"/>
      <o:rules v:ext="edit">
        <o:r id="V:Rule1" type="connector" idref="#Прямая со стрелкой 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F6A3D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DB4D33"/>
    <w:pPr>
      <w:keepNext/>
      <w:spacing w:before="240" w:after="60"/>
      <w:ind w:left="708"/>
      <w:outlineLvl w:val="0"/>
    </w:pPr>
    <w:rPr>
      <w:rFonts w:ascii="Arial" w:hAnsi="Arial"/>
      <w:b/>
      <w:bCs/>
      <w:kern w:val="32"/>
      <w:sz w:val="28"/>
      <w:szCs w:val="32"/>
      <w:lang/>
    </w:rPr>
  </w:style>
  <w:style w:type="paragraph" w:styleId="21">
    <w:name w:val="heading 2"/>
    <w:basedOn w:val="a1"/>
    <w:next w:val="a1"/>
    <w:link w:val="22"/>
    <w:uiPriority w:val="9"/>
    <w:unhideWhenUsed/>
    <w:qFormat/>
    <w:rsid w:val="00DB4D33"/>
    <w:pPr>
      <w:keepNext/>
      <w:spacing w:before="240" w:after="60"/>
      <w:ind w:left="708"/>
      <w:outlineLvl w:val="1"/>
    </w:pPr>
    <w:rPr>
      <w:rFonts w:ascii="Arial" w:hAnsi="Arial"/>
      <w:b/>
      <w:bCs/>
      <w:iCs/>
      <w:sz w:val="28"/>
      <w:szCs w:val="28"/>
      <w:lang/>
    </w:rPr>
  </w:style>
  <w:style w:type="paragraph" w:styleId="31">
    <w:name w:val="heading 3"/>
    <w:basedOn w:val="a1"/>
    <w:next w:val="a1"/>
    <w:link w:val="32"/>
    <w:uiPriority w:val="9"/>
    <w:unhideWhenUsed/>
    <w:qFormat/>
    <w:rsid w:val="00DB4D33"/>
    <w:pPr>
      <w:keepNext/>
      <w:spacing w:before="240" w:after="60"/>
      <w:ind w:left="708"/>
      <w:outlineLvl w:val="2"/>
    </w:pPr>
    <w:rPr>
      <w:rFonts w:ascii="Arial" w:hAnsi="Arial"/>
      <w:bCs/>
      <w:i/>
      <w:sz w:val="28"/>
      <w:szCs w:val="26"/>
      <w:lang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F6A3D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F6A3D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F6A3D"/>
    <w:pPr>
      <w:spacing w:before="240" w:after="60"/>
      <w:outlineLvl w:val="5"/>
    </w:pPr>
    <w:rPr>
      <w:b/>
      <w:bCs/>
      <w:sz w:val="20"/>
      <w:szCs w:val="20"/>
      <w:lang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F6A3D"/>
    <w:pPr>
      <w:spacing w:before="240" w:after="60"/>
      <w:outlineLvl w:val="6"/>
    </w:pPr>
    <w:rPr>
      <w:lang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F6A3D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F6A3D"/>
    <w:pPr>
      <w:spacing w:before="240" w:after="60"/>
      <w:outlineLvl w:val="8"/>
    </w:pPr>
    <w:rPr>
      <w:rFonts w:ascii="Cambria" w:hAnsi="Cambria"/>
      <w:sz w:val="20"/>
      <w:szCs w:val="20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4D33"/>
    <w:rPr>
      <w:rFonts w:ascii="Arial" w:hAnsi="Arial"/>
      <w:b/>
      <w:bCs/>
      <w:kern w:val="32"/>
      <w:sz w:val="28"/>
      <w:szCs w:val="32"/>
    </w:rPr>
  </w:style>
  <w:style w:type="character" w:customStyle="1" w:styleId="22">
    <w:name w:val="Заголовок 2 Знак"/>
    <w:link w:val="21"/>
    <w:uiPriority w:val="9"/>
    <w:rsid w:val="00DB4D33"/>
    <w:rPr>
      <w:rFonts w:ascii="Arial" w:hAnsi="Arial"/>
      <w:b/>
      <w:bCs/>
      <w:iCs/>
      <w:sz w:val="28"/>
      <w:szCs w:val="28"/>
    </w:rPr>
  </w:style>
  <w:style w:type="character" w:customStyle="1" w:styleId="32">
    <w:name w:val="Заголовок 3 Знак"/>
    <w:link w:val="31"/>
    <w:uiPriority w:val="9"/>
    <w:rsid w:val="00DB4D33"/>
    <w:rPr>
      <w:rFonts w:ascii="Arial" w:hAnsi="Arial"/>
      <w:bCs/>
      <w:i/>
      <w:sz w:val="28"/>
      <w:szCs w:val="26"/>
    </w:rPr>
  </w:style>
  <w:style w:type="character" w:customStyle="1" w:styleId="42">
    <w:name w:val="Заголовок 4 Знак"/>
    <w:link w:val="41"/>
    <w:uiPriority w:val="9"/>
    <w:semiHidden/>
    <w:rsid w:val="007F6A3D"/>
    <w:rPr>
      <w:b/>
      <w:bCs/>
      <w:sz w:val="28"/>
      <w:szCs w:val="28"/>
    </w:rPr>
  </w:style>
  <w:style w:type="character" w:customStyle="1" w:styleId="52">
    <w:name w:val="Заголовок 5 Знак"/>
    <w:link w:val="51"/>
    <w:uiPriority w:val="9"/>
    <w:semiHidden/>
    <w:rsid w:val="007F6A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F6A3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7F6A3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F6A3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F6A3D"/>
    <w:rPr>
      <w:rFonts w:ascii="Cambria" w:eastAsia="Times New Roman" w:hAnsi="Cambria"/>
    </w:rPr>
  </w:style>
  <w:style w:type="paragraph" w:styleId="a5">
    <w:name w:val="Balloon Text"/>
    <w:basedOn w:val="a1"/>
    <w:link w:val="a6"/>
    <w:uiPriority w:val="99"/>
    <w:semiHidden/>
    <w:unhideWhenUsed/>
    <w:rsid w:val="004E6AB5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4E6AB5"/>
    <w:rPr>
      <w:rFonts w:ascii="Segoe UI" w:hAnsi="Segoe UI" w:cs="Segoe UI"/>
      <w:sz w:val="18"/>
      <w:szCs w:val="18"/>
    </w:rPr>
  </w:style>
  <w:style w:type="paragraph" w:styleId="a7">
    <w:name w:val="footnote text"/>
    <w:basedOn w:val="a1"/>
    <w:link w:val="a8"/>
    <w:uiPriority w:val="99"/>
    <w:unhideWhenUsed/>
    <w:rsid w:val="000031B1"/>
    <w:rPr>
      <w:sz w:val="20"/>
      <w:szCs w:val="20"/>
      <w:lang/>
    </w:rPr>
  </w:style>
  <w:style w:type="character" w:customStyle="1" w:styleId="a8">
    <w:name w:val="Текст сноски Знак"/>
    <w:link w:val="a7"/>
    <w:uiPriority w:val="99"/>
    <w:rsid w:val="000031B1"/>
    <w:rPr>
      <w:sz w:val="20"/>
      <w:szCs w:val="20"/>
    </w:rPr>
  </w:style>
  <w:style w:type="character" w:styleId="a9">
    <w:name w:val="footnote reference"/>
    <w:uiPriority w:val="99"/>
    <w:semiHidden/>
    <w:unhideWhenUsed/>
    <w:rsid w:val="000031B1"/>
    <w:rPr>
      <w:vertAlign w:val="superscript"/>
    </w:rPr>
  </w:style>
  <w:style w:type="paragraph" w:styleId="aa">
    <w:name w:val="header"/>
    <w:basedOn w:val="a1"/>
    <w:link w:val="ab"/>
    <w:uiPriority w:val="99"/>
    <w:unhideWhenUsed/>
    <w:rsid w:val="000031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0031B1"/>
  </w:style>
  <w:style w:type="paragraph" w:styleId="ac">
    <w:name w:val="footer"/>
    <w:basedOn w:val="a1"/>
    <w:link w:val="ad"/>
    <w:uiPriority w:val="99"/>
    <w:unhideWhenUsed/>
    <w:rsid w:val="000031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0031B1"/>
  </w:style>
  <w:style w:type="table" w:styleId="ae">
    <w:name w:val="Table Grid"/>
    <w:basedOn w:val="a3"/>
    <w:uiPriority w:val="39"/>
    <w:rsid w:val="00F566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1"/>
    <w:uiPriority w:val="34"/>
    <w:qFormat/>
    <w:rsid w:val="007F6A3D"/>
    <w:pPr>
      <w:ind w:left="720"/>
      <w:contextualSpacing/>
    </w:pPr>
  </w:style>
  <w:style w:type="character" w:styleId="af0">
    <w:name w:val="Hyperlink"/>
    <w:uiPriority w:val="99"/>
    <w:unhideWhenUsed/>
    <w:rsid w:val="00511F05"/>
    <w:rPr>
      <w:color w:val="0563C1"/>
      <w:u w:val="single"/>
    </w:rPr>
  </w:style>
  <w:style w:type="paragraph" w:styleId="af1">
    <w:name w:val="TOC Heading"/>
    <w:basedOn w:val="1"/>
    <w:next w:val="a1"/>
    <w:uiPriority w:val="39"/>
    <w:unhideWhenUsed/>
    <w:qFormat/>
    <w:rsid w:val="007F6A3D"/>
    <w:pPr>
      <w:outlineLvl w:val="9"/>
    </w:pPr>
    <w:rPr>
      <w:rFonts w:ascii="Cambria" w:hAnsi="Cambria"/>
    </w:rPr>
  </w:style>
  <w:style w:type="paragraph" w:styleId="11">
    <w:name w:val="toc 1"/>
    <w:basedOn w:val="a1"/>
    <w:next w:val="a1"/>
    <w:autoRedefine/>
    <w:uiPriority w:val="39"/>
    <w:unhideWhenUsed/>
    <w:rsid w:val="00A00BB4"/>
    <w:pPr>
      <w:tabs>
        <w:tab w:val="right" w:leader="dot" w:pos="9639"/>
      </w:tabs>
      <w:spacing w:line="276" w:lineRule="auto"/>
    </w:pPr>
    <w:rPr>
      <w:rFonts w:cs="Calibri"/>
      <w:noProof/>
      <w:sz w:val="22"/>
      <w:szCs w:val="22"/>
      <w:lang w:val="en-US"/>
    </w:rPr>
  </w:style>
  <w:style w:type="paragraph" w:styleId="23">
    <w:name w:val="toc 2"/>
    <w:basedOn w:val="a1"/>
    <w:next w:val="a1"/>
    <w:autoRedefine/>
    <w:uiPriority w:val="39"/>
    <w:unhideWhenUsed/>
    <w:rsid w:val="00325FE6"/>
    <w:pPr>
      <w:tabs>
        <w:tab w:val="right" w:leader="dot" w:pos="9628"/>
      </w:tabs>
      <w:ind w:left="426"/>
      <w:jc w:val="both"/>
    </w:pPr>
  </w:style>
  <w:style w:type="paragraph" w:styleId="33">
    <w:name w:val="toc 3"/>
    <w:basedOn w:val="a1"/>
    <w:next w:val="a1"/>
    <w:autoRedefine/>
    <w:uiPriority w:val="39"/>
    <w:unhideWhenUsed/>
    <w:rsid w:val="004179C1"/>
    <w:pPr>
      <w:spacing w:after="100" w:line="276" w:lineRule="auto"/>
      <w:ind w:left="440"/>
    </w:pPr>
  </w:style>
  <w:style w:type="paragraph" w:styleId="af2">
    <w:name w:val="caption"/>
    <w:basedOn w:val="a1"/>
    <w:next w:val="a1"/>
    <w:uiPriority w:val="35"/>
    <w:unhideWhenUsed/>
    <w:rsid w:val="007F6A3D"/>
    <w:pPr>
      <w:spacing w:after="200"/>
    </w:pPr>
    <w:rPr>
      <w:i/>
      <w:iCs/>
      <w:color w:val="44546A"/>
      <w:sz w:val="18"/>
      <w:szCs w:val="18"/>
    </w:rPr>
  </w:style>
  <w:style w:type="paragraph" w:styleId="af3">
    <w:name w:val="endnote text"/>
    <w:basedOn w:val="a1"/>
    <w:link w:val="af4"/>
    <w:uiPriority w:val="99"/>
    <w:semiHidden/>
    <w:unhideWhenUsed/>
    <w:rsid w:val="0028029B"/>
    <w:rPr>
      <w:sz w:val="20"/>
      <w:szCs w:val="20"/>
      <w:lang w:eastAsia="en-US"/>
    </w:rPr>
  </w:style>
  <w:style w:type="character" w:customStyle="1" w:styleId="af4">
    <w:name w:val="Текст концевой сноски Знак"/>
    <w:link w:val="af3"/>
    <w:uiPriority w:val="99"/>
    <w:semiHidden/>
    <w:rsid w:val="0028029B"/>
    <w:rPr>
      <w:lang w:eastAsia="en-US"/>
    </w:rPr>
  </w:style>
  <w:style w:type="paragraph" w:styleId="af5">
    <w:name w:val="Title"/>
    <w:basedOn w:val="a1"/>
    <w:next w:val="a1"/>
    <w:link w:val="af6"/>
    <w:uiPriority w:val="10"/>
    <w:qFormat/>
    <w:rsid w:val="007F6A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6">
    <w:name w:val="Название Знак"/>
    <w:link w:val="af5"/>
    <w:uiPriority w:val="10"/>
    <w:rsid w:val="007F6A3D"/>
    <w:rPr>
      <w:rFonts w:ascii="Cambria" w:eastAsia="Times New Roman" w:hAnsi="Cambria"/>
      <w:b/>
      <w:bCs/>
      <w:kern w:val="28"/>
      <w:sz w:val="32"/>
      <w:szCs w:val="32"/>
    </w:rPr>
  </w:style>
  <w:style w:type="paragraph" w:styleId="af7">
    <w:name w:val="Subtitle"/>
    <w:basedOn w:val="a1"/>
    <w:next w:val="a1"/>
    <w:link w:val="af8"/>
    <w:uiPriority w:val="11"/>
    <w:qFormat/>
    <w:rsid w:val="007F6A3D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8">
    <w:name w:val="Подзаголовок Знак"/>
    <w:link w:val="af7"/>
    <w:uiPriority w:val="11"/>
    <w:rsid w:val="007F6A3D"/>
    <w:rPr>
      <w:rFonts w:ascii="Cambria" w:eastAsia="Times New Roman" w:hAnsi="Cambria"/>
      <w:sz w:val="24"/>
      <w:szCs w:val="24"/>
    </w:rPr>
  </w:style>
  <w:style w:type="character" w:styleId="af9">
    <w:name w:val="Strong"/>
    <w:uiPriority w:val="22"/>
    <w:qFormat/>
    <w:rsid w:val="007F6A3D"/>
    <w:rPr>
      <w:b/>
      <w:bCs/>
    </w:rPr>
  </w:style>
  <w:style w:type="character" w:styleId="afa">
    <w:name w:val="Emphasis"/>
    <w:uiPriority w:val="20"/>
    <w:qFormat/>
    <w:rsid w:val="007F6A3D"/>
    <w:rPr>
      <w:rFonts w:ascii="Calibri" w:hAnsi="Calibri"/>
      <w:b/>
      <w:i/>
      <w:iCs/>
    </w:rPr>
  </w:style>
  <w:style w:type="paragraph" w:styleId="afb">
    <w:name w:val="No Spacing"/>
    <w:basedOn w:val="a1"/>
    <w:uiPriority w:val="1"/>
    <w:qFormat/>
    <w:rsid w:val="007F6A3D"/>
    <w:rPr>
      <w:szCs w:val="32"/>
    </w:rPr>
  </w:style>
  <w:style w:type="paragraph" w:styleId="24">
    <w:name w:val="Quote"/>
    <w:basedOn w:val="a1"/>
    <w:next w:val="a1"/>
    <w:link w:val="25"/>
    <w:uiPriority w:val="29"/>
    <w:qFormat/>
    <w:rsid w:val="007F6A3D"/>
    <w:rPr>
      <w:i/>
      <w:lang/>
    </w:rPr>
  </w:style>
  <w:style w:type="character" w:customStyle="1" w:styleId="25">
    <w:name w:val="Цитата 2 Знак"/>
    <w:link w:val="24"/>
    <w:uiPriority w:val="29"/>
    <w:rsid w:val="007F6A3D"/>
    <w:rPr>
      <w:i/>
      <w:sz w:val="24"/>
      <w:szCs w:val="24"/>
    </w:rPr>
  </w:style>
  <w:style w:type="paragraph" w:styleId="afc">
    <w:name w:val="Intense Quote"/>
    <w:basedOn w:val="a1"/>
    <w:next w:val="a1"/>
    <w:link w:val="afd"/>
    <w:uiPriority w:val="30"/>
    <w:qFormat/>
    <w:rsid w:val="007F6A3D"/>
    <w:pPr>
      <w:ind w:left="720" w:right="720"/>
    </w:pPr>
    <w:rPr>
      <w:b/>
      <w:i/>
      <w:szCs w:val="20"/>
      <w:lang/>
    </w:rPr>
  </w:style>
  <w:style w:type="character" w:customStyle="1" w:styleId="afd">
    <w:name w:val="Выделенная цитата Знак"/>
    <w:link w:val="afc"/>
    <w:uiPriority w:val="30"/>
    <w:rsid w:val="007F6A3D"/>
    <w:rPr>
      <w:b/>
      <w:i/>
      <w:sz w:val="24"/>
    </w:rPr>
  </w:style>
  <w:style w:type="character" w:styleId="afe">
    <w:name w:val="Subtle Emphasis"/>
    <w:uiPriority w:val="19"/>
    <w:qFormat/>
    <w:rsid w:val="007F6A3D"/>
    <w:rPr>
      <w:i/>
      <w:color w:val="5A5A5A"/>
    </w:rPr>
  </w:style>
  <w:style w:type="character" w:styleId="aff">
    <w:name w:val="Intense Emphasis"/>
    <w:uiPriority w:val="21"/>
    <w:qFormat/>
    <w:rsid w:val="007F6A3D"/>
    <w:rPr>
      <w:b/>
      <w:i/>
      <w:sz w:val="24"/>
      <w:szCs w:val="24"/>
      <w:u w:val="single"/>
    </w:rPr>
  </w:style>
  <w:style w:type="character" w:styleId="aff0">
    <w:name w:val="Subtle Reference"/>
    <w:uiPriority w:val="31"/>
    <w:qFormat/>
    <w:rsid w:val="007F6A3D"/>
    <w:rPr>
      <w:sz w:val="24"/>
      <w:szCs w:val="24"/>
      <w:u w:val="single"/>
    </w:rPr>
  </w:style>
  <w:style w:type="character" w:styleId="aff1">
    <w:name w:val="Intense Reference"/>
    <w:uiPriority w:val="32"/>
    <w:qFormat/>
    <w:rsid w:val="007F6A3D"/>
    <w:rPr>
      <w:b/>
      <w:sz w:val="24"/>
      <w:u w:val="single"/>
    </w:rPr>
  </w:style>
  <w:style w:type="character" w:styleId="aff2">
    <w:name w:val="Book Title"/>
    <w:uiPriority w:val="33"/>
    <w:qFormat/>
    <w:rsid w:val="007F6A3D"/>
    <w:rPr>
      <w:rFonts w:ascii="Cambria" w:eastAsia="Times New Roman" w:hAnsi="Cambria"/>
      <w:b/>
      <w:i/>
      <w:sz w:val="24"/>
      <w:szCs w:val="24"/>
    </w:rPr>
  </w:style>
  <w:style w:type="character" w:styleId="aff3">
    <w:name w:val="annotation reference"/>
    <w:uiPriority w:val="99"/>
    <w:semiHidden/>
    <w:unhideWhenUsed/>
    <w:rsid w:val="009569CC"/>
    <w:rPr>
      <w:sz w:val="16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9569CC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semiHidden/>
    <w:rsid w:val="009569CC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9569CC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9569CC"/>
    <w:rPr>
      <w:b/>
      <w:bCs/>
    </w:rPr>
  </w:style>
  <w:style w:type="character" w:customStyle="1" w:styleId="apple-converted-space">
    <w:name w:val="apple-converted-space"/>
    <w:basedOn w:val="a2"/>
    <w:rsid w:val="006F0FAC"/>
  </w:style>
  <w:style w:type="paragraph" w:styleId="aff8">
    <w:name w:val="Normal (Web)"/>
    <w:basedOn w:val="a1"/>
    <w:uiPriority w:val="99"/>
    <w:semiHidden/>
    <w:unhideWhenUsed/>
    <w:rsid w:val="006F6F43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ListTable4Accent1">
    <w:name w:val="List Table 4 Accent 1"/>
    <w:basedOn w:val="a3"/>
    <w:uiPriority w:val="49"/>
    <w:rsid w:val="007B4CE1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ff9">
    <w:name w:val="FollowedHyperlink"/>
    <w:uiPriority w:val="99"/>
    <w:semiHidden/>
    <w:unhideWhenUsed/>
    <w:rsid w:val="007A25B6"/>
    <w:rPr>
      <w:color w:val="954F72"/>
      <w:u w:val="single"/>
    </w:rPr>
  </w:style>
  <w:style w:type="paragraph" w:customStyle="1" w:styleId="msonormal0">
    <w:name w:val="msonormal"/>
    <w:basedOn w:val="a1"/>
    <w:rsid w:val="007A25B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5">
    <w:name w:val="font5"/>
    <w:basedOn w:val="a1"/>
    <w:rsid w:val="007A25B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1"/>
    <w:rsid w:val="007A25B6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6">
    <w:name w:val="xl66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67">
    <w:name w:val="xl67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68">
    <w:name w:val="xl68"/>
    <w:basedOn w:val="a1"/>
    <w:rsid w:val="007A25B6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69">
    <w:name w:val="xl69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71">
    <w:name w:val="xl71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2">
    <w:name w:val="xl72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3">
    <w:name w:val="xl73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74">
    <w:name w:val="xl74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5">
    <w:name w:val="xl75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Times New Roman" w:hAnsi="Times New Roman"/>
      <w:i/>
      <w:iCs/>
    </w:rPr>
  </w:style>
  <w:style w:type="paragraph" w:customStyle="1" w:styleId="xl76">
    <w:name w:val="xl76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7">
    <w:name w:val="xl77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78">
    <w:name w:val="xl78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9">
    <w:name w:val="xl79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80">
    <w:name w:val="xl80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2">
    <w:name w:val="xl82"/>
    <w:basedOn w:val="a1"/>
    <w:rsid w:val="007A25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1"/>
    <w:rsid w:val="007A25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1"/>
    <w:rsid w:val="007A2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5">
    <w:name w:val="xl85"/>
    <w:basedOn w:val="a1"/>
    <w:rsid w:val="007A2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1"/>
    <w:rsid w:val="007A2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5">
    <w:name w:val="xl65"/>
    <w:basedOn w:val="a1"/>
    <w:rsid w:val="0036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81">
    <w:name w:val="xl81"/>
    <w:basedOn w:val="a1"/>
    <w:rsid w:val="0036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1"/>
    <w:rsid w:val="00365A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8">
    <w:name w:val="xl88"/>
    <w:basedOn w:val="a1"/>
    <w:rsid w:val="0036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1"/>
    <w:rsid w:val="00365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1"/>
    <w:rsid w:val="00365A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a1"/>
    <w:rsid w:val="00365A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a1"/>
    <w:rsid w:val="00365A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table" w:customStyle="1" w:styleId="ListTable3Accent1">
    <w:name w:val="List Table 3 Accent 1"/>
    <w:basedOn w:val="a3"/>
    <w:uiPriority w:val="48"/>
    <w:rsid w:val="00DF2027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paragraph" w:customStyle="1" w:styleId="xl93">
    <w:name w:val="xl93"/>
    <w:basedOn w:val="a1"/>
    <w:rsid w:val="009F0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styleId="HTML">
    <w:name w:val="HTML Address"/>
    <w:basedOn w:val="a1"/>
    <w:link w:val="HTML0"/>
    <w:uiPriority w:val="99"/>
    <w:semiHidden/>
    <w:unhideWhenUsed/>
    <w:rsid w:val="00083EF9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083EF9"/>
    <w:rPr>
      <w:i/>
      <w:iCs/>
      <w:sz w:val="24"/>
      <w:szCs w:val="24"/>
    </w:rPr>
  </w:style>
  <w:style w:type="paragraph" w:styleId="affa">
    <w:name w:val="envelope address"/>
    <w:basedOn w:val="a1"/>
    <w:uiPriority w:val="99"/>
    <w:semiHidden/>
    <w:unhideWhenUsed/>
    <w:rsid w:val="00083E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fb">
    <w:name w:val="Date"/>
    <w:basedOn w:val="a1"/>
    <w:next w:val="a1"/>
    <w:link w:val="affc"/>
    <w:uiPriority w:val="99"/>
    <w:semiHidden/>
    <w:unhideWhenUsed/>
    <w:rsid w:val="00083EF9"/>
  </w:style>
  <w:style w:type="character" w:customStyle="1" w:styleId="affc">
    <w:name w:val="Дата Знак"/>
    <w:basedOn w:val="a2"/>
    <w:link w:val="affb"/>
    <w:uiPriority w:val="99"/>
    <w:semiHidden/>
    <w:rsid w:val="00083EF9"/>
    <w:rPr>
      <w:sz w:val="24"/>
      <w:szCs w:val="24"/>
    </w:rPr>
  </w:style>
  <w:style w:type="paragraph" w:styleId="affd">
    <w:name w:val="Note Heading"/>
    <w:basedOn w:val="a1"/>
    <w:next w:val="a1"/>
    <w:link w:val="affe"/>
    <w:uiPriority w:val="99"/>
    <w:semiHidden/>
    <w:unhideWhenUsed/>
    <w:rsid w:val="00083EF9"/>
  </w:style>
  <w:style w:type="character" w:customStyle="1" w:styleId="affe">
    <w:name w:val="Заголовок записки Знак"/>
    <w:basedOn w:val="a2"/>
    <w:link w:val="affd"/>
    <w:uiPriority w:val="99"/>
    <w:semiHidden/>
    <w:rsid w:val="00083EF9"/>
    <w:rPr>
      <w:sz w:val="24"/>
      <w:szCs w:val="24"/>
    </w:rPr>
  </w:style>
  <w:style w:type="paragraph" w:styleId="afff">
    <w:name w:val="toa heading"/>
    <w:basedOn w:val="a1"/>
    <w:next w:val="a1"/>
    <w:uiPriority w:val="99"/>
    <w:semiHidden/>
    <w:unhideWhenUsed/>
    <w:rsid w:val="00083EF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f0">
    <w:name w:val="Body Text"/>
    <w:basedOn w:val="a1"/>
    <w:link w:val="afff1"/>
    <w:uiPriority w:val="99"/>
    <w:semiHidden/>
    <w:unhideWhenUsed/>
    <w:rsid w:val="00083EF9"/>
    <w:pPr>
      <w:spacing w:after="120"/>
    </w:pPr>
  </w:style>
  <w:style w:type="character" w:customStyle="1" w:styleId="afff1">
    <w:name w:val="Основной текст Знак"/>
    <w:basedOn w:val="a2"/>
    <w:link w:val="afff0"/>
    <w:uiPriority w:val="99"/>
    <w:semiHidden/>
    <w:rsid w:val="00083EF9"/>
    <w:rPr>
      <w:sz w:val="24"/>
      <w:szCs w:val="24"/>
    </w:rPr>
  </w:style>
  <w:style w:type="paragraph" w:styleId="afff2">
    <w:name w:val="Body Text First Indent"/>
    <w:basedOn w:val="afff0"/>
    <w:link w:val="afff3"/>
    <w:uiPriority w:val="99"/>
    <w:semiHidden/>
    <w:unhideWhenUsed/>
    <w:rsid w:val="00083EF9"/>
    <w:pPr>
      <w:spacing w:after="0"/>
      <w:ind w:firstLine="360"/>
    </w:pPr>
  </w:style>
  <w:style w:type="character" w:customStyle="1" w:styleId="afff3">
    <w:name w:val="Красная строка Знак"/>
    <w:basedOn w:val="afff1"/>
    <w:link w:val="afff2"/>
    <w:uiPriority w:val="99"/>
    <w:semiHidden/>
    <w:rsid w:val="00083EF9"/>
    <w:rPr>
      <w:sz w:val="24"/>
      <w:szCs w:val="24"/>
    </w:rPr>
  </w:style>
  <w:style w:type="paragraph" w:styleId="afff4">
    <w:name w:val="Body Text Indent"/>
    <w:basedOn w:val="a1"/>
    <w:link w:val="afff5"/>
    <w:uiPriority w:val="99"/>
    <w:semiHidden/>
    <w:unhideWhenUsed/>
    <w:rsid w:val="00083EF9"/>
    <w:pPr>
      <w:spacing w:after="120"/>
      <w:ind w:left="283"/>
    </w:pPr>
  </w:style>
  <w:style w:type="character" w:customStyle="1" w:styleId="afff5">
    <w:name w:val="Основной текст с отступом Знак"/>
    <w:basedOn w:val="a2"/>
    <w:link w:val="afff4"/>
    <w:uiPriority w:val="99"/>
    <w:semiHidden/>
    <w:rsid w:val="00083EF9"/>
    <w:rPr>
      <w:sz w:val="24"/>
      <w:szCs w:val="24"/>
    </w:rPr>
  </w:style>
  <w:style w:type="paragraph" w:styleId="26">
    <w:name w:val="Body Text First Indent 2"/>
    <w:basedOn w:val="afff4"/>
    <w:link w:val="27"/>
    <w:uiPriority w:val="99"/>
    <w:semiHidden/>
    <w:unhideWhenUsed/>
    <w:rsid w:val="00083EF9"/>
    <w:pPr>
      <w:spacing w:after="0"/>
      <w:ind w:left="360" w:firstLine="360"/>
    </w:pPr>
  </w:style>
  <w:style w:type="character" w:customStyle="1" w:styleId="27">
    <w:name w:val="Красная строка 2 Знак"/>
    <w:basedOn w:val="afff5"/>
    <w:link w:val="26"/>
    <w:uiPriority w:val="99"/>
    <w:semiHidden/>
    <w:rsid w:val="00083EF9"/>
    <w:rPr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083EF9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83EF9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83EF9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83EF9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83EF9"/>
    <w:pPr>
      <w:numPr>
        <w:numId w:val="7"/>
      </w:numPr>
      <w:contextualSpacing/>
    </w:pPr>
  </w:style>
  <w:style w:type="paragraph" w:styleId="a">
    <w:name w:val="List Number"/>
    <w:basedOn w:val="a1"/>
    <w:uiPriority w:val="99"/>
    <w:semiHidden/>
    <w:unhideWhenUsed/>
    <w:rsid w:val="00083EF9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83EF9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83EF9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83EF9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83EF9"/>
    <w:pPr>
      <w:numPr>
        <w:numId w:val="12"/>
      </w:numPr>
      <w:contextualSpacing/>
    </w:pPr>
  </w:style>
  <w:style w:type="paragraph" w:styleId="28">
    <w:name w:val="envelope return"/>
    <w:basedOn w:val="a1"/>
    <w:uiPriority w:val="99"/>
    <w:semiHidden/>
    <w:unhideWhenUsed/>
    <w:rsid w:val="00083EF9"/>
    <w:rPr>
      <w:rFonts w:asciiTheme="majorHAnsi" w:eastAsiaTheme="majorEastAsia" w:hAnsiTheme="majorHAnsi" w:cstheme="majorBidi"/>
      <w:sz w:val="20"/>
      <w:szCs w:val="20"/>
    </w:rPr>
  </w:style>
  <w:style w:type="paragraph" w:styleId="afff6">
    <w:name w:val="Normal Indent"/>
    <w:basedOn w:val="a1"/>
    <w:uiPriority w:val="99"/>
    <w:semiHidden/>
    <w:unhideWhenUsed/>
    <w:rsid w:val="00083EF9"/>
    <w:pPr>
      <w:ind w:left="708"/>
    </w:pPr>
  </w:style>
  <w:style w:type="paragraph" w:styleId="43">
    <w:name w:val="toc 4"/>
    <w:basedOn w:val="a1"/>
    <w:next w:val="a1"/>
    <w:autoRedefine/>
    <w:uiPriority w:val="39"/>
    <w:semiHidden/>
    <w:unhideWhenUsed/>
    <w:rsid w:val="00083EF9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083EF9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083EF9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083EF9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083EF9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083EF9"/>
    <w:pPr>
      <w:spacing w:after="100"/>
      <w:ind w:left="1920"/>
    </w:pPr>
  </w:style>
  <w:style w:type="paragraph" w:styleId="29">
    <w:name w:val="Body Text 2"/>
    <w:basedOn w:val="a1"/>
    <w:link w:val="2a"/>
    <w:uiPriority w:val="99"/>
    <w:semiHidden/>
    <w:unhideWhenUsed/>
    <w:rsid w:val="00083EF9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uiPriority w:val="99"/>
    <w:semiHidden/>
    <w:rsid w:val="00083EF9"/>
    <w:rPr>
      <w:sz w:val="24"/>
      <w:szCs w:val="24"/>
    </w:rPr>
  </w:style>
  <w:style w:type="paragraph" w:styleId="34">
    <w:name w:val="Body Text 3"/>
    <w:basedOn w:val="a1"/>
    <w:link w:val="35"/>
    <w:uiPriority w:val="99"/>
    <w:semiHidden/>
    <w:unhideWhenUsed/>
    <w:rsid w:val="00083EF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083EF9"/>
    <w:rPr>
      <w:sz w:val="16"/>
      <w:szCs w:val="16"/>
    </w:rPr>
  </w:style>
  <w:style w:type="paragraph" w:styleId="2b">
    <w:name w:val="Body Text Indent 2"/>
    <w:basedOn w:val="a1"/>
    <w:link w:val="2c"/>
    <w:uiPriority w:val="99"/>
    <w:semiHidden/>
    <w:unhideWhenUsed/>
    <w:rsid w:val="00083EF9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2"/>
    <w:link w:val="2b"/>
    <w:uiPriority w:val="99"/>
    <w:semiHidden/>
    <w:rsid w:val="00083EF9"/>
    <w:rPr>
      <w:sz w:val="24"/>
      <w:szCs w:val="24"/>
    </w:rPr>
  </w:style>
  <w:style w:type="paragraph" w:styleId="36">
    <w:name w:val="Body Text Indent 3"/>
    <w:basedOn w:val="a1"/>
    <w:link w:val="37"/>
    <w:uiPriority w:val="99"/>
    <w:semiHidden/>
    <w:unhideWhenUsed/>
    <w:rsid w:val="00083E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083EF9"/>
    <w:rPr>
      <w:sz w:val="16"/>
      <w:szCs w:val="16"/>
    </w:rPr>
  </w:style>
  <w:style w:type="paragraph" w:styleId="afff7">
    <w:name w:val="table of figures"/>
    <w:basedOn w:val="a1"/>
    <w:next w:val="a1"/>
    <w:uiPriority w:val="99"/>
    <w:semiHidden/>
    <w:unhideWhenUsed/>
    <w:rsid w:val="00083EF9"/>
  </w:style>
  <w:style w:type="paragraph" w:styleId="afff8">
    <w:name w:val="Signature"/>
    <w:basedOn w:val="a1"/>
    <w:link w:val="afff9"/>
    <w:uiPriority w:val="99"/>
    <w:semiHidden/>
    <w:unhideWhenUsed/>
    <w:rsid w:val="00083EF9"/>
    <w:pPr>
      <w:ind w:left="4252"/>
    </w:pPr>
  </w:style>
  <w:style w:type="character" w:customStyle="1" w:styleId="afff9">
    <w:name w:val="Подпись Знак"/>
    <w:basedOn w:val="a2"/>
    <w:link w:val="afff8"/>
    <w:uiPriority w:val="99"/>
    <w:semiHidden/>
    <w:rsid w:val="00083EF9"/>
    <w:rPr>
      <w:sz w:val="24"/>
      <w:szCs w:val="24"/>
    </w:rPr>
  </w:style>
  <w:style w:type="paragraph" w:styleId="afffa">
    <w:name w:val="Salutation"/>
    <w:basedOn w:val="a1"/>
    <w:next w:val="a1"/>
    <w:link w:val="afffb"/>
    <w:uiPriority w:val="99"/>
    <w:semiHidden/>
    <w:unhideWhenUsed/>
    <w:rsid w:val="00083EF9"/>
  </w:style>
  <w:style w:type="character" w:customStyle="1" w:styleId="afffb">
    <w:name w:val="Приветствие Знак"/>
    <w:basedOn w:val="a2"/>
    <w:link w:val="afffa"/>
    <w:uiPriority w:val="99"/>
    <w:semiHidden/>
    <w:rsid w:val="00083EF9"/>
    <w:rPr>
      <w:sz w:val="24"/>
      <w:szCs w:val="24"/>
    </w:rPr>
  </w:style>
  <w:style w:type="paragraph" w:styleId="afffc">
    <w:name w:val="List Continue"/>
    <w:basedOn w:val="a1"/>
    <w:uiPriority w:val="99"/>
    <w:semiHidden/>
    <w:unhideWhenUsed/>
    <w:rsid w:val="00083EF9"/>
    <w:pPr>
      <w:spacing w:after="120"/>
      <w:ind w:left="283"/>
      <w:contextualSpacing/>
    </w:pPr>
  </w:style>
  <w:style w:type="paragraph" w:styleId="2d">
    <w:name w:val="List Continue 2"/>
    <w:basedOn w:val="a1"/>
    <w:uiPriority w:val="99"/>
    <w:semiHidden/>
    <w:unhideWhenUsed/>
    <w:rsid w:val="00083EF9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083EF9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083EF9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083EF9"/>
    <w:pPr>
      <w:spacing w:after="120"/>
      <w:ind w:left="1415"/>
      <w:contextualSpacing/>
    </w:pPr>
  </w:style>
  <w:style w:type="paragraph" w:styleId="afffd">
    <w:name w:val="Closing"/>
    <w:basedOn w:val="a1"/>
    <w:link w:val="afffe"/>
    <w:uiPriority w:val="99"/>
    <w:semiHidden/>
    <w:unhideWhenUsed/>
    <w:rsid w:val="00083EF9"/>
    <w:pPr>
      <w:ind w:left="4252"/>
    </w:pPr>
  </w:style>
  <w:style w:type="character" w:customStyle="1" w:styleId="afffe">
    <w:name w:val="Прощание Знак"/>
    <w:basedOn w:val="a2"/>
    <w:link w:val="afffd"/>
    <w:uiPriority w:val="99"/>
    <w:semiHidden/>
    <w:rsid w:val="00083EF9"/>
    <w:rPr>
      <w:sz w:val="24"/>
      <w:szCs w:val="24"/>
    </w:rPr>
  </w:style>
  <w:style w:type="paragraph" w:styleId="affff">
    <w:name w:val="List"/>
    <w:basedOn w:val="a1"/>
    <w:uiPriority w:val="99"/>
    <w:semiHidden/>
    <w:unhideWhenUsed/>
    <w:rsid w:val="00083EF9"/>
    <w:pPr>
      <w:ind w:left="283" w:hanging="283"/>
      <w:contextualSpacing/>
    </w:pPr>
  </w:style>
  <w:style w:type="paragraph" w:styleId="2e">
    <w:name w:val="List 2"/>
    <w:basedOn w:val="a1"/>
    <w:uiPriority w:val="99"/>
    <w:semiHidden/>
    <w:unhideWhenUsed/>
    <w:rsid w:val="00083EF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083EF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083EF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083EF9"/>
    <w:pPr>
      <w:ind w:left="1415" w:hanging="283"/>
      <w:contextualSpacing/>
    </w:pPr>
  </w:style>
  <w:style w:type="paragraph" w:styleId="affff0">
    <w:name w:val="Bibliography"/>
    <w:basedOn w:val="a1"/>
    <w:next w:val="a1"/>
    <w:uiPriority w:val="37"/>
    <w:semiHidden/>
    <w:unhideWhenUsed/>
    <w:rsid w:val="00083EF9"/>
  </w:style>
  <w:style w:type="paragraph" w:styleId="HTML1">
    <w:name w:val="HTML Preformatted"/>
    <w:basedOn w:val="a1"/>
    <w:link w:val="HTML2"/>
    <w:uiPriority w:val="99"/>
    <w:semiHidden/>
    <w:unhideWhenUsed/>
    <w:rsid w:val="00083EF9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083EF9"/>
    <w:rPr>
      <w:rFonts w:ascii="Consolas" w:hAnsi="Consolas"/>
    </w:rPr>
  </w:style>
  <w:style w:type="paragraph" w:styleId="affff1">
    <w:name w:val="Document Map"/>
    <w:basedOn w:val="a1"/>
    <w:link w:val="affff2"/>
    <w:uiPriority w:val="99"/>
    <w:semiHidden/>
    <w:unhideWhenUsed/>
    <w:rsid w:val="00083EF9"/>
    <w:rPr>
      <w:rFonts w:ascii="Segoe UI" w:hAnsi="Segoe UI" w:cs="Segoe UI"/>
      <w:sz w:val="16"/>
      <w:szCs w:val="16"/>
    </w:rPr>
  </w:style>
  <w:style w:type="character" w:customStyle="1" w:styleId="affff2">
    <w:name w:val="Схема документа Знак"/>
    <w:basedOn w:val="a2"/>
    <w:link w:val="affff1"/>
    <w:uiPriority w:val="99"/>
    <w:semiHidden/>
    <w:rsid w:val="00083EF9"/>
    <w:rPr>
      <w:rFonts w:ascii="Segoe UI" w:hAnsi="Segoe UI" w:cs="Segoe UI"/>
      <w:sz w:val="16"/>
      <w:szCs w:val="16"/>
    </w:rPr>
  </w:style>
  <w:style w:type="paragraph" w:styleId="affff3">
    <w:name w:val="table of authorities"/>
    <w:basedOn w:val="a1"/>
    <w:next w:val="a1"/>
    <w:uiPriority w:val="99"/>
    <w:semiHidden/>
    <w:unhideWhenUsed/>
    <w:rsid w:val="00083EF9"/>
    <w:pPr>
      <w:ind w:left="240" w:hanging="240"/>
    </w:pPr>
  </w:style>
  <w:style w:type="paragraph" w:styleId="affff4">
    <w:name w:val="Plain Text"/>
    <w:basedOn w:val="a1"/>
    <w:link w:val="affff5"/>
    <w:uiPriority w:val="99"/>
    <w:semiHidden/>
    <w:unhideWhenUsed/>
    <w:rsid w:val="00083EF9"/>
    <w:rPr>
      <w:rFonts w:ascii="Consolas" w:hAnsi="Consolas"/>
      <w:sz w:val="21"/>
      <w:szCs w:val="21"/>
    </w:rPr>
  </w:style>
  <w:style w:type="character" w:customStyle="1" w:styleId="affff5">
    <w:name w:val="Текст Знак"/>
    <w:basedOn w:val="a2"/>
    <w:link w:val="affff4"/>
    <w:uiPriority w:val="99"/>
    <w:semiHidden/>
    <w:rsid w:val="00083EF9"/>
    <w:rPr>
      <w:rFonts w:ascii="Consolas" w:hAnsi="Consolas"/>
      <w:sz w:val="21"/>
      <w:szCs w:val="21"/>
    </w:rPr>
  </w:style>
  <w:style w:type="paragraph" w:styleId="affff6">
    <w:name w:val="macro"/>
    <w:link w:val="affff7"/>
    <w:uiPriority w:val="99"/>
    <w:semiHidden/>
    <w:unhideWhenUsed/>
    <w:rsid w:val="00083E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7">
    <w:name w:val="Текст макроса Знак"/>
    <w:basedOn w:val="a2"/>
    <w:link w:val="affff6"/>
    <w:uiPriority w:val="99"/>
    <w:semiHidden/>
    <w:rsid w:val="00083EF9"/>
    <w:rPr>
      <w:rFonts w:ascii="Consolas" w:hAnsi="Consolas"/>
    </w:rPr>
  </w:style>
  <w:style w:type="paragraph" w:styleId="12">
    <w:name w:val="index 1"/>
    <w:basedOn w:val="a1"/>
    <w:next w:val="a1"/>
    <w:autoRedefine/>
    <w:uiPriority w:val="99"/>
    <w:semiHidden/>
    <w:unhideWhenUsed/>
    <w:rsid w:val="00083EF9"/>
    <w:pPr>
      <w:ind w:left="240" w:hanging="240"/>
    </w:pPr>
  </w:style>
  <w:style w:type="paragraph" w:styleId="affff8">
    <w:name w:val="index heading"/>
    <w:basedOn w:val="a1"/>
    <w:next w:val="12"/>
    <w:uiPriority w:val="99"/>
    <w:semiHidden/>
    <w:unhideWhenUsed/>
    <w:rsid w:val="00083EF9"/>
    <w:rPr>
      <w:rFonts w:asciiTheme="majorHAnsi" w:eastAsiaTheme="majorEastAsia" w:hAnsiTheme="majorHAnsi" w:cstheme="majorBidi"/>
      <w:b/>
      <w:bCs/>
    </w:rPr>
  </w:style>
  <w:style w:type="paragraph" w:styleId="2f">
    <w:name w:val="index 2"/>
    <w:basedOn w:val="a1"/>
    <w:next w:val="a1"/>
    <w:autoRedefine/>
    <w:uiPriority w:val="99"/>
    <w:semiHidden/>
    <w:unhideWhenUsed/>
    <w:rsid w:val="00083EF9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083EF9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083EF9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083EF9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083EF9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083EF9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083EF9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083EF9"/>
    <w:pPr>
      <w:ind w:left="2160" w:hanging="240"/>
    </w:pPr>
  </w:style>
  <w:style w:type="paragraph" w:styleId="affff9">
    <w:name w:val="Block Text"/>
    <w:basedOn w:val="a1"/>
    <w:uiPriority w:val="99"/>
    <w:semiHidden/>
    <w:unhideWhenUsed/>
    <w:rsid w:val="00083EF9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affffa">
    <w:name w:val="Message Header"/>
    <w:basedOn w:val="a1"/>
    <w:link w:val="affffb"/>
    <w:uiPriority w:val="99"/>
    <w:semiHidden/>
    <w:unhideWhenUsed/>
    <w:rsid w:val="00083E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b">
    <w:name w:val="Шапка Знак"/>
    <w:basedOn w:val="a2"/>
    <w:link w:val="affffa"/>
    <w:uiPriority w:val="99"/>
    <w:semiHidden/>
    <w:rsid w:val="00083EF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E-mail Signature"/>
    <w:basedOn w:val="a1"/>
    <w:link w:val="affffd"/>
    <w:uiPriority w:val="99"/>
    <w:semiHidden/>
    <w:unhideWhenUsed/>
    <w:rsid w:val="00083EF9"/>
  </w:style>
  <w:style w:type="character" w:customStyle="1" w:styleId="affffd">
    <w:name w:val="Электронная подпись Знак"/>
    <w:basedOn w:val="a2"/>
    <w:link w:val="affffc"/>
    <w:uiPriority w:val="99"/>
    <w:semiHidden/>
    <w:rsid w:val="00083E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o.tojiddinov@cbu.uz" TargetMode="External"/><Relationship Id="rId26" Type="http://schemas.openxmlformats.org/officeDocument/2006/relationships/chart" Target="charts/chart4.xml"/><Relationship Id="rId39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8%D0%BD%D0%BA%D0%BE%D1%82%D0%B5%D1%80%D0%BC%D1%81" TargetMode="External"/><Relationship Id="rId34" Type="http://schemas.openxmlformats.org/officeDocument/2006/relationships/chart" Target="charts/chart12.xml"/><Relationship Id="rId42" Type="http://schemas.openxmlformats.org/officeDocument/2006/relationships/image" Target="media/image3.png"/><Relationship Id="rId47" Type="http://schemas.openxmlformats.org/officeDocument/2006/relationships/footer" Target="footer6.xml"/><Relationship Id="rId50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r.mirzaahmedov@cbu.uz" TargetMode="External"/><Relationship Id="rId25" Type="http://schemas.openxmlformats.org/officeDocument/2006/relationships/chart" Target="charts/chart3.xml"/><Relationship Id="rId33" Type="http://schemas.openxmlformats.org/officeDocument/2006/relationships/chart" Target="charts/chart11.xml"/><Relationship Id="rId38" Type="http://schemas.openxmlformats.org/officeDocument/2006/relationships/chart" Target="charts/chart16.xml"/><Relationship Id="rId46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abdurakhmanov.d@cbu.uz" TargetMode="External"/><Relationship Id="rId20" Type="http://schemas.openxmlformats.org/officeDocument/2006/relationships/footer" Target="footer3.xml"/><Relationship Id="rId29" Type="http://schemas.openxmlformats.org/officeDocument/2006/relationships/chart" Target="charts/chart7.xml"/><Relationship Id="rId41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hart" Target="charts/chart2.xml"/><Relationship Id="rId32" Type="http://schemas.openxmlformats.org/officeDocument/2006/relationships/chart" Target="charts/chart10.xml"/><Relationship Id="rId37" Type="http://schemas.openxmlformats.org/officeDocument/2006/relationships/chart" Target="charts/chart15.xml"/><Relationship Id="rId40" Type="http://schemas.openxmlformats.org/officeDocument/2006/relationships/chart" Target="charts/chart18.xml"/><Relationship Id="rId45" Type="http://schemas.openxmlformats.org/officeDocument/2006/relationships/footer" Target="footer4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ata.imf.org/" TargetMode="External"/><Relationship Id="rId23" Type="http://schemas.openxmlformats.org/officeDocument/2006/relationships/chart" Target="charts/chart1.xml"/><Relationship Id="rId28" Type="http://schemas.openxmlformats.org/officeDocument/2006/relationships/chart" Target="charts/chart6.xml"/><Relationship Id="rId36" Type="http://schemas.openxmlformats.org/officeDocument/2006/relationships/chart" Target="charts/chart14.xml"/><Relationship Id="rId49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yperlink" Target="mailto:val@cbu.uz" TargetMode="External"/><Relationship Id="rId31" Type="http://schemas.openxmlformats.org/officeDocument/2006/relationships/chart" Target="charts/chart9.xml"/><Relationship Id="rId44" Type="http://schemas.openxmlformats.org/officeDocument/2006/relationships/image" Target="media/image5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bu.uz/" TargetMode="External"/><Relationship Id="rId22" Type="http://schemas.openxmlformats.org/officeDocument/2006/relationships/hyperlink" Target="https://ru.wikipedia.org/wiki/%D0%98%D0%BD%D0%BA%D0%BE%D1%82%D0%B5%D1%80%D0%BC%D1%81" TargetMode="External"/><Relationship Id="rId27" Type="http://schemas.openxmlformats.org/officeDocument/2006/relationships/chart" Target="charts/chart5.xml"/><Relationship Id="rId30" Type="http://schemas.openxmlformats.org/officeDocument/2006/relationships/chart" Target="charts/chart8.xml"/><Relationship Id="rId35" Type="http://schemas.openxmlformats.org/officeDocument/2006/relationships/chart" Target="charts/chart13.xml"/><Relationship Id="rId43" Type="http://schemas.openxmlformats.org/officeDocument/2006/relationships/image" Target="media/image4.png"/><Relationship Id="rId48" Type="http://schemas.openxmlformats.org/officeDocument/2006/relationships/footer" Target="footer7.xml"/><Relationship Id="rId8" Type="http://schemas.openxmlformats.org/officeDocument/2006/relationships/image" Target="media/image1.png"/><Relationship Id="rId51" Type="http://schemas.openxmlformats.org/officeDocument/2006/relationships/footer" Target="footer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zaaxmedov_R\AppData\Local\Temp\notes1D371A\REER%20again%20(2014-2019%20official%202.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4%20&#1082;&#1074;&#1072;&#1088;&#1090;&#1072;&#1083;%202019%20&#1075;&#1086;&#1076;&#1072;\&#1076;&#1083;&#1103;%20&#1087;&#1091;&#1073;&#1083;&#1080;&#1082;&#1072;&#1094;&#1080;&#1080;%204%20&#1082;&#1074;.%202019\&#1058;&#1072;&#1073;&#1083;&#1080;&#1094;&#1099;%20&#1087;&#1086;%20&#1090;&#1077;&#1082;&#1091;&#1097;&#1077;&#1084;&#1091;%20&#1089;&#1095;&#1105;&#1090;&#1091;\&#1044;&#1080;&#1072;&#1075;&#1088;&#1072;&#1084;&#1084;&#1072;&#1083;&#1072;&#1088;%202016-2019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4%20&#1082;&#1074;&#1072;&#1088;&#1090;&#1072;&#1083;%202019%20&#1075;&#1086;&#1076;&#1072;\&#1076;&#1083;&#1103;%20&#1087;&#1091;&#1073;&#1083;&#1080;&#1082;&#1072;&#1094;&#1080;&#1080;%204%20&#1082;&#1074;.%202019\&#1058;&#1072;&#1073;&#1083;&#1080;&#1094;&#1099;%20&#1087;&#1086;%20&#1090;&#1077;&#1082;&#1091;&#1097;&#1077;&#1084;&#1091;%20&#1089;&#1095;&#1105;&#1090;&#1091;\&#1044;&#1080;&#1072;&#1075;&#1088;&#1072;&#1084;&#1084;&#1072;&#1083;&#1072;&#1088;%202016-2019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4%20&#1082;&#1074;&#1072;&#1088;&#1090;&#1072;&#1083;%202019%20&#1075;&#1086;&#1076;&#1072;\&#1076;&#1083;&#1103;%20&#1087;&#1091;&#1073;&#1083;&#1080;&#1082;&#1072;&#1094;&#1080;&#1080;%204%20&#1082;&#1074;.%202019\&#1092;&#1080;&#1085;&#1072;&#1085;&#1089;&#1086;&#1074;&#1099;&#1081;%20&#1089;&#1095;&#1105;&#1090;\&#1092;&#1080;&#1085;%20&#1089;&#1095;&#1105;&#1090;%20&#1080;%20&#1052;&#1048;&#1055;\&#1092;&#1080;&#1085;%20&#1089;&#1095;&#1105;&#1090;%20&#1080;%20&#1052;&#1048;&#1055;%20&#1076;&#1083;&#1103;%20&#1087;&#1091;&#1073;&#1083;&#1080;&#1082;&#1072;&#1094;&#1080;&#1080;%20(rus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4%20&#1082;&#1074;&#1072;&#1088;&#1090;&#1072;&#1083;%202019%20&#1075;&#1086;&#1076;&#1072;\&#1076;&#1083;&#1103;%20&#1087;&#1091;&#1073;&#1083;&#1080;&#1082;&#1072;&#1094;&#1080;&#1080;%204%20&#1082;&#1074;.%202019\&#1092;&#1080;&#1085;&#1072;&#1085;&#1089;&#1086;&#1074;&#1099;&#1081;%20&#1089;&#1095;&#1105;&#1090;\&#1092;&#1080;&#1085;%20&#1089;&#1095;&#1105;&#1090;%20&#1080;%20&#1052;&#1048;&#1055;\&#1092;&#1080;&#1085;%20&#1089;&#1095;&#1105;&#1090;%20&#1080;%20&#1052;&#1048;&#1055;%20&#1076;&#1083;&#1103;%20&#1087;&#1091;&#1073;&#1083;&#1080;&#1082;&#1072;&#1094;&#1080;&#1080;%20(rus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4%20&#1082;&#1074;&#1072;&#1088;&#1090;&#1072;&#1083;%202019%20&#1075;&#1086;&#1076;&#1072;\&#1076;&#1083;&#1103;%20&#1087;&#1091;&#1073;&#1083;&#1080;&#1082;&#1072;&#1094;&#1080;&#1080;%204%20&#1082;&#1074;.%202019\&#1092;&#1080;&#1085;&#1072;&#1085;&#1089;&#1086;&#1074;&#1099;&#1081;%20&#1089;&#1095;&#1105;&#1090;\&#1092;&#1080;&#1085;%20&#1089;&#1095;&#1105;&#1090;%20&#1080;%20&#1052;&#1048;&#1055;\&#1092;&#1080;&#1085;%20&#1089;&#1095;&#1105;&#1090;%20&#1080;%20&#1052;&#1048;&#1055;%20&#1076;&#1083;&#1103;%20&#1087;&#1091;&#1073;&#1083;&#1080;&#1082;&#1072;&#1094;&#1080;&#1080;%20(rus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4%20&#1082;&#1074;&#1072;&#1088;&#1090;&#1072;&#1083;%202019%20&#1075;&#1086;&#1076;&#1072;\&#1076;&#1083;&#1103;%20&#1087;&#1091;&#1073;&#1083;&#1080;&#1082;&#1072;&#1094;&#1080;&#1080;%204%20&#1082;&#1074;.%202019\&#1092;&#1080;&#1085;&#1072;&#1085;&#1089;&#1086;&#1074;&#1099;&#1081;%20&#1089;&#1095;&#1105;&#1090;\&#1092;&#1080;&#1085;%20&#1089;&#1095;&#1105;&#1090;%20&#1080;%20&#1052;&#1048;&#1055;\&#1088;&#1072;&#1079;&#1073;&#1080;&#1074;&#1082;&#1072;%20&#1086;&#1073;&#1103;&#1079;&#1072;&#1090;&#1077;&#1083;&#1100;&#1089;&#1090;&#1074;%20(rus,%20eng,%20uzb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4%20&#1082;&#1074;&#1072;&#1088;&#1090;&#1072;&#1083;%202019%20&#1075;&#1086;&#1076;&#1072;\&#1076;&#1083;&#1103;%20&#1087;&#1091;&#1073;&#1083;&#1080;&#1082;&#1072;&#1094;&#1080;&#1080;%204%20&#1082;&#1074;.%202019\&#1092;&#1080;&#1085;&#1072;&#1085;&#1089;&#1086;&#1074;&#1099;&#1081;%20&#1089;&#1095;&#1105;&#1090;\&#1092;&#1080;&#1085;%20&#1089;&#1095;&#1105;&#1090;%20&#1080;%20&#1052;&#1048;&#1055;\&#1084;&#1080;&#1087;%20(rus).xlsx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4%20&#1082;&#1074;&#1072;&#1088;&#1090;&#1072;&#1083;%202019%20&#1075;&#1086;&#1076;&#1072;\&#1076;&#1083;&#1103;%20&#1087;&#1091;&#1073;&#1083;&#1080;&#1082;&#1072;&#1094;&#1080;&#1080;%204%20&#1082;&#1074;.%202019\&#1092;&#1080;&#1085;&#1072;&#1085;&#1089;&#1086;&#1074;&#1099;&#1081;%20&#1089;&#1095;&#1105;&#1090;\&#1092;&#1080;&#1085;%20&#1089;&#1095;&#1105;&#1090;%20&#1080;%20&#1052;&#1048;&#1055;\&#1084;&#1080;&#1087;%20(rus).xlsx" TargetMode="External"/><Relationship Id="rId1" Type="http://schemas.openxmlformats.org/officeDocument/2006/relationships/themeOverride" Target="../theme/themeOverride1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4%20&#1082;&#1074;&#1072;&#1088;&#1090;&#1072;&#1083;%202019%20&#1075;&#1086;&#1076;&#1072;\&#1076;&#1083;&#1103;%20&#1087;&#1091;&#1073;&#1083;&#1080;&#1082;&#1072;&#1094;&#1080;&#1080;%204%20&#1082;&#1074;.%202019\&#1092;&#1080;&#1085;&#1072;&#1085;&#1089;&#1086;&#1074;&#1099;&#1081;%20&#1089;&#1095;&#1105;&#1090;\&#1092;&#1080;&#1085;%20&#1089;&#1095;&#1105;&#1090;%20&#1080;%20&#1052;&#1048;&#1055;\&#1084;&#1080;&#1087;%20(rus).xlsx" TargetMode="External"/><Relationship Id="rId1" Type="http://schemas.openxmlformats.org/officeDocument/2006/relationships/themeOverride" Target="../theme/themeOverride2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4%20&#1082;&#1074;&#1072;&#1088;&#1090;&#1072;&#1083;%202019%20&#1075;&#1086;&#1076;&#1072;\&#1076;&#1083;&#1103;%20&#1087;&#1091;&#1073;&#1083;&#1080;&#1082;&#1072;&#1094;&#1080;&#1080;%204%20&#1082;&#1074;.%202019\&#1092;&#1080;&#1085;&#1072;&#1085;&#1089;&#1086;&#1074;&#1099;&#1081;%20&#1089;&#1095;&#1105;&#1090;\&#1042;&#1085;&#1077;&#1096;&#1085;&#1080;&#1081;%20&#1076;&#1086;&#1083;&#1075;%2001.01.2020\&#1044;&#1080;&#1072;&#1075;&#1088;&#1072;&#1084;&#1084;&#1099;%20RU,%20EN,%20UZ.xlsx" TargetMode="External"/><Relationship Id="rId1" Type="http://schemas.openxmlformats.org/officeDocument/2006/relationships/themeOverride" Target="../theme/themeOverride3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4%20&#1082;&#1074;&#1072;&#1088;&#1090;&#1072;&#1083;%202019%20&#1075;&#1086;&#1076;&#1072;\&#1076;&#1083;&#1103;%20&#1087;&#1091;&#1073;&#1083;&#1080;&#1082;&#1072;&#1094;&#1080;&#1080;%204%20&#1082;&#1074;.%202019\&#1058;&#1072;&#1073;&#1083;&#1080;&#1094;&#1099;%20&#1087;&#1086;%20&#1090;&#1077;&#1082;&#1091;&#1097;&#1077;&#1084;&#1091;%20&#1089;&#1095;&#1105;&#1090;&#1091;\&#1044;&#1080;&#1072;&#1075;&#1088;&#1072;&#1084;&#1084;&#1072;&#1083;&#1072;&#1088;%202016-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4%20&#1082;&#1074;&#1072;&#1088;&#1090;&#1072;&#1083;%202019%20&#1075;&#1086;&#1076;&#1072;\&#1076;&#1083;&#1103;%20&#1087;&#1091;&#1073;&#1083;&#1080;&#1082;&#1072;&#1094;&#1080;&#1080;%204%20&#1082;&#1074;.%202019\&#1058;&#1072;&#1073;&#1083;&#1080;&#1094;&#1099;%20&#1087;&#1086;%20&#1090;&#1077;&#1082;&#1091;&#1097;&#1077;&#1084;&#1091;%20&#1089;&#1095;&#1105;&#1090;&#1091;\&#1044;&#1080;&#1072;&#1075;&#1088;&#1072;&#1084;&#1084;&#1072;&#1083;&#1072;&#1088;%202016-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4%20&#1082;&#1074;&#1072;&#1088;&#1090;&#1072;&#1083;%202019%20&#1075;&#1086;&#1076;&#1072;\&#1076;&#1083;&#1103;%20&#1087;&#1091;&#1073;&#1083;&#1080;&#1082;&#1072;&#1094;&#1080;&#1080;%204%20&#1082;&#1074;.%202019\&#1058;&#1072;&#1073;&#1083;&#1080;&#1094;&#1099;%20&#1087;&#1086;%20&#1090;&#1077;&#1082;&#1091;&#1097;&#1077;&#1084;&#1091;%20&#1089;&#1095;&#1105;&#1090;&#1091;\&#1044;&#1080;&#1072;&#1075;&#1088;&#1072;&#1084;&#1084;&#1072;&#1083;&#1072;&#1088;%202016-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4%20&#1082;&#1074;&#1072;&#1088;&#1090;&#1072;&#1083;%202019%20&#1075;&#1086;&#1076;&#1072;\&#1076;&#1083;&#1103;%20&#1087;&#1091;&#1073;&#1083;&#1080;&#1082;&#1072;&#1094;&#1080;&#1080;%204%20&#1082;&#1074;.%202019\&#1058;&#1072;&#1073;&#1083;&#1080;&#1094;&#1099;%20&#1087;&#1086;%20&#1090;&#1077;&#1082;&#1091;&#1097;&#1077;&#1084;&#1091;%20&#1089;&#1095;&#1105;&#1090;&#1091;\&#1044;&#1080;&#1072;&#1075;&#1088;&#1072;&#1084;&#1084;&#1072;&#1083;&#1072;&#1088;%202016-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4%20&#1082;&#1074;&#1072;&#1088;&#1090;&#1072;&#1083;%202019%20&#1075;&#1086;&#1076;&#1072;\&#1076;&#1083;&#1103;%20&#1087;&#1091;&#1073;&#1083;&#1080;&#1082;&#1072;&#1094;&#1080;&#1080;%204%20&#1082;&#1074;.%202019\&#1058;&#1072;&#1073;&#1083;&#1080;&#1094;&#1099;%20&#1087;&#1086;%20&#1090;&#1077;&#1082;&#1091;&#1097;&#1077;&#1084;&#1091;%20&#1089;&#1095;&#1105;&#1090;&#1091;\&#1044;&#1080;&#1072;&#1075;&#1088;&#1072;&#1084;&#1084;&#1072;&#1083;&#1072;&#1088;%202016-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4%20&#1082;&#1074;&#1072;&#1088;&#1090;&#1072;&#1083;%202019%20&#1075;&#1086;&#1076;&#1072;\&#1076;&#1083;&#1103;%20&#1087;&#1091;&#1073;&#1083;&#1080;&#1082;&#1072;&#1094;&#1080;&#1080;%204%20&#1082;&#1074;.%202019\&#1058;&#1072;&#1073;&#1083;&#1080;&#1094;&#1099;%20&#1087;&#1086;%20&#1090;&#1077;&#1082;&#1091;&#1097;&#1077;&#1084;&#1091;%20&#1089;&#1095;&#1105;&#1090;&#1091;\&#1044;&#1080;&#1072;&#1075;&#1088;&#1072;&#1084;&#1084;&#1072;&#1083;&#1072;&#1088;%202016-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4%20&#1082;&#1074;&#1072;&#1088;&#1090;&#1072;&#1083;%202019%20&#1075;&#1086;&#1076;&#1072;\&#1076;&#1083;&#1103;%20&#1087;&#1091;&#1073;&#1083;&#1080;&#1082;&#1072;&#1094;&#1080;&#1080;%204%20&#1082;&#1074;.%202019\&#1058;&#1072;&#1073;&#1083;&#1080;&#1094;&#1099;%20&#1087;&#1086;%20&#1090;&#1077;&#1082;&#1091;&#1097;&#1077;&#1084;&#1091;%20&#1089;&#1095;&#1105;&#1090;&#1091;\&#1044;&#1080;&#1072;&#1075;&#1088;&#1072;&#1084;&#1084;&#1072;&#1083;&#1072;&#1088;%202016-2019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.64.19\&#1089;&#1090;&#1072;&#1090;&#1080;&#1089;&#1090;&#1080;&#1082;&#1072;%20&#1074;&#1085;&#1077;&#1096;&#1085;&#1077;&#1075;&#1086;%20&#1089;&#1077;&#1082;&#1090;&#1086;&#1088;&#1072;\4%20&#1082;&#1074;&#1072;&#1088;&#1090;&#1072;&#1083;%202019%20&#1075;&#1086;&#1076;&#1072;\&#1076;&#1083;&#1103;%20&#1087;&#1091;&#1073;&#1083;&#1080;&#1082;&#1072;&#1094;&#1080;&#1080;%204%20&#1082;&#1074;.%202019\&#1058;&#1072;&#1073;&#1083;&#1080;&#1094;&#1099;%20&#1087;&#1086;%20&#1090;&#1077;&#1082;&#1091;&#1097;&#1077;&#1084;&#1091;%20&#1089;&#1095;&#1105;&#1090;&#1091;\&#1044;&#1080;&#1072;&#1075;&#1088;&#1072;&#1084;&#1084;&#1072;&#1083;&#1072;&#1088;%202016-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'2014-2019 REER black and white '!$A$112</c:f>
              <c:strCache>
                <c:ptCount val="1"/>
                <c:pt idx="0">
                  <c:v>REER</c:v>
                </c:pt>
              </c:strCache>
            </c:strRef>
          </c:tx>
          <c:spPr>
            <a:ln w="28575" cap="rnd">
              <a:solidFill>
                <a:srgbClr val="002060"/>
              </a:solidFill>
              <a:prstDash val="dash"/>
              <a:round/>
            </a:ln>
            <a:effectLst/>
          </c:spPr>
          <c:marker>
            <c:symbol val="none"/>
          </c:marker>
          <c:cat>
            <c:multiLvlStrRef>
              <c:f>'2014-2019 REER black and white '!$B$110:$BU$111</c:f>
              <c:multiLvlStrCache>
                <c:ptCount val="72"/>
                <c:lvl>
                  <c:pt idx="0">
                    <c:v>Январь</c:v>
                  </c:pt>
                  <c:pt idx="1">
                    <c:v>Февраль</c:v>
                  </c:pt>
                  <c:pt idx="2">
                    <c:v>Март</c:v>
                  </c:pt>
                  <c:pt idx="3">
                    <c:v>Апрель</c:v>
                  </c:pt>
                  <c:pt idx="4">
                    <c:v>Май</c:v>
                  </c:pt>
                  <c:pt idx="5">
                    <c:v>Июнь</c:v>
                  </c:pt>
                  <c:pt idx="6">
                    <c:v>Июль</c:v>
                  </c:pt>
                  <c:pt idx="7">
                    <c:v>Август</c:v>
                  </c:pt>
                  <c:pt idx="8">
                    <c:v>Сентябрь</c:v>
                  </c:pt>
                  <c:pt idx="9">
                    <c:v>Октябрь</c:v>
                  </c:pt>
                  <c:pt idx="10">
                    <c:v>Ноябрь</c:v>
                  </c:pt>
                  <c:pt idx="11">
                    <c:v>Декабрь</c:v>
                  </c:pt>
                  <c:pt idx="12">
                    <c:v>Январь</c:v>
                  </c:pt>
                  <c:pt idx="13">
                    <c:v>Февраль</c:v>
                  </c:pt>
                  <c:pt idx="14">
                    <c:v>Март</c:v>
                  </c:pt>
                  <c:pt idx="15">
                    <c:v>Апрель</c:v>
                  </c:pt>
                  <c:pt idx="16">
                    <c:v>Май</c:v>
                  </c:pt>
                  <c:pt idx="17">
                    <c:v>Июнь</c:v>
                  </c:pt>
                  <c:pt idx="18">
                    <c:v>Июль</c:v>
                  </c:pt>
                  <c:pt idx="19">
                    <c:v>Август</c:v>
                  </c:pt>
                  <c:pt idx="20">
                    <c:v>Сентябрь</c:v>
                  </c:pt>
                  <c:pt idx="21">
                    <c:v>Октябрь</c:v>
                  </c:pt>
                  <c:pt idx="22">
                    <c:v>Ноябрь</c:v>
                  </c:pt>
                  <c:pt idx="23">
                    <c:v>Декабрь</c:v>
                  </c:pt>
                  <c:pt idx="24">
                    <c:v>Январь</c:v>
                  </c:pt>
                  <c:pt idx="25">
                    <c:v>Февраль</c:v>
                  </c:pt>
                  <c:pt idx="26">
                    <c:v>Март</c:v>
                  </c:pt>
                  <c:pt idx="27">
                    <c:v>Апрель</c:v>
                  </c:pt>
                  <c:pt idx="28">
                    <c:v>Май</c:v>
                  </c:pt>
                  <c:pt idx="29">
                    <c:v>Июнь</c:v>
                  </c:pt>
                  <c:pt idx="30">
                    <c:v>Июль</c:v>
                  </c:pt>
                  <c:pt idx="31">
                    <c:v>Август</c:v>
                  </c:pt>
                  <c:pt idx="32">
                    <c:v>Сентябрь</c:v>
                  </c:pt>
                  <c:pt idx="33">
                    <c:v>Октябрь</c:v>
                  </c:pt>
                  <c:pt idx="34">
                    <c:v>Ноябрь</c:v>
                  </c:pt>
                  <c:pt idx="35">
                    <c:v>Декабрь</c:v>
                  </c:pt>
                  <c:pt idx="36">
                    <c:v>Январь</c:v>
                  </c:pt>
                  <c:pt idx="37">
                    <c:v>Февраль</c:v>
                  </c:pt>
                  <c:pt idx="38">
                    <c:v>Март</c:v>
                  </c:pt>
                  <c:pt idx="39">
                    <c:v>Апрель</c:v>
                  </c:pt>
                  <c:pt idx="40">
                    <c:v>Май</c:v>
                  </c:pt>
                  <c:pt idx="41">
                    <c:v>Июнь</c:v>
                  </c:pt>
                  <c:pt idx="42">
                    <c:v>Июль</c:v>
                  </c:pt>
                  <c:pt idx="43">
                    <c:v>Август</c:v>
                  </c:pt>
                  <c:pt idx="44">
                    <c:v>Сентябрь</c:v>
                  </c:pt>
                  <c:pt idx="45">
                    <c:v>Октябрь</c:v>
                  </c:pt>
                  <c:pt idx="46">
                    <c:v>Ноябрь</c:v>
                  </c:pt>
                  <c:pt idx="47">
                    <c:v>Декабрь</c:v>
                  </c:pt>
                  <c:pt idx="48">
                    <c:v>Январь</c:v>
                  </c:pt>
                  <c:pt idx="49">
                    <c:v>Февраль</c:v>
                  </c:pt>
                  <c:pt idx="50">
                    <c:v>Март</c:v>
                  </c:pt>
                  <c:pt idx="51">
                    <c:v>Апрель</c:v>
                  </c:pt>
                  <c:pt idx="52">
                    <c:v>Май</c:v>
                  </c:pt>
                  <c:pt idx="53">
                    <c:v>Июнь</c:v>
                  </c:pt>
                  <c:pt idx="54">
                    <c:v>Июль</c:v>
                  </c:pt>
                  <c:pt idx="55">
                    <c:v>Август</c:v>
                  </c:pt>
                  <c:pt idx="56">
                    <c:v>Сентябрь</c:v>
                  </c:pt>
                  <c:pt idx="57">
                    <c:v>Октябрь</c:v>
                  </c:pt>
                  <c:pt idx="58">
                    <c:v>Ноябрь</c:v>
                  </c:pt>
                  <c:pt idx="59">
                    <c:v>Декабрь</c:v>
                  </c:pt>
                  <c:pt idx="60">
                    <c:v>Январь</c:v>
                  </c:pt>
                  <c:pt idx="61">
                    <c:v>Февраль</c:v>
                  </c:pt>
                  <c:pt idx="62">
                    <c:v>Март</c:v>
                  </c:pt>
                  <c:pt idx="63">
                    <c:v>Апрель</c:v>
                  </c:pt>
                  <c:pt idx="64">
                    <c:v>Май</c:v>
                  </c:pt>
                  <c:pt idx="65">
                    <c:v>Июнь</c:v>
                  </c:pt>
                  <c:pt idx="66">
                    <c:v>Июль</c:v>
                  </c:pt>
                  <c:pt idx="67">
                    <c:v>Август</c:v>
                  </c:pt>
                  <c:pt idx="68">
                    <c:v>Сентябрь</c:v>
                  </c:pt>
                  <c:pt idx="69">
                    <c:v>Октябрь</c:v>
                  </c:pt>
                  <c:pt idx="70">
                    <c:v>Ноябрь</c:v>
                  </c:pt>
                  <c:pt idx="71">
                    <c:v>Декабрь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'2014-2019 REER black and white '!$B$112:$BU$112</c:f>
              <c:numCache>
                <c:formatCode>General</c:formatCode>
                <c:ptCount val="72"/>
                <c:pt idx="0">
                  <c:v>100</c:v>
                </c:pt>
                <c:pt idx="1">
                  <c:v>101.29779156057405</c:v>
                </c:pt>
                <c:pt idx="2">
                  <c:v>101.49184186498529</c:v>
                </c:pt>
                <c:pt idx="3">
                  <c:v>100.17534131035676</c:v>
                </c:pt>
                <c:pt idx="4">
                  <c:v>98.760655084720824</c:v>
                </c:pt>
                <c:pt idx="5">
                  <c:v>97.148903254342699</c:v>
                </c:pt>
                <c:pt idx="6">
                  <c:v>95.139522591118933</c:v>
                </c:pt>
                <c:pt idx="7">
                  <c:v>95.353305174874507</c:v>
                </c:pt>
                <c:pt idx="8">
                  <c:v>96.70267588543868</c:v>
                </c:pt>
                <c:pt idx="9">
                  <c:v>99.150733809585475</c:v>
                </c:pt>
                <c:pt idx="10">
                  <c:v>102.43350839506635</c:v>
                </c:pt>
                <c:pt idx="11">
                  <c:v>107.41506031854297</c:v>
                </c:pt>
                <c:pt idx="12">
                  <c:v>108.97386550825763</c:v>
                </c:pt>
                <c:pt idx="13">
                  <c:v>112.24497068199567</c:v>
                </c:pt>
                <c:pt idx="14">
                  <c:v>110.45079717763336</c:v>
                </c:pt>
                <c:pt idx="15">
                  <c:v>106.5143759503503</c:v>
                </c:pt>
                <c:pt idx="16">
                  <c:v>104.18291438842044</c:v>
                </c:pt>
                <c:pt idx="17">
                  <c:v>105.14299627574408</c:v>
                </c:pt>
                <c:pt idx="18">
                  <c:v>104.06378632179576</c:v>
                </c:pt>
                <c:pt idx="19">
                  <c:v>107.05217502241001</c:v>
                </c:pt>
                <c:pt idx="20">
                  <c:v>109.23846881750364</c:v>
                </c:pt>
                <c:pt idx="21">
                  <c:v>105.57618528262975</c:v>
                </c:pt>
                <c:pt idx="22">
                  <c:v>104.82640223633335</c:v>
                </c:pt>
                <c:pt idx="23">
                  <c:v>105.64207933952973</c:v>
                </c:pt>
                <c:pt idx="24">
                  <c:v>102.96374837805338</c:v>
                </c:pt>
                <c:pt idx="25">
                  <c:v>102.74476451193622</c:v>
                </c:pt>
                <c:pt idx="26">
                  <c:v>99.607296858068509</c:v>
                </c:pt>
                <c:pt idx="27">
                  <c:v>96.497944890715445</c:v>
                </c:pt>
                <c:pt idx="28">
                  <c:v>95.502559704085641</c:v>
                </c:pt>
                <c:pt idx="29">
                  <c:v>95.19350746779871</c:v>
                </c:pt>
                <c:pt idx="30">
                  <c:v>93.632368775213948</c:v>
                </c:pt>
                <c:pt idx="31">
                  <c:v>93.280969946147451</c:v>
                </c:pt>
                <c:pt idx="32">
                  <c:v>93.212592152922625</c:v>
                </c:pt>
                <c:pt idx="33">
                  <c:v>91.755500721521742</c:v>
                </c:pt>
                <c:pt idx="34">
                  <c:v>92.743433398680551</c:v>
                </c:pt>
                <c:pt idx="35">
                  <c:v>92.837282983912957</c:v>
                </c:pt>
                <c:pt idx="36">
                  <c:v>91.67563833345281</c:v>
                </c:pt>
                <c:pt idx="37">
                  <c:v>88.917816646407886</c:v>
                </c:pt>
                <c:pt idx="38">
                  <c:v>84.584332413967388</c:v>
                </c:pt>
                <c:pt idx="39">
                  <c:v>81.092561679194816</c:v>
                </c:pt>
                <c:pt idx="40">
                  <c:v>79.499310471402893</c:v>
                </c:pt>
                <c:pt idx="41">
                  <c:v>77.178130248619809</c:v>
                </c:pt>
                <c:pt idx="42">
                  <c:v>76.494612270709524</c:v>
                </c:pt>
                <c:pt idx="43">
                  <c:v>74.476045509922912</c:v>
                </c:pt>
                <c:pt idx="44">
                  <c:v>42.169963407032725</c:v>
                </c:pt>
                <c:pt idx="45">
                  <c:v>40.380391450242712</c:v>
                </c:pt>
                <c:pt idx="46">
                  <c:v>41.340801825842462</c:v>
                </c:pt>
                <c:pt idx="47">
                  <c:v>42.540700722977995</c:v>
                </c:pt>
                <c:pt idx="48">
                  <c:v>42.319161612365249</c:v>
                </c:pt>
                <c:pt idx="49">
                  <c:v>41.849402261076108</c:v>
                </c:pt>
                <c:pt idx="50">
                  <c:v>42.53405262978454</c:v>
                </c:pt>
                <c:pt idx="51">
                  <c:v>43.812281420661868</c:v>
                </c:pt>
                <c:pt idx="52">
                  <c:v>45.524459557865946</c:v>
                </c:pt>
                <c:pt idx="53">
                  <c:v>46.546025947546752</c:v>
                </c:pt>
                <c:pt idx="54">
                  <c:v>47.838389764002727</c:v>
                </c:pt>
                <c:pt idx="55">
                  <c:v>49.594597637113644</c:v>
                </c:pt>
                <c:pt idx="56">
                  <c:v>50.137925899732835</c:v>
                </c:pt>
                <c:pt idx="57">
                  <c:v>48.554994356100465</c:v>
                </c:pt>
                <c:pt idx="58">
                  <c:v>49.185999617232092</c:v>
                </c:pt>
                <c:pt idx="59">
                  <c:v>49.813127687135527</c:v>
                </c:pt>
                <c:pt idx="60">
                  <c:v>49.958818570081853</c:v>
                </c:pt>
                <c:pt idx="61">
                  <c:v>49.825287684198074</c:v>
                </c:pt>
                <c:pt idx="62">
                  <c:v>50.459833482858748</c:v>
                </c:pt>
                <c:pt idx="63">
                  <c:v>50.501861495287116</c:v>
                </c:pt>
                <c:pt idx="64">
                  <c:v>51.243188441402651</c:v>
                </c:pt>
                <c:pt idx="65">
                  <c:v>50.591695886197961</c:v>
                </c:pt>
                <c:pt idx="66">
                  <c:v>49.46175717901729</c:v>
                </c:pt>
                <c:pt idx="67">
                  <c:v>49.117581523660988</c:v>
                </c:pt>
                <c:pt idx="68">
                  <c:v>47.860682964460565</c:v>
                </c:pt>
                <c:pt idx="69">
                  <c:v>47.95283143665025</c:v>
                </c:pt>
                <c:pt idx="70">
                  <c:v>48.085829488123792</c:v>
                </c:pt>
                <c:pt idx="71">
                  <c:v>48.524458604014534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6D-41C7-9560-D0A36A9A0B3D}"/>
            </c:ext>
          </c:extLst>
        </c:ser>
        <c:ser>
          <c:idx val="2"/>
          <c:order val="1"/>
          <c:tx>
            <c:strRef>
              <c:f>'2014-2019 REER black and white '!$A$115</c:f>
              <c:strCache>
                <c:ptCount val="1"/>
                <c:pt idx="0">
                  <c:v>Рубль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multiLvlStrRef>
              <c:f>'2014-2019 REER black and white '!$B$110:$BU$111</c:f>
              <c:multiLvlStrCache>
                <c:ptCount val="72"/>
                <c:lvl>
                  <c:pt idx="0">
                    <c:v>Январь</c:v>
                  </c:pt>
                  <c:pt idx="1">
                    <c:v>Февраль</c:v>
                  </c:pt>
                  <c:pt idx="2">
                    <c:v>Март</c:v>
                  </c:pt>
                  <c:pt idx="3">
                    <c:v>Апрель</c:v>
                  </c:pt>
                  <c:pt idx="4">
                    <c:v>Май</c:v>
                  </c:pt>
                  <c:pt idx="5">
                    <c:v>Июнь</c:v>
                  </c:pt>
                  <c:pt idx="6">
                    <c:v>Июль</c:v>
                  </c:pt>
                  <c:pt idx="7">
                    <c:v>Август</c:v>
                  </c:pt>
                  <c:pt idx="8">
                    <c:v>Сентябрь</c:v>
                  </c:pt>
                  <c:pt idx="9">
                    <c:v>Октябрь</c:v>
                  </c:pt>
                  <c:pt idx="10">
                    <c:v>Ноябрь</c:v>
                  </c:pt>
                  <c:pt idx="11">
                    <c:v>Декабрь</c:v>
                  </c:pt>
                  <c:pt idx="12">
                    <c:v>Январь</c:v>
                  </c:pt>
                  <c:pt idx="13">
                    <c:v>Февраль</c:v>
                  </c:pt>
                  <c:pt idx="14">
                    <c:v>Март</c:v>
                  </c:pt>
                  <c:pt idx="15">
                    <c:v>Апрель</c:v>
                  </c:pt>
                  <c:pt idx="16">
                    <c:v>Май</c:v>
                  </c:pt>
                  <c:pt idx="17">
                    <c:v>Июнь</c:v>
                  </c:pt>
                  <c:pt idx="18">
                    <c:v>Июль</c:v>
                  </c:pt>
                  <c:pt idx="19">
                    <c:v>Август</c:v>
                  </c:pt>
                  <c:pt idx="20">
                    <c:v>Сентябрь</c:v>
                  </c:pt>
                  <c:pt idx="21">
                    <c:v>Октябрь</c:v>
                  </c:pt>
                  <c:pt idx="22">
                    <c:v>Ноябрь</c:v>
                  </c:pt>
                  <c:pt idx="23">
                    <c:v>Декабрь</c:v>
                  </c:pt>
                  <c:pt idx="24">
                    <c:v>Январь</c:v>
                  </c:pt>
                  <c:pt idx="25">
                    <c:v>Февраль</c:v>
                  </c:pt>
                  <c:pt idx="26">
                    <c:v>Март</c:v>
                  </c:pt>
                  <c:pt idx="27">
                    <c:v>Апрель</c:v>
                  </c:pt>
                  <c:pt idx="28">
                    <c:v>Май</c:v>
                  </c:pt>
                  <c:pt idx="29">
                    <c:v>Июнь</c:v>
                  </c:pt>
                  <c:pt idx="30">
                    <c:v>Июль</c:v>
                  </c:pt>
                  <c:pt idx="31">
                    <c:v>Август</c:v>
                  </c:pt>
                  <c:pt idx="32">
                    <c:v>Сентябрь</c:v>
                  </c:pt>
                  <c:pt idx="33">
                    <c:v>Октябрь</c:v>
                  </c:pt>
                  <c:pt idx="34">
                    <c:v>Ноябрь</c:v>
                  </c:pt>
                  <c:pt idx="35">
                    <c:v>Декабрь</c:v>
                  </c:pt>
                  <c:pt idx="36">
                    <c:v>Январь</c:v>
                  </c:pt>
                  <c:pt idx="37">
                    <c:v>Февраль</c:v>
                  </c:pt>
                  <c:pt idx="38">
                    <c:v>Март</c:v>
                  </c:pt>
                  <c:pt idx="39">
                    <c:v>Апрель</c:v>
                  </c:pt>
                  <c:pt idx="40">
                    <c:v>Май</c:v>
                  </c:pt>
                  <c:pt idx="41">
                    <c:v>Июнь</c:v>
                  </c:pt>
                  <c:pt idx="42">
                    <c:v>Июль</c:v>
                  </c:pt>
                  <c:pt idx="43">
                    <c:v>Август</c:v>
                  </c:pt>
                  <c:pt idx="44">
                    <c:v>Сентябрь</c:v>
                  </c:pt>
                  <c:pt idx="45">
                    <c:v>Октябрь</c:v>
                  </c:pt>
                  <c:pt idx="46">
                    <c:v>Ноябрь</c:v>
                  </c:pt>
                  <c:pt idx="47">
                    <c:v>Декабрь</c:v>
                  </c:pt>
                  <c:pt idx="48">
                    <c:v>Январь</c:v>
                  </c:pt>
                  <c:pt idx="49">
                    <c:v>Февраль</c:v>
                  </c:pt>
                  <c:pt idx="50">
                    <c:v>Март</c:v>
                  </c:pt>
                  <c:pt idx="51">
                    <c:v>Апрель</c:v>
                  </c:pt>
                  <c:pt idx="52">
                    <c:v>Май</c:v>
                  </c:pt>
                  <c:pt idx="53">
                    <c:v>Июнь</c:v>
                  </c:pt>
                  <c:pt idx="54">
                    <c:v>Июль</c:v>
                  </c:pt>
                  <c:pt idx="55">
                    <c:v>Август</c:v>
                  </c:pt>
                  <c:pt idx="56">
                    <c:v>Сентябрь</c:v>
                  </c:pt>
                  <c:pt idx="57">
                    <c:v>Октябрь</c:v>
                  </c:pt>
                  <c:pt idx="58">
                    <c:v>Ноябрь</c:v>
                  </c:pt>
                  <c:pt idx="59">
                    <c:v>Декабрь</c:v>
                  </c:pt>
                  <c:pt idx="60">
                    <c:v>Январь</c:v>
                  </c:pt>
                  <c:pt idx="61">
                    <c:v>Февраль</c:v>
                  </c:pt>
                  <c:pt idx="62">
                    <c:v>Март</c:v>
                  </c:pt>
                  <c:pt idx="63">
                    <c:v>Апрель</c:v>
                  </c:pt>
                  <c:pt idx="64">
                    <c:v>Май</c:v>
                  </c:pt>
                  <c:pt idx="65">
                    <c:v>Июнь</c:v>
                  </c:pt>
                  <c:pt idx="66">
                    <c:v>Июль</c:v>
                  </c:pt>
                  <c:pt idx="67">
                    <c:v>Август</c:v>
                  </c:pt>
                  <c:pt idx="68">
                    <c:v>Сентябрь</c:v>
                  </c:pt>
                  <c:pt idx="69">
                    <c:v>Октябрь</c:v>
                  </c:pt>
                  <c:pt idx="70">
                    <c:v>Ноябрь</c:v>
                  </c:pt>
                  <c:pt idx="71">
                    <c:v>Декабрь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'2014-2019 REER black and white '!$B$115:$BU$115</c:f>
              <c:numCache>
                <c:formatCode>General</c:formatCode>
                <c:ptCount val="72"/>
                <c:pt idx="0">
                  <c:v>100</c:v>
                </c:pt>
                <c:pt idx="1">
                  <c:v>105.19848145865019</c:v>
                </c:pt>
                <c:pt idx="2">
                  <c:v>107.21239806636666</c:v>
                </c:pt>
                <c:pt idx="3">
                  <c:v>103.89278288926688</c:v>
                </c:pt>
                <c:pt idx="4">
                  <c:v>101.04182550442347</c:v>
                </c:pt>
                <c:pt idx="5">
                  <c:v>97.479400770934149</c:v>
                </c:pt>
                <c:pt idx="6">
                  <c:v>94.8446105321229</c:v>
                </c:pt>
                <c:pt idx="7">
                  <c:v>98.097706363854641</c:v>
                </c:pt>
                <c:pt idx="8">
                  <c:v>101.95252973984613</c:v>
                </c:pt>
                <c:pt idx="9">
                  <c:v>108.6145852463229</c:v>
                </c:pt>
                <c:pt idx="10">
                  <c:v>120.97250168686475</c:v>
                </c:pt>
                <c:pt idx="11">
                  <c:v>141.26497175875397</c:v>
                </c:pt>
                <c:pt idx="12">
                  <c:v>147.04569611596858</c:v>
                </c:pt>
                <c:pt idx="13">
                  <c:v>161.20434118130768</c:v>
                </c:pt>
                <c:pt idx="14">
                  <c:v>146.68411881645005</c:v>
                </c:pt>
                <c:pt idx="15">
                  <c:v>128.00671395444434</c:v>
                </c:pt>
                <c:pt idx="16">
                  <c:v>119.88979820915952</c:v>
                </c:pt>
                <c:pt idx="17">
                  <c:v>126.98236973790293</c:v>
                </c:pt>
                <c:pt idx="18">
                  <c:v>128.14744576984936</c:v>
                </c:pt>
                <c:pt idx="19">
                  <c:v>142.70783548726121</c:v>
                </c:pt>
                <c:pt idx="20">
                  <c:v>150.98826595981669</c:v>
                </c:pt>
                <c:pt idx="21">
                  <c:v>139.27094521327521</c:v>
                </c:pt>
                <c:pt idx="22">
                  <c:v>139.98739122600483</c:v>
                </c:pt>
                <c:pt idx="23">
                  <c:v>146.17095523367595</c:v>
                </c:pt>
                <c:pt idx="24">
                  <c:v>155.28547913073677</c:v>
                </c:pt>
                <c:pt idx="25">
                  <c:v>159.72368091161397</c:v>
                </c:pt>
                <c:pt idx="26">
                  <c:v>146.71924439587693</c:v>
                </c:pt>
                <c:pt idx="27">
                  <c:v>136.29745248899974</c:v>
                </c:pt>
                <c:pt idx="28">
                  <c:v>131.9799073239528</c:v>
                </c:pt>
                <c:pt idx="29">
                  <c:v>130.80322559258855</c:v>
                </c:pt>
                <c:pt idx="30">
                  <c:v>125.32476635631595</c:v>
                </c:pt>
                <c:pt idx="31">
                  <c:v>126.52827919429825</c:v>
                </c:pt>
                <c:pt idx="32">
                  <c:v>126.72885434405225</c:v>
                </c:pt>
                <c:pt idx="33">
                  <c:v>121.01226380515972</c:v>
                </c:pt>
                <c:pt idx="34">
                  <c:v>121.9086048729902</c:v>
                </c:pt>
                <c:pt idx="35">
                  <c:v>118.62243392683087</c:v>
                </c:pt>
                <c:pt idx="36">
                  <c:v>112.88647351365611</c:v>
                </c:pt>
                <c:pt idx="37">
                  <c:v>108.71405955220183</c:v>
                </c:pt>
                <c:pt idx="38">
                  <c:v>102.58398323708204</c:v>
                </c:pt>
                <c:pt idx="39">
                  <c:v>96.149948343963757</c:v>
                </c:pt>
                <c:pt idx="40">
                  <c:v>95.349342490066249</c:v>
                </c:pt>
                <c:pt idx="41">
                  <c:v>92.460653822699271</c:v>
                </c:pt>
                <c:pt idx="42">
                  <c:v>94.11903418944101</c:v>
                </c:pt>
                <c:pt idx="43">
                  <c:v>92.830705305739258</c:v>
                </c:pt>
                <c:pt idx="44">
                  <c:v>50.277540109250346</c:v>
                </c:pt>
                <c:pt idx="45">
                  <c:v>47.605659972096646</c:v>
                </c:pt>
                <c:pt idx="46">
                  <c:v>49.412671332406504</c:v>
                </c:pt>
                <c:pt idx="47">
                  <c:v>50.965326884297831</c:v>
                </c:pt>
                <c:pt idx="48">
                  <c:v>50.331349421184179</c:v>
                </c:pt>
                <c:pt idx="49">
                  <c:v>50.416731598965406</c:v>
                </c:pt>
                <c:pt idx="50">
                  <c:v>51.007848459596183</c:v>
                </c:pt>
                <c:pt idx="51">
                  <c:v>54.249539454684147</c:v>
                </c:pt>
                <c:pt idx="52">
                  <c:v>57.318343007034322</c:v>
                </c:pt>
                <c:pt idx="53">
                  <c:v>57.974592541129205</c:v>
                </c:pt>
                <c:pt idx="54">
                  <c:v>58.646103954047653</c:v>
                </c:pt>
                <c:pt idx="55">
                  <c:v>61.425400786791009</c:v>
                </c:pt>
                <c:pt idx="56">
                  <c:v>63.530845992721488</c:v>
                </c:pt>
                <c:pt idx="57">
                  <c:v>60.281575199682877</c:v>
                </c:pt>
                <c:pt idx="58">
                  <c:v>61.340254284386489</c:v>
                </c:pt>
                <c:pt idx="59">
                  <c:v>62.383484613523393</c:v>
                </c:pt>
                <c:pt idx="60">
                  <c:v>62.616156633183593</c:v>
                </c:pt>
                <c:pt idx="61">
                  <c:v>61.568495691749881</c:v>
                </c:pt>
                <c:pt idx="62">
                  <c:v>61.810086592901904</c:v>
                </c:pt>
                <c:pt idx="63">
                  <c:v>61.190097248110362</c:v>
                </c:pt>
                <c:pt idx="64">
                  <c:v>61.342111456434395</c:v>
                </c:pt>
                <c:pt idx="65">
                  <c:v>60.18637131462863</c:v>
                </c:pt>
                <c:pt idx="66">
                  <c:v>58.206760040572512</c:v>
                </c:pt>
                <c:pt idx="67">
                  <c:v>59.122189397264236</c:v>
                </c:pt>
                <c:pt idx="68">
                  <c:v>57.426616722211591</c:v>
                </c:pt>
                <c:pt idx="69">
                  <c:v>57.19608526743685</c:v>
                </c:pt>
                <c:pt idx="70">
                  <c:v>57.250387122523072</c:v>
                </c:pt>
                <c:pt idx="71">
                  <c:v>57.380436623778252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6D-41C7-9560-D0A36A9A0B3D}"/>
            </c:ext>
          </c:extLst>
        </c:ser>
        <c:ser>
          <c:idx val="3"/>
          <c:order val="2"/>
          <c:tx>
            <c:strRef>
              <c:f>'2014-2019 REER black and white '!$A$116</c:f>
              <c:strCache>
                <c:ptCount val="1"/>
                <c:pt idx="0">
                  <c:v>Юань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multiLvlStrRef>
              <c:f>'2014-2019 REER black and white '!$B$110:$BU$111</c:f>
              <c:multiLvlStrCache>
                <c:ptCount val="72"/>
                <c:lvl>
                  <c:pt idx="0">
                    <c:v>Январь</c:v>
                  </c:pt>
                  <c:pt idx="1">
                    <c:v>Февраль</c:v>
                  </c:pt>
                  <c:pt idx="2">
                    <c:v>Март</c:v>
                  </c:pt>
                  <c:pt idx="3">
                    <c:v>Апрель</c:v>
                  </c:pt>
                  <c:pt idx="4">
                    <c:v>Май</c:v>
                  </c:pt>
                  <c:pt idx="5">
                    <c:v>Июнь</c:v>
                  </c:pt>
                  <c:pt idx="6">
                    <c:v>Июль</c:v>
                  </c:pt>
                  <c:pt idx="7">
                    <c:v>Август</c:v>
                  </c:pt>
                  <c:pt idx="8">
                    <c:v>Сентябрь</c:v>
                  </c:pt>
                  <c:pt idx="9">
                    <c:v>Октябрь</c:v>
                  </c:pt>
                  <c:pt idx="10">
                    <c:v>Ноябрь</c:v>
                  </c:pt>
                  <c:pt idx="11">
                    <c:v>Декабрь</c:v>
                  </c:pt>
                  <c:pt idx="12">
                    <c:v>Январь</c:v>
                  </c:pt>
                  <c:pt idx="13">
                    <c:v>Февраль</c:v>
                  </c:pt>
                  <c:pt idx="14">
                    <c:v>Март</c:v>
                  </c:pt>
                  <c:pt idx="15">
                    <c:v>Апрель</c:v>
                  </c:pt>
                  <c:pt idx="16">
                    <c:v>Май</c:v>
                  </c:pt>
                  <c:pt idx="17">
                    <c:v>Июнь</c:v>
                  </c:pt>
                  <c:pt idx="18">
                    <c:v>Июль</c:v>
                  </c:pt>
                  <c:pt idx="19">
                    <c:v>Август</c:v>
                  </c:pt>
                  <c:pt idx="20">
                    <c:v>Сентябрь</c:v>
                  </c:pt>
                  <c:pt idx="21">
                    <c:v>Октябрь</c:v>
                  </c:pt>
                  <c:pt idx="22">
                    <c:v>Ноябрь</c:v>
                  </c:pt>
                  <c:pt idx="23">
                    <c:v>Декабрь</c:v>
                  </c:pt>
                  <c:pt idx="24">
                    <c:v>Январь</c:v>
                  </c:pt>
                  <c:pt idx="25">
                    <c:v>Февраль</c:v>
                  </c:pt>
                  <c:pt idx="26">
                    <c:v>Март</c:v>
                  </c:pt>
                  <c:pt idx="27">
                    <c:v>Апрель</c:v>
                  </c:pt>
                  <c:pt idx="28">
                    <c:v>Май</c:v>
                  </c:pt>
                  <c:pt idx="29">
                    <c:v>Июнь</c:v>
                  </c:pt>
                  <c:pt idx="30">
                    <c:v>Июль</c:v>
                  </c:pt>
                  <c:pt idx="31">
                    <c:v>Август</c:v>
                  </c:pt>
                  <c:pt idx="32">
                    <c:v>Сентябрь</c:v>
                  </c:pt>
                  <c:pt idx="33">
                    <c:v>Октябрь</c:v>
                  </c:pt>
                  <c:pt idx="34">
                    <c:v>Ноябрь</c:v>
                  </c:pt>
                  <c:pt idx="35">
                    <c:v>Декабрь</c:v>
                  </c:pt>
                  <c:pt idx="36">
                    <c:v>Январь</c:v>
                  </c:pt>
                  <c:pt idx="37">
                    <c:v>Февраль</c:v>
                  </c:pt>
                  <c:pt idx="38">
                    <c:v>Март</c:v>
                  </c:pt>
                  <c:pt idx="39">
                    <c:v>Апрель</c:v>
                  </c:pt>
                  <c:pt idx="40">
                    <c:v>Май</c:v>
                  </c:pt>
                  <c:pt idx="41">
                    <c:v>Июнь</c:v>
                  </c:pt>
                  <c:pt idx="42">
                    <c:v>Июль</c:v>
                  </c:pt>
                  <c:pt idx="43">
                    <c:v>Август</c:v>
                  </c:pt>
                  <c:pt idx="44">
                    <c:v>Сентябрь</c:v>
                  </c:pt>
                  <c:pt idx="45">
                    <c:v>Октябрь</c:v>
                  </c:pt>
                  <c:pt idx="46">
                    <c:v>Ноябрь</c:v>
                  </c:pt>
                  <c:pt idx="47">
                    <c:v>Декабрь</c:v>
                  </c:pt>
                  <c:pt idx="48">
                    <c:v>Январь</c:v>
                  </c:pt>
                  <c:pt idx="49">
                    <c:v>Февраль</c:v>
                  </c:pt>
                  <c:pt idx="50">
                    <c:v>Март</c:v>
                  </c:pt>
                  <c:pt idx="51">
                    <c:v>Апрель</c:v>
                  </c:pt>
                  <c:pt idx="52">
                    <c:v>Май</c:v>
                  </c:pt>
                  <c:pt idx="53">
                    <c:v>Июнь</c:v>
                  </c:pt>
                  <c:pt idx="54">
                    <c:v>Июль</c:v>
                  </c:pt>
                  <c:pt idx="55">
                    <c:v>Август</c:v>
                  </c:pt>
                  <c:pt idx="56">
                    <c:v>Сентябрь</c:v>
                  </c:pt>
                  <c:pt idx="57">
                    <c:v>Октябрь</c:v>
                  </c:pt>
                  <c:pt idx="58">
                    <c:v>Ноябрь</c:v>
                  </c:pt>
                  <c:pt idx="59">
                    <c:v>Декабрь</c:v>
                  </c:pt>
                  <c:pt idx="60">
                    <c:v>Январь</c:v>
                  </c:pt>
                  <c:pt idx="61">
                    <c:v>Февраль</c:v>
                  </c:pt>
                  <c:pt idx="62">
                    <c:v>Март</c:v>
                  </c:pt>
                  <c:pt idx="63">
                    <c:v>Апрель</c:v>
                  </c:pt>
                  <c:pt idx="64">
                    <c:v>Май</c:v>
                  </c:pt>
                  <c:pt idx="65">
                    <c:v>Июнь</c:v>
                  </c:pt>
                  <c:pt idx="66">
                    <c:v>Июль</c:v>
                  </c:pt>
                  <c:pt idx="67">
                    <c:v>Август</c:v>
                  </c:pt>
                  <c:pt idx="68">
                    <c:v>Сентябрь</c:v>
                  </c:pt>
                  <c:pt idx="69">
                    <c:v>Октябрь</c:v>
                  </c:pt>
                  <c:pt idx="70">
                    <c:v>Ноябрь</c:v>
                  </c:pt>
                  <c:pt idx="71">
                    <c:v>Декабрь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'2014-2019 REER black and white '!$B$116:$BU$116</c:f>
              <c:numCache>
                <c:formatCode>General</c:formatCode>
                <c:ptCount val="72"/>
                <c:pt idx="0">
                  <c:v>100</c:v>
                </c:pt>
                <c:pt idx="1">
                  <c:v>100.02671653857344</c:v>
                </c:pt>
                <c:pt idx="2">
                  <c:v>101.41647379548726</c:v>
                </c:pt>
                <c:pt idx="3">
                  <c:v>102.5037116703601</c:v>
                </c:pt>
                <c:pt idx="4">
                  <c:v>102.12841922322764</c:v>
                </c:pt>
                <c:pt idx="5">
                  <c:v>100.91249919538853</c:v>
                </c:pt>
                <c:pt idx="6">
                  <c:v>98.609823719581897</c:v>
                </c:pt>
                <c:pt idx="7">
                  <c:v>96.893389985473064</c:v>
                </c:pt>
                <c:pt idx="8">
                  <c:v>96.37334466296528</c:v>
                </c:pt>
                <c:pt idx="9">
                  <c:v>96.429335380661527</c:v>
                </c:pt>
                <c:pt idx="10">
                  <c:v>96.831660835678306</c:v>
                </c:pt>
                <c:pt idx="11">
                  <c:v>97.699738601301078</c:v>
                </c:pt>
                <c:pt idx="12">
                  <c:v>98.06669775769565</c:v>
                </c:pt>
                <c:pt idx="13">
                  <c:v>97.283635422592752</c:v>
                </c:pt>
                <c:pt idx="14">
                  <c:v>97.316154219259502</c:v>
                </c:pt>
                <c:pt idx="15">
                  <c:v>96.476956390647203</c:v>
                </c:pt>
                <c:pt idx="16">
                  <c:v>96.081711975761209</c:v>
                </c:pt>
                <c:pt idx="17">
                  <c:v>94.8324217024078</c:v>
                </c:pt>
                <c:pt idx="18">
                  <c:v>92.622858884776278</c:v>
                </c:pt>
                <c:pt idx="19">
                  <c:v>92.428204430316157</c:v>
                </c:pt>
                <c:pt idx="20">
                  <c:v>93.635451407716147</c:v>
                </c:pt>
                <c:pt idx="21">
                  <c:v>93.212453582086269</c:v>
                </c:pt>
                <c:pt idx="22">
                  <c:v>92.247955043773217</c:v>
                </c:pt>
                <c:pt idx="23">
                  <c:v>91.768535777971948</c:v>
                </c:pt>
                <c:pt idx="24">
                  <c:v>91.791956204075376</c:v>
                </c:pt>
                <c:pt idx="25">
                  <c:v>90.27451454507522</c:v>
                </c:pt>
                <c:pt idx="26">
                  <c:v>90.042807685725265</c:v>
                </c:pt>
                <c:pt idx="27">
                  <c:v>89.591870199047975</c:v>
                </c:pt>
                <c:pt idx="28">
                  <c:v>89.906620939923897</c:v>
                </c:pt>
                <c:pt idx="29">
                  <c:v>90.161369902166513</c:v>
                </c:pt>
                <c:pt idx="30">
                  <c:v>90.010062183124617</c:v>
                </c:pt>
                <c:pt idx="31">
                  <c:v>89.126734306758692</c:v>
                </c:pt>
                <c:pt idx="32">
                  <c:v>89.255535607544843</c:v>
                </c:pt>
                <c:pt idx="33">
                  <c:v>89.148867603884923</c:v>
                </c:pt>
                <c:pt idx="34">
                  <c:v>89.685007799040449</c:v>
                </c:pt>
                <c:pt idx="35">
                  <c:v>90.491932573736179</c:v>
                </c:pt>
                <c:pt idx="36">
                  <c:v>89.550612478430182</c:v>
                </c:pt>
                <c:pt idx="37">
                  <c:v>87.946470844858979</c:v>
                </c:pt>
                <c:pt idx="38">
                  <c:v>84.506303591372927</c:v>
                </c:pt>
                <c:pt idx="39">
                  <c:v>81.975380938699388</c:v>
                </c:pt>
                <c:pt idx="40">
                  <c:v>80.386546813572224</c:v>
                </c:pt>
                <c:pt idx="41">
                  <c:v>77.701417205472197</c:v>
                </c:pt>
                <c:pt idx="42">
                  <c:v>75.829360668609681</c:v>
                </c:pt>
                <c:pt idx="43">
                  <c:v>72.733650588774026</c:v>
                </c:pt>
                <c:pt idx="44">
                  <c:v>39.651957152053448</c:v>
                </c:pt>
                <c:pt idx="45">
                  <c:v>38.071563770952245</c:v>
                </c:pt>
                <c:pt idx="46">
                  <c:v>38.863879325183071</c:v>
                </c:pt>
                <c:pt idx="47">
                  <c:v>40.020391087920132</c:v>
                </c:pt>
                <c:pt idx="48">
                  <c:v>39.700865932642124</c:v>
                </c:pt>
                <c:pt idx="49">
                  <c:v>38.623648477497035</c:v>
                </c:pt>
                <c:pt idx="50">
                  <c:v>39.72957345313565</c:v>
                </c:pt>
                <c:pt idx="51">
                  <c:v>40.226286794019082</c:v>
                </c:pt>
                <c:pt idx="52">
                  <c:v>41.330615450143533</c:v>
                </c:pt>
                <c:pt idx="53">
                  <c:v>42.261542852743176</c:v>
                </c:pt>
                <c:pt idx="54">
                  <c:v>44.158606984098405</c:v>
                </c:pt>
                <c:pt idx="55">
                  <c:v>45.186624927642136</c:v>
                </c:pt>
                <c:pt idx="56">
                  <c:v>44.926036944117065</c:v>
                </c:pt>
                <c:pt idx="57">
                  <c:v>44.35669370270309</c:v>
                </c:pt>
                <c:pt idx="58">
                  <c:v>45.383300710649344</c:v>
                </c:pt>
                <c:pt idx="59">
                  <c:v>45.859612834602196</c:v>
                </c:pt>
                <c:pt idx="60">
                  <c:v>45.457681321499841</c:v>
                </c:pt>
                <c:pt idx="61">
                  <c:v>45.046891635961195</c:v>
                </c:pt>
                <c:pt idx="62">
                  <c:v>45.576363883714642</c:v>
                </c:pt>
                <c:pt idx="63">
                  <c:v>45.631939757049352</c:v>
                </c:pt>
                <c:pt idx="64">
                  <c:v>46.590659273594255</c:v>
                </c:pt>
                <c:pt idx="65">
                  <c:v>46.628248670851079</c:v>
                </c:pt>
                <c:pt idx="66">
                  <c:v>45.767500151240725</c:v>
                </c:pt>
                <c:pt idx="67">
                  <c:v>45.348858703112604</c:v>
                </c:pt>
                <c:pt idx="68">
                  <c:v>44.382702153322555</c:v>
                </c:pt>
                <c:pt idx="69">
                  <c:v>44.425565944579951</c:v>
                </c:pt>
                <c:pt idx="70">
                  <c:v>44.347473839299191</c:v>
                </c:pt>
                <c:pt idx="71">
                  <c:v>44.866555393190133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66D-41C7-9560-D0A36A9A0B3D}"/>
            </c:ext>
          </c:extLst>
        </c:ser>
        <c:ser>
          <c:idx val="4"/>
          <c:order val="3"/>
          <c:tx>
            <c:strRef>
              <c:f>'2014-2019 REER black and white '!$A$117</c:f>
              <c:strCache>
                <c:ptCount val="1"/>
                <c:pt idx="0">
                  <c:v>Тенге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multiLvlStrRef>
              <c:f>'2014-2019 REER black and white '!$B$110:$BU$111</c:f>
              <c:multiLvlStrCache>
                <c:ptCount val="72"/>
                <c:lvl>
                  <c:pt idx="0">
                    <c:v>Январь</c:v>
                  </c:pt>
                  <c:pt idx="1">
                    <c:v>Февраль</c:v>
                  </c:pt>
                  <c:pt idx="2">
                    <c:v>Март</c:v>
                  </c:pt>
                  <c:pt idx="3">
                    <c:v>Апрель</c:v>
                  </c:pt>
                  <c:pt idx="4">
                    <c:v>Май</c:v>
                  </c:pt>
                  <c:pt idx="5">
                    <c:v>Июнь</c:v>
                  </c:pt>
                  <c:pt idx="6">
                    <c:v>Июль</c:v>
                  </c:pt>
                  <c:pt idx="7">
                    <c:v>Август</c:v>
                  </c:pt>
                  <c:pt idx="8">
                    <c:v>Сентябрь</c:v>
                  </c:pt>
                  <c:pt idx="9">
                    <c:v>Октябрь</c:v>
                  </c:pt>
                  <c:pt idx="10">
                    <c:v>Ноябрь</c:v>
                  </c:pt>
                  <c:pt idx="11">
                    <c:v>Декабрь</c:v>
                  </c:pt>
                  <c:pt idx="12">
                    <c:v>Январь</c:v>
                  </c:pt>
                  <c:pt idx="13">
                    <c:v>Февраль</c:v>
                  </c:pt>
                  <c:pt idx="14">
                    <c:v>Март</c:v>
                  </c:pt>
                  <c:pt idx="15">
                    <c:v>Апрель</c:v>
                  </c:pt>
                  <c:pt idx="16">
                    <c:v>Май</c:v>
                  </c:pt>
                  <c:pt idx="17">
                    <c:v>Июнь</c:v>
                  </c:pt>
                  <c:pt idx="18">
                    <c:v>Июль</c:v>
                  </c:pt>
                  <c:pt idx="19">
                    <c:v>Август</c:v>
                  </c:pt>
                  <c:pt idx="20">
                    <c:v>Сентябрь</c:v>
                  </c:pt>
                  <c:pt idx="21">
                    <c:v>Октябрь</c:v>
                  </c:pt>
                  <c:pt idx="22">
                    <c:v>Ноябрь</c:v>
                  </c:pt>
                  <c:pt idx="23">
                    <c:v>Декабрь</c:v>
                  </c:pt>
                  <c:pt idx="24">
                    <c:v>Январь</c:v>
                  </c:pt>
                  <c:pt idx="25">
                    <c:v>Февраль</c:v>
                  </c:pt>
                  <c:pt idx="26">
                    <c:v>Март</c:v>
                  </c:pt>
                  <c:pt idx="27">
                    <c:v>Апрель</c:v>
                  </c:pt>
                  <c:pt idx="28">
                    <c:v>Май</c:v>
                  </c:pt>
                  <c:pt idx="29">
                    <c:v>Июнь</c:v>
                  </c:pt>
                  <c:pt idx="30">
                    <c:v>Июль</c:v>
                  </c:pt>
                  <c:pt idx="31">
                    <c:v>Август</c:v>
                  </c:pt>
                  <c:pt idx="32">
                    <c:v>Сентябрь</c:v>
                  </c:pt>
                  <c:pt idx="33">
                    <c:v>Октябрь</c:v>
                  </c:pt>
                  <c:pt idx="34">
                    <c:v>Ноябрь</c:v>
                  </c:pt>
                  <c:pt idx="35">
                    <c:v>Декабрь</c:v>
                  </c:pt>
                  <c:pt idx="36">
                    <c:v>Январь</c:v>
                  </c:pt>
                  <c:pt idx="37">
                    <c:v>Февраль</c:v>
                  </c:pt>
                  <c:pt idx="38">
                    <c:v>Март</c:v>
                  </c:pt>
                  <c:pt idx="39">
                    <c:v>Апрель</c:v>
                  </c:pt>
                  <c:pt idx="40">
                    <c:v>Май</c:v>
                  </c:pt>
                  <c:pt idx="41">
                    <c:v>Июнь</c:v>
                  </c:pt>
                  <c:pt idx="42">
                    <c:v>Июль</c:v>
                  </c:pt>
                  <c:pt idx="43">
                    <c:v>Август</c:v>
                  </c:pt>
                  <c:pt idx="44">
                    <c:v>Сентябрь</c:v>
                  </c:pt>
                  <c:pt idx="45">
                    <c:v>Октябрь</c:v>
                  </c:pt>
                  <c:pt idx="46">
                    <c:v>Ноябрь</c:v>
                  </c:pt>
                  <c:pt idx="47">
                    <c:v>Декабрь</c:v>
                  </c:pt>
                  <c:pt idx="48">
                    <c:v>Январь</c:v>
                  </c:pt>
                  <c:pt idx="49">
                    <c:v>Февраль</c:v>
                  </c:pt>
                  <c:pt idx="50">
                    <c:v>Март</c:v>
                  </c:pt>
                  <c:pt idx="51">
                    <c:v>Апрель</c:v>
                  </c:pt>
                  <c:pt idx="52">
                    <c:v>Май</c:v>
                  </c:pt>
                  <c:pt idx="53">
                    <c:v>Июнь</c:v>
                  </c:pt>
                  <c:pt idx="54">
                    <c:v>Июль</c:v>
                  </c:pt>
                  <c:pt idx="55">
                    <c:v>Август</c:v>
                  </c:pt>
                  <c:pt idx="56">
                    <c:v>Сентябрь</c:v>
                  </c:pt>
                  <c:pt idx="57">
                    <c:v>Октябрь</c:v>
                  </c:pt>
                  <c:pt idx="58">
                    <c:v>Ноябрь</c:v>
                  </c:pt>
                  <c:pt idx="59">
                    <c:v>Декабрь</c:v>
                  </c:pt>
                  <c:pt idx="60">
                    <c:v>Январь</c:v>
                  </c:pt>
                  <c:pt idx="61">
                    <c:v>Февраль</c:v>
                  </c:pt>
                  <c:pt idx="62">
                    <c:v>Март</c:v>
                  </c:pt>
                  <c:pt idx="63">
                    <c:v>Апрель</c:v>
                  </c:pt>
                  <c:pt idx="64">
                    <c:v>Май</c:v>
                  </c:pt>
                  <c:pt idx="65">
                    <c:v>Июнь</c:v>
                  </c:pt>
                  <c:pt idx="66">
                    <c:v>Июль</c:v>
                  </c:pt>
                  <c:pt idx="67">
                    <c:v>Август</c:v>
                  </c:pt>
                  <c:pt idx="68">
                    <c:v>Сентябрь</c:v>
                  </c:pt>
                  <c:pt idx="69">
                    <c:v>Октябрь</c:v>
                  </c:pt>
                  <c:pt idx="70">
                    <c:v>Ноябрь</c:v>
                  </c:pt>
                  <c:pt idx="71">
                    <c:v>Декабрь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'2014-2019 REER black and white '!$B$117:$BU$117</c:f>
              <c:numCache>
                <c:formatCode>General</c:formatCode>
                <c:ptCount val="72"/>
                <c:pt idx="0">
                  <c:v>100</c:v>
                </c:pt>
                <c:pt idx="1">
                  <c:v>99.213372664699719</c:v>
                </c:pt>
                <c:pt idx="2">
                  <c:v>98.820448416522879</c:v>
                </c:pt>
                <c:pt idx="3">
                  <c:v>99.016910540611946</c:v>
                </c:pt>
                <c:pt idx="4">
                  <c:v>98.623205130907408</c:v>
                </c:pt>
                <c:pt idx="5">
                  <c:v>97.934907587620899</c:v>
                </c:pt>
                <c:pt idx="6">
                  <c:v>96.760862741415565</c:v>
                </c:pt>
                <c:pt idx="7">
                  <c:v>96.278985934934624</c:v>
                </c:pt>
                <c:pt idx="8">
                  <c:v>96.757985864958812</c:v>
                </c:pt>
                <c:pt idx="9">
                  <c:v>97.336220840247549</c:v>
                </c:pt>
                <c:pt idx="10">
                  <c:v>97.723243587127527</c:v>
                </c:pt>
                <c:pt idx="11">
                  <c:v>98.20942887860555</c:v>
                </c:pt>
                <c:pt idx="12">
                  <c:v>98.404676252121746</c:v>
                </c:pt>
                <c:pt idx="13">
                  <c:v>98.796726755117959</c:v>
                </c:pt>
                <c:pt idx="14">
                  <c:v>99.191518870023643</c:v>
                </c:pt>
                <c:pt idx="15">
                  <c:v>99.786073428685413</c:v>
                </c:pt>
                <c:pt idx="16">
                  <c:v>99.786073428685512</c:v>
                </c:pt>
                <c:pt idx="17">
                  <c:v>99.386529591132771</c:v>
                </c:pt>
                <c:pt idx="18">
                  <c:v>98.095795440599048</c:v>
                </c:pt>
                <c:pt idx="19">
                  <c:v>97.606783499219844</c:v>
                </c:pt>
                <c:pt idx="20">
                  <c:v>97.606783499220057</c:v>
                </c:pt>
                <c:pt idx="21">
                  <c:v>93.709934728338425</c:v>
                </c:pt>
                <c:pt idx="22">
                  <c:v>91.360408881726556</c:v>
                </c:pt>
                <c:pt idx="23">
                  <c:v>91.270131797850809</c:v>
                </c:pt>
                <c:pt idx="24">
                  <c:v>90.819637563903015</c:v>
                </c:pt>
                <c:pt idx="25">
                  <c:v>89.250683276807493</c:v>
                </c:pt>
                <c:pt idx="26">
                  <c:v>85.039475391303171</c:v>
                </c:pt>
                <c:pt idx="27">
                  <c:v>82.458731924459684</c:v>
                </c:pt>
                <c:pt idx="28">
                  <c:v>80.514142339453358</c:v>
                </c:pt>
                <c:pt idx="29">
                  <c:v>80.41302755766101</c:v>
                </c:pt>
                <c:pt idx="30">
                  <c:v>79.928320800339776</c:v>
                </c:pt>
                <c:pt idx="31">
                  <c:v>80.058520317506506</c:v>
                </c:pt>
                <c:pt idx="32">
                  <c:v>79.025826472664718</c:v>
                </c:pt>
                <c:pt idx="33">
                  <c:v>76.419390270551887</c:v>
                </c:pt>
                <c:pt idx="34">
                  <c:v>76.415969232036929</c:v>
                </c:pt>
                <c:pt idx="35">
                  <c:v>74.327331430661815</c:v>
                </c:pt>
                <c:pt idx="36">
                  <c:v>73.272739948916211</c:v>
                </c:pt>
                <c:pt idx="37">
                  <c:v>69.035966750942762</c:v>
                </c:pt>
                <c:pt idx="38">
                  <c:v>64.884052411521466</c:v>
                </c:pt>
                <c:pt idx="39">
                  <c:v>61.894982331160051</c:v>
                </c:pt>
                <c:pt idx="40">
                  <c:v>60.739624651353004</c:v>
                </c:pt>
                <c:pt idx="41">
                  <c:v>59.842752111410647</c:v>
                </c:pt>
                <c:pt idx="42">
                  <c:v>59.769030729403916</c:v>
                </c:pt>
                <c:pt idx="43">
                  <c:v>59.760059740006348</c:v>
                </c:pt>
                <c:pt idx="44">
                  <c:v>33.970390954976473</c:v>
                </c:pt>
                <c:pt idx="45">
                  <c:v>31.74369768537915</c:v>
                </c:pt>
                <c:pt idx="46">
                  <c:v>31.607870101583789</c:v>
                </c:pt>
                <c:pt idx="47">
                  <c:v>32.685225495176425</c:v>
                </c:pt>
                <c:pt idx="48">
                  <c:v>32.725562668819876</c:v>
                </c:pt>
                <c:pt idx="49">
                  <c:v>32.076608051402879</c:v>
                </c:pt>
                <c:pt idx="50">
                  <c:v>32.201366882952186</c:v>
                </c:pt>
                <c:pt idx="51">
                  <c:v>32.899726135959142</c:v>
                </c:pt>
                <c:pt idx="52">
                  <c:v>33.840848089569683</c:v>
                </c:pt>
                <c:pt idx="53">
                  <c:v>34.730153227706666</c:v>
                </c:pt>
                <c:pt idx="54">
                  <c:v>36.012524312069807</c:v>
                </c:pt>
                <c:pt idx="55">
                  <c:v>37.315653259673013</c:v>
                </c:pt>
                <c:pt idx="56">
                  <c:v>38.347330063147943</c:v>
                </c:pt>
                <c:pt idx="57">
                  <c:v>37.618598287678431</c:v>
                </c:pt>
                <c:pt idx="58">
                  <c:v>38.083459678502876</c:v>
                </c:pt>
                <c:pt idx="59">
                  <c:v>38.45501512466781</c:v>
                </c:pt>
                <c:pt idx="60">
                  <c:v>39.443103905670505</c:v>
                </c:pt>
                <c:pt idx="61">
                  <c:v>39.800611871206215</c:v>
                </c:pt>
                <c:pt idx="62">
                  <c:v>40.033699462214287</c:v>
                </c:pt>
                <c:pt idx="63">
                  <c:v>40.072801766221801</c:v>
                </c:pt>
                <c:pt idx="64">
                  <c:v>40.120523285549311</c:v>
                </c:pt>
                <c:pt idx="65">
                  <c:v>39.710179264834508</c:v>
                </c:pt>
                <c:pt idx="66">
                  <c:v>39.324040956232651</c:v>
                </c:pt>
                <c:pt idx="67">
                  <c:v>38.763415870957175</c:v>
                </c:pt>
                <c:pt idx="68">
                  <c:v>37.681902560164765</c:v>
                </c:pt>
                <c:pt idx="69">
                  <c:v>38.027753462045276</c:v>
                </c:pt>
                <c:pt idx="70">
                  <c:v>38.159062670771952</c:v>
                </c:pt>
                <c:pt idx="71">
                  <c:v>38.10484425707844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66D-41C7-9560-D0A36A9A0B3D}"/>
            </c:ext>
          </c:extLst>
        </c:ser>
        <c:ser>
          <c:idx val="5"/>
          <c:order val="4"/>
          <c:tx>
            <c:strRef>
              <c:f>'2014-2019 REER black and white '!$A$122</c:f>
              <c:strCache>
                <c:ptCount val="1"/>
                <c:pt idx="0">
                  <c:v>Евро  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multiLvlStrRef>
              <c:f>'2014-2019 REER black and white '!$B$110:$BU$111</c:f>
              <c:multiLvlStrCache>
                <c:ptCount val="72"/>
                <c:lvl>
                  <c:pt idx="0">
                    <c:v>Январь</c:v>
                  </c:pt>
                  <c:pt idx="1">
                    <c:v>Февраль</c:v>
                  </c:pt>
                  <c:pt idx="2">
                    <c:v>Март</c:v>
                  </c:pt>
                  <c:pt idx="3">
                    <c:v>Апрель</c:v>
                  </c:pt>
                  <c:pt idx="4">
                    <c:v>Май</c:v>
                  </c:pt>
                  <c:pt idx="5">
                    <c:v>Июнь</c:v>
                  </c:pt>
                  <c:pt idx="6">
                    <c:v>Июль</c:v>
                  </c:pt>
                  <c:pt idx="7">
                    <c:v>Август</c:v>
                  </c:pt>
                  <c:pt idx="8">
                    <c:v>Сентябрь</c:v>
                  </c:pt>
                  <c:pt idx="9">
                    <c:v>Октябрь</c:v>
                  </c:pt>
                  <c:pt idx="10">
                    <c:v>Ноябрь</c:v>
                  </c:pt>
                  <c:pt idx="11">
                    <c:v>Декабрь</c:v>
                  </c:pt>
                  <c:pt idx="12">
                    <c:v>Январь</c:v>
                  </c:pt>
                  <c:pt idx="13">
                    <c:v>Февраль</c:v>
                  </c:pt>
                  <c:pt idx="14">
                    <c:v>Март</c:v>
                  </c:pt>
                  <c:pt idx="15">
                    <c:v>Апрель</c:v>
                  </c:pt>
                  <c:pt idx="16">
                    <c:v>Май</c:v>
                  </c:pt>
                  <c:pt idx="17">
                    <c:v>Июнь</c:v>
                  </c:pt>
                  <c:pt idx="18">
                    <c:v>Июль</c:v>
                  </c:pt>
                  <c:pt idx="19">
                    <c:v>Август</c:v>
                  </c:pt>
                  <c:pt idx="20">
                    <c:v>Сентябрь</c:v>
                  </c:pt>
                  <c:pt idx="21">
                    <c:v>Октябрь</c:v>
                  </c:pt>
                  <c:pt idx="22">
                    <c:v>Ноябрь</c:v>
                  </c:pt>
                  <c:pt idx="23">
                    <c:v>Декабрь</c:v>
                  </c:pt>
                  <c:pt idx="24">
                    <c:v>Январь</c:v>
                  </c:pt>
                  <c:pt idx="25">
                    <c:v>Февраль</c:v>
                  </c:pt>
                  <c:pt idx="26">
                    <c:v>Март</c:v>
                  </c:pt>
                  <c:pt idx="27">
                    <c:v>Апрель</c:v>
                  </c:pt>
                  <c:pt idx="28">
                    <c:v>Май</c:v>
                  </c:pt>
                  <c:pt idx="29">
                    <c:v>Июнь</c:v>
                  </c:pt>
                  <c:pt idx="30">
                    <c:v>Июль</c:v>
                  </c:pt>
                  <c:pt idx="31">
                    <c:v>Август</c:v>
                  </c:pt>
                  <c:pt idx="32">
                    <c:v>Сентябрь</c:v>
                  </c:pt>
                  <c:pt idx="33">
                    <c:v>Октябрь</c:v>
                  </c:pt>
                  <c:pt idx="34">
                    <c:v>Ноябрь</c:v>
                  </c:pt>
                  <c:pt idx="35">
                    <c:v>Декабрь</c:v>
                  </c:pt>
                  <c:pt idx="36">
                    <c:v>Январь</c:v>
                  </c:pt>
                  <c:pt idx="37">
                    <c:v>Февраль</c:v>
                  </c:pt>
                  <c:pt idx="38">
                    <c:v>Март</c:v>
                  </c:pt>
                  <c:pt idx="39">
                    <c:v>Апрель</c:v>
                  </c:pt>
                  <c:pt idx="40">
                    <c:v>Май</c:v>
                  </c:pt>
                  <c:pt idx="41">
                    <c:v>Июнь</c:v>
                  </c:pt>
                  <c:pt idx="42">
                    <c:v>Июль</c:v>
                  </c:pt>
                  <c:pt idx="43">
                    <c:v>Август</c:v>
                  </c:pt>
                  <c:pt idx="44">
                    <c:v>Сентябрь</c:v>
                  </c:pt>
                  <c:pt idx="45">
                    <c:v>Октябрь</c:v>
                  </c:pt>
                  <c:pt idx="46">
                    <c:v>Ноябрь</c:v>
                  </c:pt>
                  <c:pt idx="47">
                    <c:v>Декабрь</c:v>
                  </c:pt>
                  <c:pt idx="48">
                    <c:v>Январь</c:v>
                  </c:pt>
                  <c:pt idx="49">
                    <c:v>Февраль</c:v>
                  </c:pt>
                  <c:pt idx="50">
                    <c:v>Март</c:v>
                  </c:pt>
                  <c:pt idx="51">
                    <c:v>Апрель</c:v>
                  </c:pt>
                  <c:pt idx="52">
                    <c:v>Май</c:v>
                  </c:pt>
                  <c:pt idx="53">
                    <c:v>Июнь</c:v>
                  </c:pt>
                  <c:pt idx="54">
                    <c:v>Июль</c:v>
                  </c:pt>
                  <c:pt idx="55">
                    <c:v>Август</c:v>
                  </c:pt>
                  <c:pt idx="56">
                    <c:v>Сентябрь</c:v>
                  </c:pt>
                  <c:pt idx="57">
                    <c:v>Октябрь</c:v>
                  </c:pt>
                  <c:pt idx="58">
                    <c:v>Ноябрь</c:v>
                  </c:pt>
                  <c:pt idx="59">
                    <c:v>Декабрь</c:v>
                  </c:pt>
                  <c:pt idx="60">
                    <c:v>Январь</c:v>
                  </c:pt>
                  <c:pt idx="61">
                    <c:v>Февраль</c:v>
                  </c:pt>
                  <c:pt idx="62">
                    <c:v>Март</c:v>
                  </c:pt>
                  <c:pt idx="63">
                    <c:v>Апрель</c:v>
                  </c:pt>
                  <c:pt idx="64">
                    <c:v>Май</c:v>
                  </c:pt>
                  <c:pt idx="65">
                    <c:v>Июнь</c:v>
                  </c:pt>
                  <c:pt idx="66">
                    <c:v>Июль</c:v>
                  </c:pt>
                  <c:pt idx="67">
                    <c:v>Август</c:v>
                  </c:pt>
                  <c:pt idx="68">
                    <c:v>Сентябрь</c:v>
                  </c:pt>
                  <c:pt idx="69">
                    <c:v>Октябрь</c:v>
                  </c:pt>
                  <c:pt idx="70">
                    <c:v>Ноябрь</c:v>
                  </c:pt>
                  <c:pt idx="71">
                    <c:v>Декабрь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'2014-2019 REER black and white '!$B$122:$BU$122</c:f>
              <c:numCache>
                <c:formatCode>General</c:formatCode>
                <c:ptCount val="72"/>
                <c:pt idx="0">
                  <c:v>100</c:v>
                </c:pt>
                <c:pt idx="1">
                  <c:v>100.31634257754308</c:v>
                </c:pt>
                <c:pt idx="2">
                  <c:v>97.998995256685816</c:v>
                </c:pt>
                <c:pt idx="3">
                  <c:v>97.738573325154832</c:v>
                </c:pt>
                <c:pt idx="4">
                  <c:v>97.389255897073909</c:v>
                </c:pt>
                <c:pt idx="5">
                  <c:v>96.990775910637993</c:v>
                </c:pt>
                <c:pt idx="6">
                  <c:v>95.235353935229952</c:v>
                </c:pt>
                <c:pt idx="7">
                  <c:v>95.370689716949968</c:v>
                </c:pt>
                <c:pt idx="8">
                  <c:v>97.555048763903827</c:v>
                </c:pt>
                <c:pt idx="9">
                  <c:v>101.4442626555936</c:v>
                </c:pt>
                <c:pt idx="10">
                  <c:v>103.15117797373077</c:v>
                </c:pt>
                <c:pt idx="11">
                  <c:v>104.90835673462537</c:v>
                </c:pt>
                <c:pt idx="12">
                  <c:v>109.90157523282441</c:v>
                </c:pt>
                <c:pt idx="13">
                  <c:v>115.00549917233415</c:v>
                </c:pt>
                <c:pt idx="14">
                  <c:v>117.86447325853941</c:v>
                </c:pt>
                <c:pt idx="15">
                  <c:v>118.47009488105356</c:v>
                </c:pt>
                <c:pt idx="16">
                  <c:v>114.59199008772917</c:v>
                </c:pt>
                <c:pt idx="17">
                  <c:v>112.43976519486331</c:v>
                </c:pt>
                <c:pt idx="18">
                  <c:v>111.04429721883751</c:v>
                </c:pt>
                <c:pt idx="19">
                  <c:v>110.30172264574861</c:v>
                </c:pt>
                <c:pt idx="20">
                  <c:v>108.29803215907407</c:v>
                </c:pt>
                <c:pt idx="21">
                  <c:v>107.47252556327356</c:v>
                </c:pt>
                <c:pt idx="22">
                  <c:v>110.70956567087337</c:v>
                </c:pt>
                <c:pt idx="23">
                  <c:v>110.0114651452192</c:v>
                </c:pt>
                <c:pt idx="24">
                  <c:v>108.84422518835036</c:v>
                </c:pt>
                <c:pt idx="25">
                  <c:v>106.47171397244209</c:v>
                </c:pt>
                <c:pt idx="26">
                  <c:v>105.15389308863034</c:v>
                </c:pt>
                <c:pt idx="27">
                  <c:v>103.01638038860465</c:v>
                </c:pt>
                <c:pt idx="28">
                  <c:v>101.05515706426249</c:v>
                </c:pt>
                <c:pt idx="29">
                  <c:v>100.97223715225418</c:v>
                </c:pt>
                <c:pt idx="30">
                  <c:v>100.64645198563862</c:v>
                </c:pt>
                <c:pt idx="31">
                  <c:v>99.969259705885406</c:v>
                </c:pt>
                <c:pt idx="32">
                  <c:v>99.914485304320266</c:v>
                </c:pt>
                <c:pt idx="33">
                  <c:v>99.990454383724412</c:v>
                </c:pt>
                <c:pt idx="34">
                  <c:v>101.2092668635586</c:v>
                </c:pt>
                <c:pt idx="35">
                  <c:v>102.72518277630122</c:v>
                </c:pt>
                <c:pt idx="36">
                  <c:v>104.64064024135811</c:v>
                </c:pt>
                <c:pt idx="37">
                  <c:v>101.44817025524162</c:v>
                </c:pt>
                <c:pt idx="38">
                  <c:v>97.310661770845726</c:v>
                </c:pt>
                <c:pt idx="39">
                  <c:v>93.444014681028591</c:v>
                </c:pt>
                <c:pt idx="40">
                  <c:v>89.481126133367667</c:v>
                </c:pt>
                <c:pt idx="41">
                  <c:v>85.179958239789528</c:v>
                </c:pt>
                <c:pt idx="42">
                  <c:v>81.671128920104508</c:v>
                </c:pt>
                <c:pt idx="43">
                  <c:v>77.260233398320821</c:v>
                </c:pt>
                <c:pt idx="44">
                  <c:v>42.640584139179531</c:v>
                </c:pt>
                <c:pt idx="45">
                  <c:v>41.146835768586371</c:v>
                </c:pt>
                <c:pt idx="46">
                  <c:v>42.441794387985546</c:v>
                </c:pt>
                <c:pt idx="47">
                  <c:v>43.291616783802375</c:v>
                </c:pt>
                <c:pt idx="48">
                  <c:v>43.410712217049493</c:v>
                </c:pt>
                <c:pt idx="49">
                  <c:v>42.627075571926355</c:v>
                </c:pt>
                <c:pt idx="50">
                  <c:v>43.22737481595076</c:v>
                </c:pt>
                <c:pt idx="51">
                  <c:v>43.945296714918761</c:v>
                </c:pt>
                <c:pt idx="52">
                  <c:v>45.675500800746022</c:v>
                </c:pt>
                <c:pt idx="53">
                  <c:v>47.112229862423604</c:v>
                </c:pt>
                <c:pt idx="54">
                  <c:v>47.272214917644696</c:v>
                </c:pt>
                <c:pt idx="55">
                  <c:v>48.191202305678686</c:v>
                </c:pt>
                <c:pt idx="56">
                  <c:v>47.670832103280979</c:v>
                </c:pt>
                <c:pt idx="57">
                  <c:v>47.025303707949206</c:v>
                </c:pt>
                <c:pt idx="58">
                  <c:v>48.722590098929807</c:v>
                </c:pt>
                <c:pt idx="59">
                  <c:v>49.574605612951203</c:v>
                </c:pt>
                <c:pt idx="60">
                  <c:v>50.172185219998312</c:v>
                </c:pt>
                <c:pt idx="61">
                  <c:v>50.746440695038153</c:v>
                </c:pt>
                <c:pt idx="62">
                  <c:v>51.422089835249629</c:v>
                </c:pt>
                <c:pt idx="63">
                  <c:v>51.397354058088325</c:v>
                </c:pt>
                <c:pt idx="64">
                  <c:v>51.828928216334461</c:v>
                </c:pt>
                <c:pt idx="65">
                  <c:v>50.708535598964815</c:v>
                </c:pt>
                <c:pt idx="66">
                  <c:v>49.856881720695561</c:v>
                </c:pt>
                <c:pt idx="67">
                  <c:v>49.522519935226796</c:v>
                </c:pt>
                <c:pt idx="68">
                  <c:v>48.580464324540053</c:v>
                </c:pt>
                <c:pt idx="69">
                  <c:v>49.069122819646445</c:v>
                </c:pt>
                <c:pt idx="70">
                  <c:v>49.953536649381135</c:v>
                </c:pt>
                <c:pt idx="71">
                  <c:v>50.365410925495141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66D-41C7-9560-D0A36A9A0B3D}"/>
            </c:ext>
          </c:extLst>
        </c:ser>
        <c:ser>
          <c:idx val="6"/>
          <c:order val="5"/>
          <c:tx>
            <c:strRef>
              <c:f>'2014-2019 REER black and white '!$A$123</c:f>
              <c:strCache>
                <c:ptCount val="1"/>
                <c:pt idx="0">
                  <c:v>Доллар США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'2014-2019 REER black and white '!$B$110:$BU$111</c:f>
              <c:multiLvlStrCache>
                <c:ptCount val="72"/>
                <c:lvl>
                  <c:pt idx="0">
                    <c:v>Январь</c:v>
                  </c:pt>
                  <c:pt idx="1">
                    <c:v>Февраль</c:v>
                  </c:pt>
                  <c:pt idx="2">
                    <c:v>Март</c:v>
                  </c:pt>
                  <c:pt idx="3">
                    <c:v>Апрель</c:v>
                  </c:pt>
                  <c:pt idx="4">
                    <c:v>Май</c:v>
                  </c:pt>
                  <c:pt idx="5">
                    <c:v>Июнь</c:v>
                  </c:pt>
                  <c:pt idx="6">
                    <c:v>Июль</c:v>
                  </c:pt>
                  <c:pt idx="7">
                    <c:v>Август</c:v>
                  </c:pt>
                  <c:pt idx="8">
                    <c:v>Сентябрь</c:v>
                  </c:pt>
                  <c:pt idx="9">
                    <c:v>Октябрь</c:v>
                  </c:pt>
                  <c:pt idx="10">
                    <c:v>Ноябрь</c:v>
                  </c:pt>
                  <c:pt idx="11">
                    <c:v>Декабрь</c:v>
                  </c:pt>
                  <c:pt idx="12">
                    <c:v>Январь</c:v>
                  </c:pt>
                  <c:pt idx="13">
                    <c:v>Февраль</c:v>
                  </c:pt>
                  <c:pt idx="14">
                    <c:v>Март</c:v>
                  </c:pt>
                  <c:pt idx="15">
                    <c:v>Апрель</c:v>
                  </c:pt>
                  <c:pt idx="16">
                    <c:v>Май</c:v>
                  </c:pt>
                  <c:pt idx="17">
                    <c:v>Июнь</c:v>
                  </c:pt>
                  <c:pt idx="18">
                    <c:v>Июль</c:v>
                  </c:pt>
                  <c:pt idx="19">
                    <c:v>Август</c:v>
                  </c:pt>
                  <c:pt idx="20">
                    <c:v>Сентябрь</c:v>
                  </c:pt>
                  <c:pt idx="21">
                    <c:v>Октябрь</c:v>
                  </c:pt>
                  <c:pt idx="22">
                    <c:v>Ноябрь</c:v>
                  </c:pt>
                  <c:pt idx="23">
                    <c:v>Декабрь</c:v>
                  </c:pt>
                  <c:pt idx="24">
                    <c:v>Январь</c:v>
                  </c:pt>
                  <c:pt idx="25">
                    <c:v>Февраль</c:v>
                  </c:pt>
                  <c:pt idx="26">
                    <c:v>Март</c:v>
                  </c:pt>
                  <c:pt idx="27">
                    <c:v>Апрель</c:v>
                  </c:pt>
                  <c:pt idx="28">
                    <c:v>Май</c:v>
                  </c:pt>
                  <c:pt idx="29">
                    <c:v>Июнь</c:v>
                  </c:pt>
                  <c:pt idx="30">
                    <c:v>Июль</c:v>
                  </c:pt>
                  <c:pt idx="31">
                    <c:v>Август</c:v>
                  </c:pt>
                  <c:pt idx="32">
                    <c:v>Сентябрь</c:v>
                  </c:pt>
                  <c:pt idx="33">
                    <c:v>Октябрь</c:v>
                  </c:pt>
                  <c:pt idx="34">
                    <c:v>Ноябрь</c:v>
                  </c:pt>
                  <c:pt idx="35">
                    <c:v>Декабрь</c:v>
                  </c:pt>
                  <c:pt idx="36">
                    <c:v>Январь</c:v>
                  </c:pt>
                  <c:pt idx="37">
                    <c:v>Февраль</c:v>
                  </c:pt>
                  <c:pt idx="38">
                    <c:v>Март</c:v>
                  </c:pt>
                  <c:pt idx="39">
                    <c:v>Апрель</c:v>
                  </c:pt>
                  <c:pt idx="40">
                    <c:v>Май</c:v>
                  </c:pt>
                  <c:pt idx="41">
                    <c:v>Июнь</c:v>
                  </c:pt>
                  <c:pt idx="42">
                    <c:v>Июль</c:v>
                  </c:pt>
                  <c:pt idx="43">
                    <c:v>Август</c:v>
                  </c:pt>
                  <c:pt idx="44">
                    <c:v>Сентябрь</c:v>
                  </c:pt>
                  <c:pt idx="45">
                    <c:v>Октябрь</c:v>
                  </c:pt>
                  <c:pt idx="46">
                    <c:v>Ноябрь</c:v>
                  </c:pt>
                  <c:pt idx="47">
                    <c:v>Декабрь</c:v>
                  </c:pt>
                  <c:pt idx="48">
                    <c:v>Январь</c:v>
                  </c:pt>
                  <c:pt idx="49">
                    <c:v>Февраль</c:v>
                  </c:pt>
                  <c:pt idx="50">
                    <c:v>Март</c:v>
                  </c:pt>
                  <c:pt idx="51">
                    <c:v>Апрель</c:v>
                  </c:pt>
                  <c:pt idx="52">
                    <c:v>Май</c:v>
                  </c:pt>
                  <c:pt idx="53">
                    <c:v>Июнь</c:v>
                  </c:pt>
                  <c:pt idx="54">
                    <c:v>Июль</c:v>
                  </c:pt>
                  <c:pt idx="55">
                    <c:v>Август</c:v>
                  </c:pt>
                  <c:pt idx="56">
                    <c:v>Сентябрь</c:v>
                  </c:pt>
                  <c:pt idx="57">
                    <c:v>Октябрь</c:v>
                  </c:pt>
                  <c:pt idx="58">
                    <c:v>Ноябрь</c:v>
                  </c:pt>
                  <c:pt idx="59">
                    <c:v>Декабрь</c:v>
                  </c:pt>
                  <c:pt idx="60">
                    <c:v>Январь</c:v>
                  </c:pt>
                  <c:pt idx="61">
                    <c:v>Февраль</c:v>
                  </c:pt>
                  <c:pt idx="62">
                    <c:v>Март</c:v>
                  </c:pt>
                  <c:pt idx="63">
                    <c:v>Апрель</c:v>
                  </c:pt>
                  <c:pt idx="64">
                    <c:v>Май</c:v>
                  </c:pt>
                  <c:pt idx="65">
                    <c:v>Июнь</c:v>
                  </c:pt>
                  <c:pt idx="66">
                    <c:v>Июль</c:v>
                  </c:pt>
                  <c:pt idx="67">
                    <c:v>Август</c:v>
                  </c:pt>
                  <c:pt idx="68">
                    <c:v>Сентябрь</c:v>
                  </c:pt>
                  <c:pt idx="69">
                    <c:v>Октябрь</c:v>
                  </c:pt>
                  <c:pt idx="70">
                    <c:v>Ноябрь</c:v>
                  </c:pt>
                  <c:pt idx="71">
                    <c:v>Декабрь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'2014-2019 REER black and white '!$B$123:$BU$123</c:f>
              <c:numCache>
                <c:formatCode>General</c:formatCode>
                <c:ptCount val="72"/>
                <c:pt idx="0">
                  <c:v>100</c:v>
                </c:pt>
                <c:pt idx="1">
                  <c:v>99.920148776436733</c:v>
                </c:pt>
                <c:pt idx="2">
                  <c:v>98.605781129173806</c:v>
                </c:pt>
                <c:pt idx="3">
                  <c:v>97.971056232548278</c:v>
                </c:pt>
                <c:pt idx="4">
                  <c:v>97.058844708924369</c:v>
                </c:pt>
                <c:pt idx="5">
                  <c:v>95.762578532281751</c:v>
                </c:pt>
                <c:pt idx="6">
                  <c:v>94.042338660356279</c:v>
                </c:pt>
                <c:pt idx="7">
                  <c:v>93.393508592890456</c:v>
                </c:pt>
                <c:pt idx="8">
                  <c:v>93.585124105491019</c:v>
                </c:pt>
                <c:pt idx="9">
                  <c:v>94.058130788711679</c:v>
                </c:pt>
                <c:pt idx="10">
                  <c:v>94.78451322950265</c:v>
                </c:pt>
                <c:pt idx="11">
                  <c:v>95.534440822600459</c:v>
                </c:pt>
                <c:pt idx="12">
                  <c:v>96.147792103443535</c:v>
                </c:pt>
                <c:pt idx="13">
                  <c:v>95.620027535574579</c:v>
                </c:pt>
                <c:pt idx="14">
                  <c:v>94.549207432038571</c:v>
                </c:pt>
                <c:pt idx="15">
                  <c:v>94.042095144296368</c:v>
                </c:pt>
                <c:pt idx="16">
                  <c:v>93.001549084752071</c:v>
                </c:pt>
                <c:pt idx="17">
                  <c:v>91.460431348533248</c:v>
                </c:pt>
                <c:pt idx="18">
                  <c:v>89.629487420563237</c:v>
                </c:pt>
                <c:pt idx="19">
                  <c:v>88.818306503430847</c:v>
                </c:pt>
                <c:pt idx="20">
                  <c:v>89.079177572603882</c:v>
                </c:pt>
                <c:pt idx="21">
                  <c:v>88.637888944502407</c:v>
                </c:pt>
                <c:pt idx="22">
                  <c:v>87.74259583236821</c:v>
                </c:pt>
                <c:pt idx="23">
                  <c:v>86.964477348133386</c:v>
                </c:pt>
                <c:pt idx="24">
                  <c:v>85.829613266570576</c:v>
                </c:pt>
                <c:pt idx="25">
                  <c:v>85.75929894369871</c:v>
                </c:pt>
                <c:pt idx="26">
                  <c:v>85.158546524087967</c:v>
                </c:pt>
                <c:pt idx="27">
                  <c:v>84.536751700397303</c:v>
                </c:pt>
                <c:pt idx="28">
                  <c:v>83.757181857232752</c:v>
                </c:pt>
                <c:pt idx="29">
                  <c:v>82.705425845938123</c:v>
                </c:pt>
                <c:pt idx="30">
                  <c:v>81.707955161556754</c:v>
                </c:pt>
                <c:pt idx="31">
                  <c:v>81.201926103719472</c:v>
                </c:pt>
                <c:pt idx="32">
                  <c:v>81.411160131966113</c:v>
                </c:pt>
                <c:pt idx="33">
                  <c:v>80.649834295592328</c:v>
                </c:pt>
                <c:pt idx="34">
                  <c:v>80.052242840216081</c:v>
                </c:pt>
                <c:pt idx="35">
                  <c:v>79.767965041460286</c:v>
                </c:pt>
                <c:pt idx="36">
                  <c:v>79.449009546055237</c:v>
                </c:pt>
                <c:pt idx="37">
                  <c:v>78.053199231899413</c:v>
                </c:pt>
                <c:pt idx="38">
                  <c:v>74.520113058218996</c:v>
                </c:pt>
                <c:pt idx="39">
                  <c:v>72.080031103596724</c:v>
                </c:pt>
                <c:pt idx="40">
                  <c:v>70.665790670780709</c:v>
                </c:pt>
                <c:pt idx="41">
                  <c:v>68.866752705376584</c:v>
                </c:pt>
                <c:pt idx="42">
                  <c:v>67.494894461486084</c:v>
                </c:pt>
                <c:pt idx="43">
                  <c:v>65.787608659560874</c:v>
                </c:pt>
                <c:pt idx="44">
                  <c:v>36.658084935821421</c:v>
                </c:pt>
                <c:pt idx="45">
                  <c:v>34.853375327954431</c:v>
                </c:pt>
                <c:pt idx="46">
                  <c:v>35.515268579254318</c:v>
                </c:pt>
                <c:pt idx="47">
                  <c:v>36.882211829732036</c:v>
                </c:pt>
                <c:pt idx="48">
                  <c:v>37.466464629129852</c:v>
                </c:pt>
                <c:pt idx="49">
                  <c:v>37.53607150560665</c:v>
                </c:pt>
                <c:pt idx="50">
                  <c:v>38.047542106380526</c:v>
                </c:pt>
                <c:pt idx="51">
                  <c:v>38.503844505430159</c:v>
                </c:pt>
                <c:pt idx="52">
                  <c:v>38.915178843288686</c:v>
                </c:pt>
                <c:pt idx="53">
                  <c:v>39.272082488543454</c:v>
                </c:pt>
                <c:pt idx="54">
                  <c:v>39.664219281058763</c:v>
                </c:pt>
                <c:pt idx="55">
                  <c:v>39.842369396645793</c:v>
                </c:pt>
                <c:pt idx="56">
                  <c:v>39.792499144103004</c:v>
                </c:pt>
                <c:pt idx="57">
                  <c:v>38.98025444959184</c:v>
                </c:pt>
                <c:pt idx="58">
                  <c:v>39.663931503713357</c:v>
                </c:pt>
                <c:pt idx="59">
                  <c:v>40.357667423694828</c:v>
                </c:pt>
                <c:pt idx="60">
                  <c:v>40.713340473558674</c:v>
                </c:pt>
                <c:pt idx="61">
                  <c:v>40.984869550872517</c:v>
                </c:pt>
                <c:pt idx="62">
                  <c:v>41.281775525975966</c:v>
                </c:pt>
                <c:pt idx="63">
                  <c:v>41.171716815840625</c:v>
                </c:pt>
                <c:pt idx="64">
                  <c:v>41.302637299311726</c:v>
                </c:pt>
                <c:pt idx="65">
                  <c:v>40.771335489582526</c:v>
                </c:pt>
                <c:pt idx="66">
                  <c:v>40.229669329487137</c:v>
                </c:pt>
                <c:pt idx="67">
                  <c:v>39.406729823563936</c:v>
                </c:pt>
                <c:pt idx="68">
                  <c:v>38.326700356375746</c:v>
                </c:pt>
                <c:pt idx="69">
                  <c:v>38.637748504071062</c:v>
                </c:pt>
                <c:pt idx="70">
                  <c:v>39.173704648756448</c:v>
                </c:pt>
                <c:pt idx="71">
                  <c:v>39.720136475589804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66D-41C7-9560-D0A36A9A0B3D}"/>
            </c:ext>
          </c:extLst>
        </c:ser>
        <c:marker val="1"/>
        <c:axId val="112047232"/>
        <c:axId val="112048768"/>
      </c:lineChart>
      <c:catAx>
        <c:axId val="112047232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048768"/>
        <c:crosses val="autoZero"/>
        <c:auto val="1"/>
        <c:lblAlgn val="ctr"/>
        <c:lblOffset val="100"/>
      </c:catAx>
      <c:valAx>
        <c:axId val="1120487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047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5474629633161381E-2"/>
          <c:y val="6.7322870572564794E-2"/>
          <c:w val="0.89638784244231617"/>
          <c:h val="0.65501359485752908"/>
        </c:manualLayout>
      </c:layout>
      <c:barChart>
        <c:barDir val="col"/>
        <c:grouping val="stacked"/>
        <c:ser>
          <c:idx val="0"/>
          <c:order val="0"/>
          <c:tx>
            <c:strRef>
              <c:f>'[Диаграммалар 2016-2019.xlsx]6 табл 8д'!$A$136</c:f>
              <c:strCache>
                <c:ptCount val="1"/>
                <c:pt idx="0">
                  <c:v>Государственный сектор (полученные)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numRef>
              <c:f>'[Диаграммалар 2016-2019.xlsx]6 табл 8д'!$B$135:$G$135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'[Диаграммалар 2016-2019.xlsx]6 табл 8д'!$B$136:$G$136</c:f>
              <c:numCache>
                <c:formatCode>_-* #\ ##0_р_._-;\-* #\ ##0_р_._-;_-* "-"??_р_._-;_-@_-</c:formatCode>
                <c:ptCount val="6"/>
                <c:pt idx="0">
                  <c:v>6.4543619999999997</c:v>
                </c:pt>
                <c:pt idx="1">
                  <c:v>14.764126000000001</c:v>
                </c:pt>
                <c:pt idx="2">
                  <c:v>20.293119812852343</c:v>
                </c:pt>
                <c:pt idx="3">
                  <c:v>30.844631137924736</c:v>
                </c:pt>
                <c:pt idx="4">
                  <c:v>23.042998079586297</c:v>
                </c:pt>
                <c:pt idx="5">
                  <c:v>40.25335985835698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E2-4F97-9F48-1DB383224D37}"/>
            </c:ext>
          </c:extLst>
        </c:ser>
        <c:ser>
          <c:idx val="1"/>
          <c:order val="1"/>
          <c:tx>
            <c:strRef>
              <c:f>'[Диаграммалар 2016-2019.xlsx]6 табл 8д'!$A$137</c:f>
              <c:strCache>
                <c:ptCount val="1"/>
                <c:pt idx="0">
                  <c:v>Домохозяйства (полученные)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numRef>
              <c:f>'[Диаграммалар 2016-2019.xlsx]6 табл 8д'!$B$135:$G$135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'[Диаграммалар 2016-2019.xlsx]6 табл 8д'!$B$137:$G$137</c:f>
              <c:numCache>
                <c:formatCode>_-* #\ ##0_р_._-;\-* #\ ##0_р_._-;_-* "-"??_р_._-;_-@_-</c:formatCode>
                <c:ptCount val="6"/>
                <c:pt idx="0">
                  <c:v>5218.1388189061681</c:v>
                </c:pt>
                <c:pt idx="1">
                  <c:v>2847.9872271641111</c:v>
                </c:pt>
                <c:pt idx="2">
                  <c:v>3649.0848961181719</c:v>
                </c:pt>
                <c:pt idx="3">
                  <c:v>4653.2391349235295</c:v>
                </c:pt>
                <c:pt idx="4">
                  <c:v>4662.5101196196401</c:v>
                </c:pt>
                <c:pt idx="5">
                  <c:v>5885.1166476100498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E2-4F97-9F48-1DB383224D37}"/>
            </c:ext>
          </c:extLst>
        </c:ser>
        <c:ser>
          <c:idx val="2"/>
          <c:order val="2"/>
          <c:tx>
            <c:strRef>
              <c:f>'[Диаграммалар 2016-2019.xlsx]6 табл 8д'!$A$138</c:f>
              <c:strCache>
                <c:ptCount val="1"/>
                <c:pt idx="0">
                  <c:v>Прочие (полученные)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numRef>
              <c:f>'[Диаграммалар 2016-2019.xlsx]6 табл 8д'!$B$135:$G$135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'[Диаграммалар 2016-2019.xlsx]6 табл 8д'!$B$138:$G$138</c:f>
              <c:numCache>
                <c:formatCode>_-* #\ ##0_р_._-;\-* #\ ##0_р_._-;_-* "-"??_р_._-;_-@_-</c:formatCode>
                <c:ptCount val="6"/>
                <c:pt idx="0">
                  <c:v>12.967733826833896</c:v>
                </c:pt>
                <c:pt idx="1">
                  <c:v>11.290063</c:v>
                </c:pt>
                <c:pt idx="2">
                  <c:v>57.83422249863704</c:v>
                </c:pt>
                <c:pt idx="3">
                  <c:v>131.97349255539874</c:v>
                </c:pt>
                <c:pt idx="4">
                  <c:v>137.3569129167806</c:v>
                </c:pt>
                <c:pt idx="5">
                  <c:v>114.91658301146309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E2-4F97-9F48-1DB383224D37}"/>
            </c:ext>
          </c:extLst>
        </c:ser>
        <c:ser>
          <c:idx val="3"/>
          <c:order val="3"/>
          <c:tx>
            <c:strRef>
              <c:f>'[Диаграммалар 2016-2019.xlsx]6 табл 8д'!$A$139</c:f>
              <c:strCache>
                <c:ptCount val="1"/>
                <c:pt idx="0">
                  <c:v>Государственный сектор (выплаченные)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numRef>
              <c:f>'[Диаграммалар 2016-2019.xlsx]6 табл 8д'!$B$135:$G$135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'[Диаграммалар 2016-2019.xlsx]6 табл 8д'!$B$139:$G$139</c:f>
              <c:numCache>
                <c:formatCode>_-* #\ ##0_р_._-;\-* #\ ##0_р_._-;_-* "-"??_р_._-;_-@_-</c:formatCode>
                <c:ptCount val="6"/>
                <c:pt idx="0">
                  <c:v>-4.41</c:v>
                </c:pt>
                <c:pt idx="1">
                  <c:v>-1.7399999999999991</c:v>
                </c:pt>
                <c:pt idx="2">
                  <c:v>-12.739999999999998</c:v>
                </c:pt>
                <c:pt idx="3">
                  <c:v>-12.739999999999998</c:v>
                </c:pt>
                <c:pt idx="4">
                  <c:v>-12.742773752528237</c:v>
                </c:pt>
                <c:pt idx="5">
                  <c:v>-16.993314681559124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BE2-4F97-9F48-1DB383224D37}"/>
            </c:ext>
          </c:extLst>
        </c:ser>
        <c:ser>
          <c:idx val="4"/>
          <c:order val="4"/>
          <c:tx>
            <c:strRef>
              <c:f>'[Диаграммалар 2016-2019.xlsx]6 табл 8д'!$A$140</c:f>
              <c:strCache>
                <c:ptCount val="1"/>
                <c:pt idx="0">
                  <c:v>Домохозяйства (выплаченные)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numRef>
              <c:f>'[Диаграммалар 2016-2019.xlsx]6 табл 8д'!$B$135:$G$135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'[Диаграммалар 2016-2019.xlsx]6 табл 8д'!$B$140:$G$140</c:f>
              <c:numCache>
                <c:formatCode>_-* #\ ##0_р_._-;\-* #\ ##0_р_._-;_-* "-"??_р_._-;_-@_-</c:formatCode>
                <c:ptCount val="6"/>
                <c:pt idx="0">
                  <c:v>-134.96112000000005</c:v>
                </c:pt>
                <c:pt idx="1">
                  <c:v>-134.96112000000005</c:v>
                </c:pt>
                <c:pt idx="2">
                  <c:v>-143.36028000000007</c:v>
                </c:pt>
                <c:pt idx="3">
                  <c:v>-156.880584</c:v>
                </c:pt>
                <c:pt idx="4">
                  <c:v>-219.65795216099997</c:v>
                </c:pt>
                <c:pt idx="5">
                  <c:v>-223.36554740400001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BE2-4F97-9F48-1DB383224D37}"/>
            </c:ext>
          </c:extLst>
        </c:ser>
        <c:ser>
          <c:idx val="5"/>
          <c:order val="5"/>
          <c:tx>
            <c:strRef>
              <c:f>'[Диаграммалар 2016-2019.xlsx]6 табл 8д'!$A$141</c:f>
              <c:strCache>
                <c:ptCount val="1"/>
                <c:pt idx="0">
                  <c:v>Прочие (выплаченные)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numRef>
              <c:f>'[Диаграммалар 2016-2019.xlsx]6 табл 8д'!$B$135:$G$135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'[Диаграммалар 2016-2019.xlsx]6 табл 8д'!$B$141:$G$141</c:f>
              <c:numCache>
                <c:formatCode>_-* #\ ##0_р_._-;\-* #\ ##0_р_._-;_-* "-"??_р_._-;_-@_-</c:formatCode>
                <c:ptCount val="6"/>
                <c:pt idx="0">
                  <c:v>-207.94811708272726</c:v>
                </c:pt>
                <c:pt idx="1">
                  <c:v>-259.5175907619099</c:v>
                </c:pt>
                <c:pt idx="2">
                  <c:v>-279.26876210985512</c:v>
                </c:pt>
                <c:pt idx="3">
                  <c:v>-323.49987163724501</c:v>
                </c:pt>
                <c:pt idx="4">
                  <c:v>-382.81834516026009</c:v>
                </c:pt>
                <c:pt idx="5">
                  <c:v>-345.37792614071498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BE2-4F97-9F48-1DB383224D37}"/>
            </c:ext>
          </c:extLst>
        </c:ser>
        <c:gapWidth val="135"/>
        <c:overlap val="100"/>
        <c:axId val="117763072"/>
        <c:axId val="154370816"/>
      </c:barChart>
      <c:lineChart>
        <c:grouping val="standard"/>
        <c:ser>
          <c:idx val="6"/>
          <c:order val="6"/>
          <c:tx>
            <c:strRef>
              <c:f>'[Диаграммалар 2016-2019.xlsx]6 табл 8д'!$A$142</c:f>
              <c:strCache>
                <c:ptCount val="1"/>
                <c:pt idx="0">
                  <c:v>сальдо</c:v>
                </c:pt>
              </c:strCache>
            </c:strRef>
          </c:tx>
          <c:spPr>
            <a:ln w="317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7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l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1.0427892159080319E-2"/>
                  <c:y val="7.6901315479277668E-3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BE2-4F97-9F48-1DB383224D37}"/>
                </c:ext>
              </c:extLst>
            </c:dLbl>
            <c:dLbl>
              <c:idx val="1"/>
              <c:layout>
                <c:manualLayout>
                  <c:x val="9.1486523059730925E-3"/>
                  <c:y val="3.3266799733864994E-3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BE2-4F97-9F48-1DB383224D37}"/>
                </c:ext>
              </c:extLst>
            </c:dLbl>
            <c:dLbl>
              <c:idx val="2"/>
              <c:layout>
                <c:manualLayout>
                  <c:x val="1.2812081586263693E-2"/>
                  <c:y val="0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BE2-4F97-9F48-1DB383224D37}"/>
                </c:ext>
              </c:extLst>
            </c:dLbl>
            <c:dLbl>
              <c:idx val="3"/>
              <c:layout>
                <c:manualLayout>
                  <c:x val="1.1338709664618208E-2"/>
                  <c:y val="-1.538026309585560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CBE2-4F97-9F48-1DB383224D37}"/>
                </c:ext>
              </c:extLst>
            </c:dLbl>
            <c:dLbl>
              <c:idx val="4"/>
              <c:layout>
                <c:manualLayout>
                  <c:x val="1.2249527170156042E-2"/>
                  <c:y val="-3.0494214150946144E-17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CBE2-4F97-9F48-1DB383224D37}"/>
                </c:ext>
              </c:extLst>
            </c:dLbl>
            <c:dLbl>
              <c:idx val="5"/>
              <c:layout>
                <c:manualLayout>
                  <c:x val="1.1594589382102871E-2"/>
                  <c:y val="0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CBE2-4F97-9F48-1DB383224D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'[Диаграммалар 2016-2019.xlsx]6 табл 8д'!$B$125:$G$125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'[Диаграммалар 2016-2019.xlsx]6 табл 8д'!$B$142:$G$142</c:f>
              <c:numCache>
                <c:formatCode>_-* #\ ##0_р_._-;\-* #\ ##0_р_._-;_-* "-"??_р_._-;_-@_-</c:formatCode>
                <c:ptCount val="6"/>
                <c:pt idx="0">
                  <c:v>4890.2416776502778</c:v>
                </c:pt>
                <c:pt idx="1">
                  <c:v>2477.8227054022018</c:v>
                </c:pt>
                <c:pt idx="2">
                  <c:v>3291.8431963198091</c:v>
                </c:pt>
                <c:pt idx="3">
                  <c:v>4322.936802979606</c:v>
                </c:pt>
                <c:pt idx="4">
                  <c:v>4207.6909595422194</c:v>
                </c:pt>
                <c:pt idx="5">
                  <c:v>5454.549802253593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BE2-4F97-9F48-1DB383224D37}"/>
            </c:ext>
          </c:extLst>
        </c:ser>
        <c:marker val="1"/>
        <c:axId val="117763072"/>
        <c:axId val="154370816"/>
      </c:lineChart>
      <c:catAx>
        <c:axId val="117763072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370816"/>
        <c:crosses val="autoZero"/>
        <c:auto val="1"/>
        <c:lblAlgn val="ctr"/>
        <c:lblOffset val="100"/>
      </c:catAx>
      <c:valAx>
        <c:axId val="154370816"/>
        <c:scaling>
          <c:orientation val="minMax"/>
          <c:max val="7000"/>
          <c:min val="-1000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763072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2515716681468654E-2"/>
          <c:y val="0.8042859163562639"/>
          <c:w val="0.90892063046095661"/>
          <c:h val="0.1757540038034168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8.7264156485977448E-2"/>
          <c:y val="6.9567465236736195E-2"/>
          <c:w val="0.84893283337077341"/>
          <c:h val="0.67302627474371146"/>
        </c:manualLayout>
      </c:layout>
      <c:areaChart>
        <c:grouping val="stacked"/>
        <c:ser>
          <c:idx val="0"/>
          <c:order val="0"/>
          <c:tx>
            <c:strRef>
              <c:f>'[Диаграммалар 2016-2019.xlsx]ДП 10д '!$C$14</c:f>
              <c:strCache>
                <c:ptCount val="1"/>
                <c:pt idx="0">
                  <c:v>денежные переводы гражданам Узбекистана</c:v>
                </c:pt>
              </c:strCache>
            </c:strRef>
          </c:tx>
          <c:spPr>
            <a:gradFill>
              <a:gsLst>
                <a:gs pos="100000">
                  <a:schemeClr val="accent1"/>
                </a:gs>
                <a:gs pos="0">
                  <a:schemeClr val="accent1">
                    <a:lumMod val="75000"/>
                  </a:schemeClr>
                </a:gs>
              </a:gsLst>
              <a:lin ang="0" scaled="1"/>
            </a:gradFill>
            <a:ln w="25400">
              <a:noFill/>
            </a:ln>
            <a:effectLst>
              <a:innerShdw dist="12700" dir="16200000">
                <a:schemeClr val="lt1">
                  <a:alpha val="75000"/>
                </a:schemeClr>
              </a:innerShdw>
            </a:effectLst>
          </c:spPr>
          <c:cat>
            <c:multiLvlStrRef>
              <c:f>'[Диаграммалар 2016-2019.xlsx]ДП 10д '!$D$12:$AA$13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'[Диаграммалар 2016-2019.xlsx]ДП 10д '!$D$14:$AA$14</c:f>
              <c:numCache>
                <c:formatCode>#\ ##0_ ;\-#\ ##0\ </c:formatCode>
                <c:ptCount val="24"/>
                <c:pt idx="0">
                  <c:v>1089.2829999999999</c:v>
                </c:pt>
                <c:pt idx="1">
                  <c:v>1862.5519999999999</c:v>
                </c:pt>
                <c:pt idx="2">
                  <c:v>2340.5</c:v>
                </c:pt>
                <c:pt idx="3">
                  <c:v>1175.865</c:v>
                </c:pt>
                <c:pt idx="4">
                  <c:v>609.5</c:v>
                </c:pt>
                <c:pt idx="5">
                  <c:v>1109.7</c:v>
                </c:pt>
                <c:pt idx="6">
                  <c:v>1256.44</c:v>
                </c:pt>
                <c:pt idx="7">
                  <c:v>905.22</c:v>
                </c:pt>
                <c:pt idx="8">
                  <c:v>547.64056480826798</c:v>
                </c:pt>
                <c:pt idx="9">
                  <c:v>946.79828213367614</c:v>
                </c:pt>
                <c:pt idx="10">
                  <c:v>1252.5236642512314</c:v>
                </c:pt>
                <c:pt idx="11">
                  <c:v>980.42095218122529</c:v>
                </c:pt>
                <c:pt idx="12">
                  <c:v>778.85268879667399</c:v>
                </c:pt>
                <c:pt idx="13">
                  <c:v>1168.2697936547852</c:v>
                </c:pt>
                <c:pt idx="14">
                  <c:v>1561.5240784231419</c:v>
                </c:pt>
                <c:pt idx="15">
                  <c:v>1251.9413245492563</c:v>
                </c:pt>
                <c:pt idx="16">
                  <c:v>924.77674159000014</c:v>
                </c:pt>
                <c:pt idx="17">
                  <c:v>1254.6990115999995</c:v>
                </c:pt>
                <c:pt idx="18">
                  <c:v>1521.0086074000005</c:v>
                </c:pt>
                <c:pt idx="19">
                  <c:v>1243.4161889600011</c:v>
                </c:pt>
                <c:pt idx="20">
                  <c:v>961.99120064999988</c:v>
                </c:pt>
                <c:pt idx="21">
                  <c:v>1457.8325513800003</c:v>
                </c:pt>
                <c:pt idx="22">
                  <c:v>1829.5085330099989</c:v>
                </c:pt>
                <c:pt idx="23">
                  <c:v>1523.8606943899997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DC-4704-989B-0AADC13E68CB}"/>
            </c:ext>
          </c:extLst>
        </c:ser>
        <c:ser>
          <c:idx val="1"/>
          <c:order val="1"/>
          <c:tx>
            <c:strRef>
              <c:f>'[Диаграммалар 2016-2019.xlsx]ДП 10д '!$C$15</c:f>
              <c:strCache>
                <c:ptCount val="1"/>
                <c:pt idx="0">
                  <c:v>денежные переводы гражданам других государств</c:v>
                </c:pt>
              </c:strCache>
            </c:strRef>
          </c:tx>
          <c:spPr>
            <a:gradFill>
              <a:gsLst>
                <a:gs pos="100000">
                  <a:schemeClr val="accent2"/>
                </a:gs>
                <a:gs pos="0">
                  <a:schemeClr val="accent2">
                    <a:lumMod val="75000"/>
                  </a:schemeClr>
                </a:gs>
              </a:gsLst>
              <a:lin ang="0" scaled="1"/>
            </a:gradFill>
            <a:ln w="25400">
              <a:noFill/>
            </a:ln>
            <a:effectLst>
              <a:innerShdw dist="12700" dir="16200000">
                <a:schemeClr val="lt1">
                  <a:alpha val="75000"/>
                </a:schemeClr>
              </a:innerShdw>
            </a:effectLst>
          </c:spPr>
          <c:cat>
            <c:multiLvlStrRef>
              <c:f>'[Диаграммалар 2016-2019.xlsx]ДП 10д '!$D$12:$AA$13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'[Диаграммалар 2016-2019.xlsx]ДП 10д '!$D$15:$AA$15</c:f>
              <c:numCache>
                <c:formatCode>#\ ##0_ ;\-#\ ##0\ 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11.336482663514865</c:v>
                </c:pt>
                <c:pt idx="9">
                  <c:v>18.821792149118494</c:v>
                </c:pt>
                <c:pt idx="10">
                  <c:v>13.267879003399999</c:v>
                </c:pt>
                <c:pt idx="11">
                  <c:v>12.976924877142729</c:v>
                </c:pt>
                <c:pt idx="12">
                  <c:v>26.241144276899991</c:v>
                </c:pt>
                <c:pt idx="13">
                  <c:v>32.923496036426279</c:v>
                </c:pt>
                <c:pt idx="14">
                  <c:v>42.732246964230761</c:v>
                </c:pt>
                <c:pt idx="15">
                  <c:v>34.148029428686804</c:v>
                </c:pt>
                <c:pt idx="16">
                  <c:v>24.736328530000002</c:v>
                </c:pt>
                <c:pt idx="17">
                  <c:v>80.35476663</c:v>
                </c:pt>
                <c:pt idx="18">
                  <c:v>23.53858232999999</c:v>
                </c:pt>
                <c:pt idx="19">
                  <c:v>42.261233480000001</c:v>
                </c:pt>
                <c:pt idx="20">
                  <c:v>102.04072307999989</c:v>
                </c:pt>
                <c:pt idx="21">
                  <c:v>70.971862380000005</c:v>
                </c:pt>
                <c:pt idx="22">
                  <c:v>32.920138360000017</c:v>
                </c:pt>
                <c:pt idx="23">
                  <c:v>30.045669259999997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DC-4704-989B-0AADC13E68CB}"/>
            </c:ext>
          </c:extLst>
        </c:ser>
        <c:ser>
          <c:idx val="2"/>
          <c:order val="2"/>
          <c:tx>
            <c:strRef>
              <c:f>'[Диаграммалар 2016-2019.xlsx]ДП 10д '!$C$16</c:f>
              <c:strCache>
                <c:ptCount val="1"/>
                <c:pt idx="0">
                  <c:v>ввоз наличности гражданами Узбекистана</c:v>
                </c:pt>
              </c:strCache>
            </c:strRef>
          </c:tx>
          <c:spPr>
            <a:gradFill>
              <a:gsLst>
                <a:gs pos="100000">
                  <a:schemeClr val="accent3"/>
                </a:gs>
                <a:gs pos="0">
                  <a:schemeClr val="accent3">
                    <a:lumMod val="75000"/>
                  </a:schemeClr>
                </a:gs>
              </a:gsLst>
              <a:lin ang="0" scaled="1"/>
            </a:gradFill>
            <a:ln w="25400">
              <a:noFill/>
            </a:ln>
            <a:effectLst>
              <a:innerShdw dist="12700" dir="16200000">
                <a:schemeClr val="lt1">
                  <a:alpha val="75000"/>
                </a:schemeClr>
              </a:innerShdw>
            </a:effectLst>
          </c:spPr>
          <c:cat>
            <c:multiLvlStrRef>
              <c:f>'[Диаграммалар 2016-2019.xlsx]ДП 10д '!$D$12:$AA$13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'[Диаграммалар 2016-2019.xlsx]ДП 10д '!$D$16:$AA$16</c:f>
              <c:numCache>
                <c:formatCode>#\ ##0_ ;\-#\ ##0\ </c:formatCode>
                <c:ptCount val="24"/>
                <c:pt idx="0">
                  <c:v>330.55093920427856</c:v>
                </c:pt>
                <c:pt idx="1">
                  <c:v>450.57704580696048</c:v>
                </c:pt>
                <c:pt idx="2">
                  <c:v>583.62326490216299</c:v>
                </c:pt>
                <c:pt idx="3">
                  <c:v>418.47122386755484</c:v>
                </c:pt>
                <c:pt idx="4">
                  <c:v>184.95725853153675</c:v>
                </c:pt>
                <c:pt idx="5">
                  <c:v>268.45175207563813</c:v>
                </c:pt>
                <c:pt idx="6">
                  <c:v>313.30383035833086</c:v>
                </c:pt>
                <c:pt idx="7">
                  <c:v>322.15307137246901</c:v>
                </c:pt>
                <c:pt idx="8">
                  <c:v>169.62569693590424</c:v>
                </c:pt>
                <c:pt idx="9">
                  <c:v>233.59682867497878</c:v>
                </c:pt>
                <c:pt idx="10">
                  <c:v>315.63571594095913</c:v>
                </c:pt>
                <c:pt idx="11">
                  <c:v>353.53414329029795</c:v>
                </c:pt>
                <c:pt idx="12">
                  <c:v>256.95363682951501</c:v>
                </c:pt>
                <c:pt idx="13">
                  <c:v>254.31779385049799</c:v>
                </c:pt>
                <c:pt idx="14">
                  <c:v>315.10716230918268</c:v>
                </c:pt>
                <c:pt idx="15">
                  <c:v>394.55314933320949</c:v>
                </c:pt>
                <c:pt idx="16">
                  <c:v>303.04646062565973</c:v>
                </c:pt>
                <c:pt idx="17">
                  <c:v>282.65886470153981</c:v>
                </c:pt>
                <c:pt idx="18">
                  <c:v>303.37912608256181</c:v>
                </c:pt>
                <c:pt idx="19">
                  <c:v>394.42677484367454</c:v>
                </c:pt>
                <c:pt idx="20">
                  <c:v>339.59628216422203</c:v>
                </c:pt>
                <c:pt idx="21">
                  <c:v>323.67993483904326</c:v>
                </c:pt>
                <c:pt idx="22">
                  <c:v>365.81723528311721</c:v>
                </c:pt>
                <c:pt idx="23">
                  <c:v>476.7154378898137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FDC-4704-989B-0AADC13E68CB}"/>
            </c:ext>
          </c:extLst>
        </c:ser>
        <c:ser>
          <c:idx val="3"/>
          <c:order val="3"/>
          <c:tx>
            <c:strRef>
              <c:f>'[Диаграммалар 2016-2019.xlsx]ДП 10д '!$C$17</c:f>
              <c:strCache>
                <c:ptCount val="1"/>
                <c:pt idx="0">
                  <c:v>ввоз наличности гражданами других государств</c:v>
                </c:pt>
              </c:strCache>
            </c:strRef>
          </c:tx>
          <c:spPr>
            <a:gradFill>
              <a:gsLst>
                <a:gs pos="100000">
                  <a:schemeClr val="accent4"/>
                </a:gs>
                <a:gs pos="0">
                  <a:schemeClr val="accent4">
                    <a:lumMod val="75000"/>
                  </a:schemeClr>
                </a:gs>
              </a:gsLst>
              <a:lin ang="0" scaled="1"/>
            </a:gradFill>
            <a:ln w="25400">
              <a:noFill/>
            </a:ln>
            <a:effectLst>
              <a:innerShdw dist="12700" dir="16200000">
                <a:schemeClr val="lt1">
                  <a:alpha val="75000"/>
                </a:schemeClr>
              </a:innerShdw>
            </a:effectLst>
          </c:spPr>
          <c:cat>
            <c:multiLvlStrRef>
              <c:f>'[Диаграммалар 2016-2019.xlsx]ДП 10д '!$D$12:$AA$13</c:f>
              <c:multiLvlStrCache>
                <c:ptCount val="2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</c:lvl>
              </c:multiLvlStrCache>
            </c:multiLvlStrRef>
          </c:cat>
          <c:val>
            <c:numRef>
              <c:f>'[Диаграммалар 2016-2019.xlsx]ДП 10д '!$D$17:$AA$17</c:f>
              <c:numCache>
                <c:formatCode>#\ ##0_ ;\-#\ ##0\ </c:formatCode>
                <c:ptCount val="24"/>
                <c:pt idx="0">
                  <c:v>241.32445618845645</c:v>
                </c:pt>
                <c:pt idx="1">
                  <c:v>290.85895704787845</c:v>
                </c:pt>
                <c:pt idx="2">
                  <c:v>349.77607101463195</c:v>
                </c:pt>
                <c:pt idx="3">
                  <c:v>307.39396446464065</c:v>
                </c:pt>
                <c:pt idx="4">
                  <c:v>135.03126005534301</c:v>
                </c:pt>
                <c:pt idx="5">
                  <c:v>173.2924421095523</c:v>
                </c:pt>
                <c:pt idx="6">
                  <c:v>187.76870184388983</c:v>
                </c:pt>
                <c:pt idx="7">
                  <c:v>236.64210135745361</c:v>
                </c:pt>
                <c:pt idx="8">
                  <c:v>123.83818714049242</c:v>
                </c:pt>
                <c:pt idx="9">
                  <c:v>150.79270147109381</c:v>
                </c:pt>
                <c:pt idx="10">
                  <c:v>189.19541889923045</c:v>
                </c:pt>
                <c:pt idx="11">
                  <c:v>259.69351219717356</c:v>
                </c:pt>
                <c:pt idx="12">
                  <c:v>400.4978487314313</c:v>
                </c:pt>
                <c:pt idx="13">
                  <c:v>257.87248348270748</c:v>
                </c:pt>
                <c:pt idx="14">
                  <c:v>240.89755325251397</c:v>
                </c:pt>
                <c:pt idx="15">
                  <c:v>587.54070039638111</c:v>
                </c:pt>
                <c:pt idx="16">
                  <c:v>472.33990164061368</c:v>
                </c:pt>
                <c:pt idx="17">
                  <c:v>286.60968749138112</c:v>
                </c:pt>
                <c:pt idx="18">
                  <c:v>231.93153924399181</c:v>
                </c:pt>
                <c:pt idx="19">
                  <c:v>587.352512426727</c:v>
                </c:pt>
                <c:pt idx="20">
                  <c:v>529.30786316989202</c:v>
                </c:pt>
                <c:pt idx="21">
                  <c:v>328.20412361524404</c:v>
                </c:pt>
                <c:pt idx="22">
                  <c:v>279.66510272728914</c:v>
                </c:pt>
                <c:pt idx="23">
                  <c:v>710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FDC-4704-989B-0AADC13E68CB}"/>
            </c:ext>
          </c:extLst>
        </c:ser>
        <c:dropLines>
          <c:spPr>
            <a:ln w="0" cap="flat" cmpd="sng" algn="ctr">
              <a:solidFill>
                <a:schemeClr val="accent1">
                  <a:lumMod val="60000"/>
                  <a:lumOff val="40000"/>
                </a:schemeClr>
              </a:solidFill>
              <a:prstDash val="sysDash"/>
              <a:round/>
              <a:headEnd type="none"/>
            </a:ln>
            <a:effectLst/>
          </c:spPr>
        </c:dropLines>
        <c:axId val="154412928"/>
        <c:axId val="154414464"/>
      </c:areaChart>
      <c:catAx>
        <c:axId val="1544129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75" cap="flat" cmpd="sng" algn="ctr">
            <a:solidFill>
              <a:schemeClr val="lt1">
                <a:lumMod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414464"/>
        <c:crossesAt val="0"/>
        <c:auto val="1"/>
        <c:lblAlgn val="ctr"/>
        <c:lblOffset val="100"/>
      </c:catAx>
      <c:valAx>
        <c:axId val="154414464"/>
        <c:scaling>
          <c:orientation val="minMax"/>
          <c:min val="0"/>
        </c:scaling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prstDash val="sysDot"/>
              <a:round/>
            </a:ln>
            <a:effectLst>
              <a:glow>
                <a:schemeClr val="accent1">
                  <a:alpha val="40000"/>
                </a:schemeClr>
              </a:glow>
              <a:softEdge rad="0"/>
            </a:effectLst>
          </c:spPr>
        </c:majorGridlines>
        <c:numFmt formatCode="#\ ##0_ ;\-#\ ##0\ " sourceLinked="0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412928"/>
        <c:crosses val="autoZero"/>
        <c:crossBetween val="midCat"/>
        <c:majorUnit val="5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2226020062253589E-4"/>
          <c:y val="0.88733725829683552"/>
          <c:w val="0.99484620832371462"/>
          <c:h val="9.796775240524384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b" anchorCtr="0"/>
        <a:lstStyle/>
        <a:p>
          <a:pPr>
            <a:defRPr sz="850" b="0" i="0" u="none" strike="noStrike" kern="1200" baseline="0">
              <a:ln>
                <a:noFill/>
              </a:ln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bg1">
          <a:lumMod val="95000"/>
        </a:schemeClr>
      </a:solidFill>
      <a:round/>
    </a:ln>
    <a:effectLst>
      <a:outerShdw sx="1000" sy="1000" algn="ctr" rotWithShape="0">
        <a:schemeClr val="bg2">
          <a:lumMod val="90000"/>
        </a:schemeClr>
      </a:outerShdw>
    </a:effectLst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1685230049932167E-2"/>
          <c:y val="2.8741650354712468E-2"/>
          <c:w val="0.88828041756579246"/>
          <c:h val="0.73513040776582161"/>
        </c:manualLayout>
      </c:layout>
      <c:barChart>
        <c:barDir val="col"/>
        <c:grouping val="stacked"/>
        <c:ser>
          <c:idx val="1"/>
          <c:order val="1"/>
          <c:tx>
            <c:strRef>
              <c:f>'[фин счёт и МИП для публикации (rus).xlsx]прямые инвестиции (yearly)'!$A$4</c:f>
              <c:strCache>
                <c:ptCount val="1"/>
                <c:pt idx="0">
                  <c:v>Чистые инвестиции в капитал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'[фин счёт и МИП для публикации (rus).xlsx]прямые инвестиции (yearly)'!$AM$1:$AR$2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'[фин счёт и МИП для публикации (rus).xlsx]прямые инвестиции (yearly)'!$AM$4:$AR$4</c:f>
              <c:numCache>
                <c:formatCode>_-* #\ ##0_р_._-;\-* #\ ##0_р_._-;_-* "-"??_р_._-;_-@_-</c:formatCode>
                <c:ptCount val="6"/>
                <c:pt idx="0">
                  <c:v>298.892</c:v>
                </c:pt>
                <c:pt idx="1">
                  <c:v>190.93000000000009</c:v>
                </c:pt>
                <c:pt idx="2">
                  <c:v>-342.99130510825489</c:v>
                </c:pt>
                <c:pt idx="3">
                  <c:v>241.46863628440724</c:v>
                </c:pt>
                <c:pt idx="4">
                  <c:v>300.43277936272847</c:v>
                </c:pt>
                <c:pt idx="5">
                  <c:v>2077.1992360927643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46-4D0A-8241-3E1D30A09F22}"/>
            </c:ext>
          </c:extLst>
        </c:ser>
        <c:ser>
          <c:idx val="2"/>
          <c:order val="2"/>
          <c:tx>
            <c:strRef>
              <c:f>'[фин счёт и МИП для публикации (rus).xlsx]прямые инвестиции (yearly)'!$A$5</c:f>
              <c:strCache>
                <c:ptCount val="1"/>
                <c:pt idx="0">
                  <c:v>Реинвестиции доходов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'[фин счёт и МИП для публикации (rus).xlsx]прямые инвестиции (yearly)'!$AM$1:$AR$2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'[фин счёт и МИП для публикации (rus).xlsx]прямые инвестиции (yearly)'!$AM$5:$AR$5</c:f>
              <c:numCache>
                <c:formatCode>_-* #\ ##0_р_._-;\-* #\ ##0_р_._-;_-* "-"??_р_._-;_-@_-</c:formatCode>
                <c:ptCount val="6"/>
                <c:pt idx="0">
                  <c:v>146.94</c:v>
                </c:pt>
                <c:pt idx="1">
                  <c:v>190.45000000000005</c:v>
                </c:pt>
                <c:pt idx="2">
                  <c:v>545.89712132432771</c:v>
                </c:pt>
                <c:pt idx="3">
                  <c:v>475.26361221544767</c:v>
                </c:pt>
                <c:pt idx="4">
                  <c:v>692.72690536319919</c:v>
                </c:pt>
                <c:pt idx="5">
                  <c:v>712.18035521499803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A46-4D0A-8241-3E1D30A09F22}"/>
            </c:ext>
          </c:extLst>
        </c:ser>
        <c:ser>
          <c:idx val="3"/>
          <c:order val="3"/>
          <c:tx>
            <c:strRef>
              <c:f>'[фин счёт и МИП для публикации (rus).xlsx]прямые инвестиции (yearly)'!$A$6</c:f>
              <c:strCache>
                <c:ptCount val="1"/>
                <c:pt idx="0">
                  <c:v>Долговые инструменты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'[фин счёт и МИП для публикации (rus).xlsx]прямые инвестиции (yearly)'!$AM$1:$AR$2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'[фин счёт и МИП для публикации (rus).xlsx]прямые инвестиции (yearly)'!$AM$6:$AR$6</c:f>
              <c:numCache>
                <c:formatCode>_-* #\ ##0_р_._-;\-* #\ ##0_р_._-;_-* "-"??_р_._-;_-@_-</c:formatCode>
                <c:ptCount val="6"/>
                <c:pt idx="0">
                  <c:v>5.023996570486446</c:v>
                </c:pt>
                <c:pt idx="1">
                  <c:v>-5.9707089060738294</c:v>
                </c:pt>
                <c:pt idx="2">
                  <c:v>533.12310881652161</c:v>
                </c:pt>
                <c:pt idx="3">
                  <c:v>-116.46166184604762</c:v>
                </c:pt>
                <c:pt idx="4">
                  <c:v>-14.500771465494243</c:v>
                </c:pt>
                <c:pt idx="5">
                  <c:v>168.70031806332028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A46-4D0A-8241-3E1D30A09F22}"/>
            </c:ext>
          </c:extLst>
        </c:ser>
        <c:ser>
          <c:idx val="4"/>
          <c:order val="4"/>
          <c:tx>
            <c:strRef>
              <c:f>'[фин счёт и МИП для публикации (rus).xlsx]прямые инвестиции (yearly)'!$A$7</c:f>
              <c:strCache>
                <c:ptCount val="1"/>
                <c:pt idx="0">
                  <c:v>Чистые поступления по СРП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'[фин счёт и МИП для публикации (rus).xlsx]прямые инвестиции (yearly)'!$AM$1:$AR$2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'[фин счёт и МИП для публикации (rus).xlsx]прямые инвестиции (yearly)'!$AM$7:$AR$7</c:f>
              <c:numCache>
                <c:formatCode>_-* #\ ##0_р_._-;\-* #\ ##0_р_._-;_-* "-"??_р_._-;_-@_-</c:formatCode>
                <c:ptCount val="6"/>
                <c:pt idx="0">
                  <c:v>357.82000000000005</c:v>
                </c:pt>
                <c:pt idx="1">
                  <c:v>665.79000000000019</c:v>
                </c:pt>
                <c:pt idx="2">
                  <c:v>926.55788199999972</c:v>
                </c:pt>
                <c:pt idx="3">
                  <c:v>1197.070849</c:v>
                </c:pt>
                <c:pt idx="4">
                  <c:v>-353.93387899999993</c:v>
                </c:pt>
                <c:pt idx="5">
                  <c:v>-671.6916696899998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A46-4D0A-8241-3E1D30A09F22}"/>
            </c:ext>
          </c:extLst>
        </c:ser>
        <c:overlap val="100"/>
        <c:axId val="117610368"/>
        <c:axId val="117611904"/>
      </c:barChart>
      <c:lineChart>
        <c:grouping val="standard"/>
        <c:ser>
          <c:idx val="0"/>
          <c:order val="0"/>
          <c:tx>
            <c:strRef>
              <c:f>'[фин счёт и МИП для публикации (rus).xlsx]прямые инвестиции (yearly)'!$A$3</c:f>
              <c:strCache>
                <c:ptCount val="1"/>
                <c:pt idx="0">
                  <c:v>Прямые инвестиции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l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2.1775544388609729E-2"/>
                  <c:y val="7.8895447173596527E-3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A46-4D0A-8241-3E1D30A09F22}"/>
                </c:ext>
              </c:extLst>
            </c:dLbl>
            <c:dLbl>
              <c:idx val="1"/>
              <c:layout>
                <c:manualLayout>
                  <c:x val="2.0100502512562752E-2"/>
                  <c:y val="0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A46-4D0A-8241-3E1D30A09F22}"/>
                </c:ext>
              </c:extLst>
            </c:dLbl>
            <c:dLbl>
              <c:idx val="2"/>
              <c:layout>
                <c:manualLayout>
                  <c:x val="2.1775544388609652E-2"/>
                  <c:y val="1.577908943471925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A46-4D0A-8241-3E1D30A09F22}"/>
                </c:ext>
              </c:extLst>
            </c:dLbl>
            <c:dLbl>
              <c:idx val="3"/>
              <c:layout>
                <c:manualLayout>
                  <c:x val="2.0100502512562814E-2"/>
                  <c:y val="0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A46-4D0A-8241-3E1D30A09F22}"/>
                </c:ext>
              </c:extLst>
            </c:dLbl>
            <c:dLbl>
              <c:idx val="4"/>
              <c:layout>
                <c:manualLayout>
                  <c:x val="1.3400335008375093E-2"/>
                  <c:y val="0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2A46-4D0A-8241-3E1D30A09F22}"/>
                </c:ext>
              </c:extLst>
            </c:dLbl>
            <c:dLbl>
              <c:idx val="5"/>
              <c:layout>
                <c:manualLayout>
                  <c:x val="1.8425460636515924E-2"/>
                  <c:y val="-5.2596964782397919E-3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A46-4D0A-8241-3E1D30A09F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'[фин счёт и МИП для публикации (rus).xlsx]прямые инвестиции (yearly)'!$AM$1:$AR$2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'[фин счёт и МИП для публикации (rus).xlsx]прямые инвестиции (yearly)'!$AM$3:$AR$3</c:f>
              <c:numCache>
                <c:formatCode>_-* #\ ##0_р_._-;\-* #\ ##0_р_._-;_-* "-"??_р_._-;_-@_-</c:formatCode>
                <c:ptCount val="6"/>
                <c:pt idx="0">
                  <c:v>808.67599657048675</c:v>
                </c:pt>
                <c:pt idx="1">
                  <c:v>1041.1992910939255</c:v>
                </c:pt>
                <c:pt idx="2">
                  <c:v>1662.5868070325946</c:v>
                </c:pt>
                <c:pt idx="3">
                  <c:v>1797.3414356538067</c:v>
                </c:pt>
                <c:pt idx="4">
                  <c:v>624.72503426043352</c:v>
                </c:pt>
                <c:pt idx="5">
                  <c:v>2286.3882396810814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A46-4D0A-8241-3E1D30A09F22}"/>
            </c:ext>
          </c:extLst>
        </c:ser>
        <c:marker val="1"/>
        <c:axId val="117610368"/>
        <c:axId val="117611904"/>
      </c:lineChart>
      <c:catAx>
        <c:axId val="117610368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11904"/>
        <c:crosses val="autoZero"/>
        <c:auto val="1"/>
        <c:lblAlgn val="ctr"/>
        <c:lblOffset val="100"/>
      </c:catAx>
      <c:valAx>
        <c:axId val="117611904"/>
        <c:scaling>
          <c:orientation val="minMax"/>
          <c:max val="3000"/>
          <c:min val="-1000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_р_._-;\-* #\ ##0_р_._-;_-* &quot;-&quot;??_р_._-;_-@_-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10368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4548304487455479E-2"/>
          <c:y val="0.87749869089639665"/>
          <c:w val="0.95090339102508892"/>
          <c:h val="0.1076066192157015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7311288539341138E-2"/>
          <c:y val="4.0467438650167033E-2"/>
          <c:w val="0.9009054999059497"/>
          <c:h val="0.73133921134109781"/>
        </c:manualLayout>
      </c:layout>
      <c:lineChart>
        <c:grouping val="standard"/>
        <c:ser>
          <c:idx val="0"/>
          <c:order val="0"/>
          <c:tx>
            <c:strRef>
              <c:f>'[фин счёт и МИП для публикации (rus).xlsx]прочие инвестиции (yearly)'!$A$4</c:f>
              <c:strCache>
                <c:ptCount val="1"/>
                <c:pt idx="0">
                  <c:v>Валюта и депозиты банковского сектора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12700">
                <a:solidFill>
                  <a:schemeClr val="bg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'[фин счёт и МИП для публикации (rus).xlsx]прочие инвестиции (yearly)'!$AN$2:$AS$3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'[фин счёт и МИП для публикации (rus).xlsx]прочие инвестиции (yearly)'!$AN$4:$AS$4</c:f>
              <c:numCache>
                <c:formatCode>_-* #\ ##0_р_._-;\-* #\ ##0_р_._-;_-* "-"??_р_._-;_-@_-</c:formatCode>
                <c:ptCount val="6"/>
                <c:pt idx="0">
                  <c:v>-251.78127932092679</c:v>
                </c:pt>
                <c:pt idx="1">
                  <c:v>-276.43034245593151</c:v>
                </c:pt>
                <c:pt idx="2">
                  <c:v>659.66574611599322</c:v>
                </c:pt>
                <c:pt idx="3">
                  <c:v>366.1894068535251</c:v>
                </c:pt>
                <c:pt idx="4">
                  <c:v>-753.30800748453157</c:v>
                </c:pt>
                <c:pt idx="5">
                  <c:v>-1059.3940232056518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53-4340-84E9-4D2939ACD545}"/>
            </c:ext>
          </c:extLst>
        </c:ser>
        <c:ser>
          <c:idx val="1"/>
          <c:order val="1"/>
          <c:tx>
            <c:strRef>
              <c:f>'[фин счёт и МИП для публикации (rus).xlsx]прочие инвестиции (yearly)'!$A$5</c:f>
              <c:strCache>
                <c:ptCount val="1"/>
                <c:pt idx="0">
                  <c:v>Валюта и депозиты других секторов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2"/>
              </a:solidFill>
              <a:ln w="12700">
                <a:solidFill>
                  <a:schemeClr val="bg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9.1348770548418279E-2"/>
                  <c:y val="1.770338394742492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953-4340-84E9-4D2939ACD5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'[фин счёт и МИП для публикации (rus).xlsx]прочие инвестиции (yearly)'!$AN$2:$AS$3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'[фин счёт и МИП для публикации (rus).xlsx]прочие инвестиции (yearly)'!$AN$5:$AS$5</c:f>
              <c:numCache>
                <c:formatCode>_-* #\ ##0_р_._-;\-* #\ ##0_р_._-;_-* "-"??_р_._-;_-@_-</c:formatCode>
                <c:ptCount val="6"/>
                <c:pt idx="0">
                  <c:v>2290.685967422844</c:v>
                </c:pt>
                <c:pt idx="1">
                  <c:v>1698.9721332892204</c:v>
                </c:pt>
                <c:pt idx="2">
                  <c:v>3091.6933248166329</c:v>
                </c:pt>
                <c:pt idx="3">
                  <c:v>2114.9647759158697</c:v>
                </c:pt>
                <c:pt idx="4">
                  <c:v>1602.8606679938139</c:v>
                </c:pt>
                <c:pt idx="5">
                  <c:v>1658.1485405042586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953-4340-84E9-4D2939ACD545}"/>
            </c:ext>
          </c:extLst>
        </c:ser>
        <c:marker val="1"/>
        <c:axId val="154493312"/>
        <c:axId val="154494848"/>
      </c:lineChart>
      <c:catAx>
        <c:axId val="154493312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494848"/>
        <c:crosses val="autoZero"/>
        <c:auto val="1"/>
        <c:lblAlgn val="ctr"/>
        <c:lblOffset val="100"/>
      </c:catAx>
      <c:valAx>
        <c:axId val="154494848"/>
        <c:scaling>
          <c:orientation val="minMax"/>
          <c:max val="5000"/>
          <c:min val="-20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_р_._-;\-* #\ ##0_р_._-;_-* &quot;-&quot;??_р_._-;_-@_-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493312"/>
        <c:crosses val="autoZero"/>
        <c:crossBetween val="between"/>
        <c:majorUnit val="1000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1"/>
          <c:order val="1"/>
          <c:tx>
            <c:strRef>
              <c:f>'[фин счёт и МИП для публикации (rus).xlsx]кредиты (yearly)'!$A$4</c:f>
              <c:strCache>
                <c:ptCount val="1"/>
                <c:pt idx="0">
                  <c:v>Сектор государственного управления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'[фин счёт и МИП для публикации (rus).xlsx]кредиты (yearly)'!$AK$1:$AP$2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'[фин счёт и МИП для публикации (rus).xlsx]кредиты (yearly)'!$AK$4:$AP$4</c:f>
              <c:numCache>
                <c:formatCode>#\ ##0_ ;\-#\ ##0\ </c:formatCode>
                <c:ptCount val="6"/>
                <c:pt idx="0">
                  <c:v>536.12515433951751</c:v>
                </c:pt>
                <c:pt idx="1">
                  <c:v>1077.3286095936114</c:v>
                </c:pt>
                <c:pt idx="2">
                  <c:v>851.6</c:v>
                </c:pt>
                <c:pt idx="3">
                  <c:v>845.60000000000014</c:v>
                </c:pt>
                <c:pt idx="4">
                  <c:v>2489.4295060453614</c:v>
                </c:pt>
                <c:pt idx="5">
                  <c:v>4704.1888775057923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57-4D43-944B-D3DFA6E1B990}"/>
            </c:ext>
          </c:extLst>
        </c:ser>
        <c:ser>
          <c:idx val="2"/>
          <c:order val="2"/>
          <c:tx>
            <c:strRef>
              <c:f>'[фин счёт и МИП для публикации (rus).xlsx]кредиты (yearly)'!$A$5</c:f>
              <c:strCache>
                <c:ptCount val="1"/>
                <c:pt idx="0">
                  <c:v>Банковский сектор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'[фин счёт и МИП для публикации (rus).xlsx]кредиты (yearly)'!$AK$1:$AP$2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'[фин счёт и МИП для публикации (rus).xlsx]кредиты (yearly)'!$AK$5:$AP$5</c:f>
              <c:numCache>
                <c:formatCode>#\ ##0_ ;\-#\ ##0\ </c:formatCode>
                <c:ptCount val="6"/>
                <c:pt idx="0">
                  <c:v>90.095373731591167</c:v>
                </c:pt>
                <c:pt idx="1">
                  <c:v>52.762270716086121</c:v>
                </c:pt>
                <c:pt idx="2">
                  <c:v>39.425903104351995</c:v>
                </c:pt>
                <c:pt idx="3">
                  <c:v>103.07937812973003</c:v>
                </c:pt>
                <c:pt idx="4">
                  <c:v>400.19159407129223</c:v>
                </c:pt>
                <c:pt idx="5">
                  <c:v>1565.5123133625314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57-4D43-944B-D3DFA6E1B990}"/>
            </c:ext>
          </c:extLst>
        </c:ser>
        <c:ser>
          <c:idx val="3"/>
          <c:order val="3"/>
          <c:tx>
            <c:strRef>
              <c:f>'[фин счёт и МИП для публикации (rus).xlsx]кредиты (yearly)'!$A$6</c:f>
              <c:strCache>
                <c:ptCount val="1"/>
                <c:pt idx="0">
                  <c:v>Другие сектора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'[фин счёт и МИП для публикации (rus).xlsx]кредиты (yearly)'!$AK$1:$AP$2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'[фин счёт и МИП для публикации (rus).xlsx]кредиты (yearly)'!$AK$6:$AP$6</c:f>
              <c:numCache>
                <c:formatCode>#\ ##0_ ;\-#\ ##0\ </c:formatCode>
                <c:ptCount val="6"/>
                <c:pt idx="0">
                  <c:v>1298.7283014206121</c:v>
                </c:pt>
                <c:pt idx="1">
                  <c:v>416.98937613722666</c:v>
                </c:pt>
                <c:pt idx="2">
                  <c:v>339.90655031695263</c:v>
                </c:pt>
                <c:pt idx="3">
                  <c:v>-17.844070492864091</c:v>
                </c:pt>
                <c:pt idx="4">
                  <c:v>-743.84630796509282</c:v>
                </c:pt>
                <c:pt idx="5">
                  <c:v>-660.08002901432542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857-4D43-944B-D3DFA6E1B990}"/>
            </c:ext>
          </c:extLst>
        </c:ser>
        <c:axId val="123823616"/>
        <c:axId val="123825152"/>
      </c:barChart>
      <c:lineChart>
        <c:grouping val="standard"/>
        <c:ser>
          <c:idx val="0"/>
          <c:order val="0"/>
          <c:tx>
            <c:strRef>
              <c:f>'[фин счёт и МИП для публикации (rus).xlsx]кредиты (yearly)'!$A$3</c:f>
              <c:strCache>
                <c:ptCount val="1"/>
                <c:pt idx="0">
                  <c:v>Кредиты и займы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lt2"/>
                </a:solidFill>
                <a:round/>
              </a:ln>
              <a:effectLst/>
            </c:spPr>
          </c:marker>
          <c:dLbls>
            <c:dLbl>
              <c:idx val="4"/>
              <c:layout>
                <c:manualLayout>
                  <c:x val="-4.2560131698983733E-2"/>
                  <c:y val="-7.414145253640726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857-4D43-944B-D3DFA6E1B9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'[фин счёт и МИП для публикации (rus).xlsx]кредиты (yearly)'!$AK$1:$AP$2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'[фин счёт и МИП для публикации (rus).xlsx]кредиты (yearly)'!$AK$3:$AP$3</c:f>
              <c:numCache>
                <c:formatCode>#\ ##0_ ;\-#\ ##0\ </c:formatCode>
                <c:ptCount val="6"/>
                <c:pt idx="0">
                  <c:v>1924.9488294917205</c:v>
                </c:pt>
                <c:pt idx="1">
                  <c:v>1547.0802564469241</c:v>
                </c:pt>
                <c:pt idx="2">
                  <c:v>1230.9324534213051</c:v>
                </c:pt>
                <c:pt idx="3">
                  <c:v>930.83530763686622</c:v>
                </c:pt>
                <c:pt idx="4">
                  <c:v>2145.7747921515602</c:v>
                </c:pt>
                <c:pt idx="5">
                  <c:v>5609.6211618540028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857-4D43-944B-D3DFA6E1B990}"/>
            </c:ext>
          </c:extLst>
        </c:ser>
        <c:marker val="1"/>
        <c:axId val="123823616"/>
        <c:axId val="123825152"/>
      </c:lineChart>
      <c:catAx>
        <c:axId val="123823616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825152"/>
        <c:crosses val="autoZero"/>
        <c:auto val="1"/>
        <c:lblAlgn val="ctr"/>
        <c:lblOffset val="100"/>
      </c:catAx>
      <c:valAx>
        <c:axId val="123825152"/>
        <c:scaling>
          <c:orientation val="minMax"/>
          <c:min val="-1000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_ ;\-#\ ##0\ 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823616"/>
        <c:crosses val="autoZero"/>
        <c:crossBetween val="between"/>
        <c:majorUnit val="1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1034090575388087E-2"/>
          <c:y val="0.85627910665611084"/>
          <c:w val="0.92196351174276747"/>
          <c:h val="0.1225157334216418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'[разбивка обязательств (rus, eng, uzb).xlsx]Разбивка обязательств (rus)'!$A$8</c:f>
              <c:strCache>
                <c:ptCount val="1"/>
                <c:pt idx="0">
                  <c:v>Прямые инвестиции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'[разбивка обязательств (rus, eng, uzb).xlsx]Разбивка обязательств (rus)'!$B$7:$G$7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'[разбивка обязательств (rus, eng, uzb).xlsx]Разбивка обязательств (rus)'!$B$8:$G$8</c:f>
              <c:numCache>
                <c:formatCode>0%</c:formatCode>
                <c:ptCount val="6"/>
                <c:pt idx="0">
                  <c:v>0.29069481368124922</c:v>
                </c:pt>
                <c:pt idx="1">
                  <c:v>0.39731394391891928</c:v>
                </c:pt>
                <c:pt idx="2">
                  <c:v>0.57367284656981821</c:v>
                </c:pt>
                <c:pt idx="3">
                  <c:v>0.52821519351641</c:v>
                </c:pt>
                <c:pt idx="4">
                  <c:v>0.21093486154896077</c:v>
                </c:pt>
                <c:pt idx="5">
                  <c:v>0.23819729426398298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65-4444-9FF6-9268D3C02CB8}"/>
            </c:ext>
          </c:extLst>
        </c:ser>
        <c:ser>
          <c:idx val="1"/>
          <c:order val="1"/>
          <c:tx>
            <c:strRef>
              <c:f>'[разбивка обязательств (rus, eng, uzb).xlsx]Разбивка обязательств (rus)'!$A$9</c:f>
              <c:strCache>
                <c:ptCount val="1"/>
                <c:pt idx="0">
                  <c:v>Приток ссудного капитала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'[разбивка обязательств (rus, eng, uzb).xlsx]Разбивка обязательств (rus)'!$B$7:$G$7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'[разбивка обязательств (rus, eng, uzb).xlsx]Разбивка обязательств (rus)'!$B$9:$G$9</c:f>
              <c:numCache>
                <c:formatCode>0%</c:formatCode>
                <c:ptCount val="6"/>
                <c:pt idx="0">
                  <c:v>0.69196148235897392</c:v>
                </c:pt>
                <c:pt idx="1">
                  <c:v>0.59035437644431754</c:v>
                </c:pt>
                <c:pt idx="2">
                  <c:v>0.42473122095183646</c:v>
                </c:pt>
                <c:pt idx="3">
                  <c:v>0.27356034997126666</c:v>
                </c:pt>
                <c:pt idx="4">
                  <c:v>0.72453457314417713</c:v>
                </c:pt>
                <c:pt idx="5">
                  <c:v>0.58442597580112143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65-4444-9FF6-9268D3C02CB8}"/>
            </c:ext>
          </c:extLst>
        </c:ser>
        <c:dLbls>
          <c:showVal val="1"/>
        </c:dLbls>
        <c:gapWidth val="100"/>
        <c:overlap val="-24"/>
        <c:axId val="154603520"/>
        <c:axId val="154605056"/>
      </c:barChart>
      <c:catAx>
        <c:axId val="1546035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605056"/>
        <c:crosses val="autoZero"/>
        <c:auto val="1"/>
        <c:lblAlgn val="ctr"/>
        <c:lblOffset val="100"/>
      </c:catAx>
      <c:valAx>
        <c:axId val="154605056"/>
        <c:scaling>
          <c:orientation val="minMax"/>
          <c:max val="1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603520"/>
        <c:crosses val="autoZero"/>
        <c:crossBetween val="between"/>
        <c:majorUnit val="0.2"/>
        <c:minorUnit val="0.1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729931815674537"/>
          <c:y val="4.0557149534390387E-2"/>
          <c:w val="0.87052549789002431"/>
          <c:h val="0.70036544062129225"/>
        </c:manualLayout>
      </c:layout>
      <c:barChart>
        <c:barDir val="col"/>
        <c:grouping val="clustered"/>
        <c:ser>
          <c:idx val="1"/>
          <c:order val="1"/>
          <c:tx>
            <c:strRef>
              <c:f>'[мип (rus).xlsx]чистый МИП 2014-2019'!$A$3</c:f>
              <c:strCache>
                <c:ptCount val="1"/>
                <c:pt idx="0">
                  <c:v>Сектор государственного управления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'[мип (rus).xlsx]чистый МИП 2014-2019'!$B$1:$G$1</c:f>
              <c:strCache>
                <c:ptCount val="6"/>
                <c:pt idx="0">
                  <c:v>на конец 
2014 года</c:v>
                </c:pt>
                <c:pt idx="1">
                  <c:v>на конец 
2015 года</c:v>
                </c:pt>
                <c:pt idx="2">
                  <c:v>на конец 
2016 года</c:v>
                </c:pt>
                <c:pt idx="3">
                  <c:v>на конец 
2017 года</c:v>
                </c:pt>
                <c:pt idx="4">
                  <c:v>на конец 
2018 года</c:v>
                </c:pt>
                <c:pt idx="5">
                  <c:v>на конец 
2019 года</c:v>
                </c:pt>
              </c:strCache>
            </c:strRef>
          </c:cat>
          <c:val>
            <c:numRef>
              <c:f>'[мип (rus).xlsx]чистый МИП 2014-2019'!$B$3:$G$3</c:f>
              <c:numCache>
                <c:formatCode>_-* #\ ##0\ _₽_-;\-* #\ ##0\ _₽_-;_-* "-"??\ _₽_-;_-@_-</c:formatCode>
                <c:ptCount val="6"/>
                <c:pt idx="0">
                  <c:v>19052.415734807037</c:v>
                </c:pt>
                <c:pt idx="1">
                  <c:v>18366.016745203651</c:v>
                </c:pt>
                <c:pt idx="2">
                  <c:v>19603.456426933808</c:v>
                </c:pt>
                <c:pt idx="3">
                  <c:v>20106.420223724203</c:v>
                </c:pt>
                <c:pt idx="4">
                  <c:v>16632.82887406732</c:v>
                </c:pt>
                <c:pt idx="5">
                  <c:v>13024.987751751829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98-471B-9A8F-D3D4D515702C}"/>
            </c:ext>
          </c:extLst>
        </c:ser>
        <c:ser>
          <c:idx val="2"/>
          <c:order val="2"/>
          <c:tx>
            <c:strRef>
              <c:f>'[мип (rus).xlsx]чистый МИП 2014-2019'!$A$4</c:f>
              <c:strCache>
                <c:ptCount val="1"/>
                <c:pt idx="0">
                  <c:v>Банковский сектор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'[мип (rus).xlsx]чистый МИП 2014-2019'!$B$1:$G$1</c:f>
              <c:strCache>
                <c:ptCount val="6"/>
                <c:pt idx="0">
                  <c:v>на конец 
2014 года</c:v>
                </c:pt>
                <c:pt idx="1">
                  <c:v>на конец 
2015 года</c:v>
                </c:pt>
                <c:pt idx="2">
                  <c:v>на конец 
2016 года</c:v>
                </c:pt>
                <c:pt idx="3">
                  <c:v>на конец 
2017 года</c:v>
                </c:pt>
                <c:pt idx="4">
                  <c:v>на конец 
2018 года</c:v>
                </c:pt>
                <c:pt idx="5">
                  <c:v>на конец 
2019 года</c:v>
                </c:pt>
              </c:strCache>
            </c:strRef>
          </c:cat>
          <c:val>
            <c:numRef>
              <c:f>'[мип (rus).xlsx]чистый МИП 2014-2019'!$B$4:$G$4</c:f>
              <c:numCache>
                <c:formatCode>_-* #\ ##0\ _₽_-;\-* #\ ##0\ _₽_-;_-* "-"??\ _₽_-;_-@_-</c:formatCode>
                <c:ptCount val="6"/>
                <c:pt idx="0">
                  <c:v>1670.2146058515009</c:v>
                </c:pt>
                <c:pt idx="1">
                  <c:v>1308.2978972728015</c:v>
                </c:pt>
                <c:pt idx="2">
                  <c:v>1845.7288457963514</c:v>
                </c:pt>
                <c:pt idx="3">
                  <c:v>2056.7738544721269</c:v>
                </c:pt>
                <c:pt idx="4">
                  <c:v>889.11389847305736</c:v>
                </c:pt>
                <c:pt idx="5">
                  <c:v>-1135.6443651447521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98-471B-9A8F-D3D4D515702C}"/>
            </c:ext>
          </c:extLst>
        </c:ser>
        <c:ser>
          <c:idx val="3"/>
          <c:order val="3"/>
          <c:tx>
            <c:strRef>
              <c:f>'[мип (rus).xlsx]чистый МИП 2014-2019'!$A$5</c:f>
              <c:strCache>
                <c:ptCount val="1"/>
                <c:pt idx="0">
                  <c:v>Другие сектора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'[мип (rus).xlsx]чистый МИП 2014-2019'!$B$1:$G$1</c:f>
              <c:strCache>
                <c:ptCount val="6"/>
                <c:pt idx="0">
                  <c:v>на конец 
2014 года</c:v>
                </c:pt>
                <c:pt idx="1">
                  <c:v>на конец 
2015 года</c:v>
                </c:pt>
                <c:pt idx="2">
                  <c:v>на конец 
2016 года</c:v>
                </c:pt>
                <c:pt idx="3">
                  <c:v>на конец 
2017 года</c:v>
                </c:pt>
                <c:pt idx="4">
                  <c:v>на конец 
2018 года</c:v>
                </c:pt>
                <c:pt idx="5">
                  <c:v>на конец 
2019 года</c:v>
                </c:pt>
              </c:strCache>
            </c:strRef>
          </c:cat>
          <c:val>
            <c:numRef>
              <c:f>'[мип (rus).xlsx]чистый МИП 2014-2019'!$B$5:$G$5</c:f>
              <c:numCache>
                <c:formatCode>_-* #\ ##0\ _₽_-;\-* #\ ##0\ _₽_-;_-* "-"??\ _₽_-;_-@_-</c:formatCode>
                <c:ptCount val="6"/>
                <c:pt idx="0">
                  <c:v>-5733.8425925902384</c:v>
                </c:pt>
                <c:pt idx="1">
                  <c:v>-6750.318902240756</c:v>
                </c:pt>
                <c:pt idx="2">
                  <c:v>-6168.8516452248587</c:v>
                </c:pt>
                <c:pt idx="3">
                  <c:v>-5660.8746900226015</c:v>
                </c:pt>
                <c:pt idx="4">
                  <c:v>-1722.3626482530522</c:v>
                </c:pt>
                <c:pt idx="5">
                  <c:v>433.53758009318881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898-471B-9A8F-D3D4D515702C}"/>
            </c:ext>
          </c:extLst>
        </c:ser>
        <c:gapWidth val="219"/>
        <c:overlap val="-27"/>
        <c:axId val="154659072"/>
        <c:axId val="154750976"/>
      </c:barChart>
      <c:lineChart>
        <c:grouping val="standard"/>
        <c:ser>
          <c:idx val="0"/>
          <c:order val="0"/>
          <c:tx>
            <c:strRef>
              <c:f>'[мип (rus).xlsx]чистый МИП 2014-2019'!$A$2</c:f>
              <c:strCache>
                <c:ptCount val="1"/>
                <c:pt idx="0">
                  <c:v>Чистая инвестиционная позиция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8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l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3.9517628540980169E-2"/>
                  <c:y val="-4.483482668114762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898-471B-9A8F-D3D4D515702C}"/>
                </c:ext>
              </c:extLst>
            </c:dLbl>
            <c:dLbl>
              <c:idx val="1"/>
              <c:layout>
                <c:manualLayout>
                  <c:x val="-3.7629997577292559E-2"/>
                  <c:y val="-5.058195311792926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898-471B-9A8F-D3D4D515702C}"/>
                </c:ext>
              </c:extLst>
            </c:dLbl>
            <c:dLbl>
              <c:idx val="2"/>
              <c:layout>
                <c:manualLayout>
                  <c:x val="-3.5742366613604928E-2"/>
                  <c:y val="-4.19612634627567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898-471B-9A8F-D3D4D515702C}"/>
                </c:ext>
              </c:extLst>
            </c:dLbl>
            <c:dLbl>
              <c:idx val="3"/>
              <c:layout>
                <c:manualLayout>
                  <c:x val="-3.9517628540980239E-2"/>
                  <c:y val="-4.19612634627567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898-471B-9A8F-D3D4D515702C}"/>
                </c:ext>
              </c:extLst>
            </c:dLbl>
            <c:dLbl>
              <c:idx val="5"/>
              <c:layout>
                <c:manualLayout>
                  <c:x val="-2.2912569987262345E-2"/>
                  <c:y val="-3.621413702597525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898-471B-9A8F-D3D4D51570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'[мип (rus).xlsx]чистый МИП 2014-2019'!$B$1:$G$1</c:f>
              <c:strCache>
                <c:ptCount val="6"/>
                <c:pt idx="0">
                  <c:v>на конец 
2014 года</c:v>
                </c:pt>
                <c:pt idx="1">
                  <c:v>на конец 
2015 года</c:v>
                </c:pt>
                <c:pt idx="2">
                  <c:v>на конец 
2016 года</c:v>
                </c:pt>
                <c:pt idx="3">
                  <c:v>на конец 
2017 года</c:v>
                </c:pt>
                <c:pt idx="4">
                  <c:v>на конец 
2018 года</c:v>
                </c:pt>
                <c:pt idx="5">
                  <c:v>на конец 
2019 года</c:v>
                </c:pt>
              </c:strCache>
            </c:strRef>
          </c:cat>
          <c:val>
            <c:numRef>
              <c:f>'[мип (rus).xlsx]чистый МИП 2014-2019'!$B$2:$G$2</c:f>
              <c:numCache>
                <c:formatCode>_-* #\ ##0\ _₽_-;\-* #\ ##0\ _₽_-;_-* "-"??\ _₽_-;_-@_-</c:formatCode>
                <c:ptCount val="6"/>
                <c:pt idx="0">
                  <c:v>14988.787748068306</c:v>
                </c:pt>
                <c:pt idx="1">
                  <c:v>12923.99574023569</c:v>
                </c:pt>
                <c:pt idx="2">
                  <c:v>15280.333627505304</c:v>
                </c:pt>
                <c:pt idx="3">
                  <c:v>16502.31938817371</c:v>
                </c:pt>
                <c:pt idx="4">
                  <c:v>15799.580124287309</c:v>
                </c:pt>
                <c:pt idx="5">
                  <c:v>12322.880966700261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898-471B-9A8F-D3D4D515702C}"/>
            </c:ext>
          </c:extLst>
        </c:ser>
        <c:marker val="1"/>
        <c:axId val="154659072"/>
        <c:axId val="154750976"/>
      </c:lineChart>
      <c:catAx>
        <c:axId val="154659072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750976"/>
        <c:crosses val="autoZero"/>
        <c:auto val="1"/>
        <c:lblAlgn val="ctr"/>
        <c:lblOffset val="100"/>
      </c:catAx>
      <c:valAx>
        <c:axId val="1547509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\ _₽_-;\-* #\ ##0\ _₽_-;_-* &quot;-&quot;??\ _₽_-;_-@_-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659072"/>
        <c:crosses val="autoZero"/>
        <c:crossBetween val="between"/>
        <c:majorUnit val="4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68121331567582E-2"/>
          <c:y val="0.88314417594352435"/>
          <c:w val="0.83497468047758572"/>
          <c:h val="9.961444474613093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1120359477124212"/>
          <c:y val="0.3414261437908509"/>
          <c:w val="0.59834444444444435"/>
          <c:h val="0.59834444444444435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75C-4E04-9ACD-D16AC8049673}"/>
              </c:ext>
            </c:extLst>
          </c:dPt>
          <c:dPt>
            <c:idx val="1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75C-4E04-9ACD-D16AC8049673}"/>
              </c:ext>
            </c:extLst>
          </c:dPt>
          <c:dPt>
            <c:idx val="3"/>
            <c:spPr>
              <a:solidFill>
                <a:schemeClr val="bg1">
                  <a:lumMod val="6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75C-4E04-9ACD-D16AC8049673}"/>
              </c:ext>
            </c:extLst>
          </c:dPt>
          <c:dPt>
            <c:idx val="4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75C-4E04-9ACD-D16AC8049673}"/>
              </c:ext>
            </c:extLst>
          </c:dPt>
          <c:dLbls>
            <c:dLbl>
              <c:idx val="1"/>
              <c:layout>
                <c:manualLayout>
                  <c:x val="9.9135860225729889E-3"/>
                  <c:y val="-4.7216156204990277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75C-4E04-9ACD-D16AC8049673}"/>
                </c:ext>
              </c:extLst>
            </c:dLbl>
            <c:dLbl>
              <c:idx val="2"/>
              <c:layout>
                <c:manualLayout>
                  <c:x val="4.4886993408294204E-2"/>
                  <c:y val="2.8260950375470561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E75C-4E04-9ACD-D16AC8049673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+mn-lt"/>
                  </a:defRPr>
                </a:pPr>
                <a:endParaRPr lang="ru-RU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'[мип (rus).xlsx]банковский сектор диаграмма'!$B$10:$B$14</c:f>
              <c:strCache>
                <c:ptCount val="5"/>
                <c:pt idx="0">
                  <c:v>Прямые инвестиции</c:v>
                </c:pt>
                <c:pt idx="1">
                  <c:v>Портфельные инвестиции</c:v>
                </c:pt>
                <c:pt idx="2">
                  <c:v>Финансовые деривативы</c:v>
                </c:pt>
                <c:pt idx="3">
                  <c:v>Валюта и депозиты</c:v>
                </c:pt>
                <c:pt idx="4">
                  <c:v>Ссуды и займы </c:v>
                </c:pt>
              </c:strCache>
            </c:strRef>
          </c:cat>
          <c:val>
            <c:numRef>
              <c:f>'[мип (rus).xlsx]банковский сектор диаграмма'!$C$10:$C$14</c:f>
              <c:numCache>
                <c:formatCode>0.00</c:formatCode>
                <c:ptCount val="5"/>
                <c:pt idx="0">
                  <c:v>180.73955172454086</c:v>
                </c:pt>
                <c:pt idx="1">
                  <c:v>16.14982161078688</c:v>
                </c:pt>
                <c:pt idx="2">
                  <c:v>3.6255529562081867</c:v>
                </c:pt>
                <c:pt idx="3">
                  <c:v>108.81266230021512</c:v>
                </c:pt>
                <c:pt idx="4">
                  <c:v>976.82492345554328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E75C-4E04-9ACD-D16AC8049673}"/>
            </c:ext>
          </c:extLst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>
              <a:solidFill>
                <a:schemeClr val="tx1"/>
              </a:solidFill>
              <a:latin typeface="+mn-lt"/>
            </a:defRPr>
          </a:pPr>
          <a:endParaRPr lang="ru-RU"/>
        </a:p>
      </c:txPr>
    </c:legend>
    <c:plotVisOnly val="1"/>
    <c:dispBlanksAs val="zero"/>
  </c:chart>
  <c:spPr>
    <a:solidFill>
      <a:sysClr val="window" lastClr="FFFFFF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1120359477124226"/>
          <c:y val="0.34142614379085123"/>
          <c:w val="0.59834444444444435"/>
          <c:h val="0.59834444444444435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349-47CD-AE46-D980A1BEA4C9}"/>
              </c:ext>
            </c:extLst>
          </c:dPt>
          <c:dPt>
            <c:idx val="1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349-47CD-AE46-D980A1BEA4C9}"/>
              </c:ext>
            </c:extLst>
          </c:dPt>
          <c:dPt>
            <c:idx val="3"/>
            <c:spPr>
              <a:solidFill>
                <a:schemeClr val="bg1">
                  <a:lumMod val="6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349-47CD-AE46-D980A1BEA4C9}"/>
              </c:ext>
            </c:extLst>
          </c:dPt>
          <c:dPt>
            <c:idx val="4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349-47CD-AE46-D980A1BEA4C9}"/>
              </c:ext>
            </c:extLst>
          </c:dPt>
          <c:dLbls>
            <c:dLbl>
              <c:idx val="1"/>
              <c:layout>
                <c:manualLayout>
                  <c:x val="-4.9494522737860022E-2"/>
                  <c:y val="-4.3089954653450342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349-47CD-AE46-D980A1BEA4C9}"/>
                </c:ext>
              </c:extLst>
            </c:dLbl>
            <c:dLbl>
              <c:idx val="2"/>
              <c:layout>
                <c:manualLayout>
                  <c:x val="5.4557266003651024E-2"/>
                  <c:y val="-8.5542430388002282E-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389588504826727"/>
                      <c:h val="4.666213793296137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9349-47CD-AE46-D980A1BEA4C9}"/>
                </c:ext>
              </c:extLst>
            </c:dLbl>
            <c:dLbl>
              <c:idx val="3"/>
              <c:layout>
                <c:manualLayout>
                  <c:x val="-0.12056266080985098"/>
                  <c:y val="4.3966388859696087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349-47CD-AE46-D980A1BEA4C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'[мип (rus).xlsx]банковский сектор диаграмма'!$B$15:$B$19</c:f>
              <c:strCache>
                <c:ptCount val="5"/>
                <c:pt idx="0">
                  <c:v>Прямые инвестиции</c:v>
                </c:pt>
                <c:pt idx="1">
                  <c:v>Портфельные инвестиции</c:v>
                </c:pt>
                <c:pt idx="2">
                  <c:v>Финансовые деривативы</c:v>
                </c:pt>
                <c:pt idx="3">
                  <c:v>Валюта и депозиты</c:v>
                </c:pt>
                <c:pt idx="4">
                  <c:v>Ссуды и займы </c:v>
                </c:pt>
              </c:strCache>
            </c:strRef>
          </c:cat>
          <c:val>
            <c:numRef>
              <c:f>'[мип (rus).xlsx]банковский сектор диаграмма'!$C$15:$C$19</c:f>
              <c:numCache>
                <c:formatCode>0.00</c:formatCode>
                <c:ptCount val="5"/>
                <c:pt idx="0">
                  <c:v>215.52455804681532</c:v>
                </c:pt>
                <c:pt idx="1">
                  <c:v>323.03642551523507</c:v>
                </c:pt>
                <c:pt idx="2">
                  <c:v>3.7920814511989342</c:v>
                </c:pt>
                <c:pt idx="3">
                  <c:v>167.87059200658038</c:v>
                </c:pt>
                <c:pt idx="4">
                  <c:v>2542.3735523201931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9349-47CD-AE46-D980A1BEA4C9}"/>
            </c:ext>
          </c:extLst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spPr>
    <a:solidFill>
      <a:sysClr val="window" lastClr="FFFFFF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020507742819802E-2"/>
          <c:y val="5.0244094488188978E-2"/>
          <c:w val="0.94907971636028821"/>
          <c:h val="0.76275609298837721"/>
        </c:manualLayout>
      </c:layout>
      <c:barChart>
        <c:barDir val="col"/>
        <c:grouping val="stacked"/>
        <c:ser>
          <c:idx val="0"/>
          <c:order val="0"/>
          <c:tx>
            <c:strRef>
              <c:f>'[Диаграммы RU, EN, UZ.xlsx]совокупный (ru)'!$A$2</c:f>
              <c:strCache>
                <c:ptCount val="1"/>
                <c:pt idx="0">
                  <c:v>Долг частного сектора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'[Диаграммы RU, EN, UZ.xlsx]совокупный (ru)'!$B$1:$I$1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'[Диаграммы RU, EN, UZ.xlsx]совокупный (ru)'!$B$2:$I$2</c:f>
              <c:numCache>
                <c:formatCode>_-* #\ ##0.0_р_._-;\-* #\ ##0.0_р_._-;_-* "-"??_р_._-;_-@_-</c:formatCode>
                <c:ptCount val="8"/>
                <c:pt idx="0">
                  <c:v>4.1247999999999987</c:v>
                </c:pt>
                <c:pt idx="1">
                  <c:v>5.4809999999999999</c:v>
                </c:pt>
                <c:pt idx="2">
                  <c:v>6.8640914026765385</c:v>
                </c:pt>
                <c:pt idx="3">
                  <c:v>7.3145301686088482</c:v>
                </c:pt>
                <c:pt idx="4">
                  <c:v>8.1487004940039114</c:v>
                </c:pt>
                <c:pt idx="5">
                  <c:v>8.1858862090016977</c:v>
                </c:pt>
                <c:pt idx="6">
                  <c:v>7.2080000000000002</c:v>
                </c:pt>
                <c:pt idx="7">
                  <c:v>8.5824409249506335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49-40AB-91D7-75016D1E73F8}"/>
            </c:ext>
          </c:extLst>
        </c:ser>
        <c:ser>
          <c:idx val="1"/>
          <c:order val="1"/>
          <c:tx>
            <c:strRef>
              <c:f>'[Диаграммы RU, EN, UZ.xlsx]совокупный (ru)'!$A$3</c:f>
              <c:strCache>
                <c:ptCount val="1"/>
                <c:pt idx="0">
                  <c:v>Государственный долг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sz="1100">
                    <a:latin typeface="+mn-lt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'[Диаграммы RU, EN, UZ.xlsx]совокупный (ru)'!$B$1:$I$1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'[Диаграммы RU, EN, UZ.xlsx]совокупный (ru)'!$B$3:$I$3</c:f>
              <c:numCache>
                <c:formatCode>_-* #\ ##0.0_р_._-;\-* #\ ##0.0_р_._-;_-* "-"??_р_._-;_-@_-</c:formatCode>
                <c:ptCount val="8"/>
                <c:pt idx="0">
                  <c:v>3.8899999999999997</c:v>
                </c:pt>
                <c:pt idx="1">
                  <c:v>4.4300000000000015</c:v>
                </c:pt>
                <c:pt idx="2">
                  <c:v>4.6899999999999995</c:v>
                </c:pt>
                <c:pt idx="3">
                  <c:v>5.58</c:v>
                </c:pt>
                <c:pt idx="4">
                  <c:v>6.4748999999999999</c:v>
                </c:pt>
                <c:pt idx="5">
                  <c:v>7.6</c:v>
                </c:pt>
                <c:pt idx="6">
                  <c:v>10.08</c:v>
                </c:pt>
                <c:pt idx="7">
                  <c:v>15.786033738606402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49-40AB-91D7-75016D1E73F8}"/>
            </c:ext>
          </c:extLst>
        </c:ser>
        <c:gapWidth val="75"/>
        <c:overlap val="100"/>
        <c:axId val="154994560"/>
        <c:axId val="154996096"/>
      </c:barChart>
      <c:lineChart>
        <c:grouping val="standard"/>
        <c:ser>
          <c:idx val="2"/>
          <c:order val="2"/>
          <c:tx>
            <c:strRef>
              <c:f>'[Диаграммы RU, EN, UZ.xlsx]совокупный (ru)'!$A$4</c:f>
              <c:strCache>
                <c:ptCount val="1"/>
                <c:pt idx="0">
                  <c:v>Совокупный внешний долг</c:v>
                </c:pt>
              </c:strCache>
            </c:strRef>
          </c:tx>
          <c:spPr>
            <a:ln>
              <a:solidFill>
                <a:srgbClr val="5B9BD5"/>
              </a:solidFill>
            </a:ln>
          </c:spPr>
          <c:marker>
            <c:symbol val="circle"/>
            <c:size val="8"/>
            <c:spPr>
              <a:solidFill>
                <a:srgbClr val="5B9BD5"/>
              </a:solidFill>
              <a:ln w="12700">
                <a:solidFill>
                  <a:srgbClr val="E7E6E6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'[Диаграммы RU, EN, UZ.xlsx]совокупный (ru)'!$B$1:$I$1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'[Диаграммы RU, EN, UZ.xlsx]совокупный (ru)'!$B$4:$I$4</c:f>
              <c:numCache>
                <c:formatCode>_-* #\ ##0.0_р_._-;\-* #\ ##0.0_р_._-;_-* "-"??_р_._-;_-@_-</c:formatCode>
                <c:ptCount val="8"/>
                <c:pt idx="0">
                  <c:v>8.014800000000001</c:v>
                </c:pt>
                <c:pt idx="1">
                  <c:v>9.9110000000000014</c:v>
                </c:pt>
                <c:pt idx="2">
                  <c:v>11.554091402676535</c:v>
                </c:pt>
                <c:pt idx="3">
                  <c:v>12.894530168608854</c:v>
                </c:pt>
                <c:pt idx="4">
                  <c:v>14.623600494003915</c:v>
                </c:pt>
                <c:pt idx="5">
                  <c:v>15.785886209001697</c:v>
                </c:pt>
                <c:pt idx="6">
                  <c:v>17.287999999999993</c:v>
                </c:pt>
                <c:pt idx="7">
                  <c:v>24.368474663557027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C49-40AB-91D7-75016D1E73F8}"/>
            </c:ext>
          </c:extLst>
        </c:ser>
        <c:marker val="1"/>
        <c:axId val="154994560"/>
        <c:axId val="154996096"/>
      </c:lineChart>
      <c:dateAx>
        <c:axId val="15499456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54996096"/>
        <c:crosses val="autoZero"/>
        <c:lblOffset val="100"/>
        <c:baseTimeUnit val="days"/>
      </c:dateAx>
      <c:valAx>
        <c:axId val="154996096"/>
        <c:scaling>
          <c:orientation val="minMax"/>
          <c:max val="25"/>
          <c:min val="0"/>
        </c:scaling>
        <c:axPos val="l"/>
        <c:numFmt formatCode="0" sourceLinked="0"/>
        <c:tickLblPos val="nextTo"/>
        <c:spPr>
          <a:ln w="6350">
            <a:solidFill>
              <a:schemeClr val="accent1"/>
            </a:solidFill>
          </a:ln>
        </c:spPr>
        <c:txPr>
          <a:bodyPr/>
          <a:lstStyle/>
          <a:p>
            <a:pPr>
              <a:defRPr sz="1100"/>
            </a:pPr>
            <a:endParaRPr lang="ru-RU"/>
          </a:p>
        </c:txPr>
        <c:crossAx val="154994560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"/>
          <c:y val="0.8896430446194229"/>
          <c:w val="0.96746807188991379"/>
          <c:h val="0.11035704433375385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spPr>
    <a:ln>
      <a:solidFill>
        <a:srgbClr val="E7E6E6"/>
      </a:solidFill>
    </a:ln>
  </c:spPr>
  <c:txPr>
    <a:bodyPr/>
    <a:lstStyle/>
    <a:p>
      <a:pPr>
        <a:defRPr sz="1400">
          <a:solidFill>
            <a:sysClr val="windowText" lastClr="000000"/>
          </a:solidFill>
          <a:latin typeface="+mn-lt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6203842863670568E-2"/>
          <c:y val="4.0415883642655109E-2"/>
          <c:w val="0.91226217512211538"/>
          <c:h val="0.70083015905156987"/>
        </c:manualLayout>
      </c:layout>
      <c:barChart>
        <c:barDir val="col"/>
        <c:grouping val="stacked"/>
        <c:ser>
          <c:idx val="0"/>
          <c:order val="0"/>
          <c:tx>
            <c:strRef>
              <c:f>'[Диаграммалар 2016-2019.xlsx]Салдо Тек. сч 1д (UZ)'!$C$31</c:f>
              <c:strCache>
                <c:ptCount val="1"/>
                <c:pt idx="0">
                  <c:v>Товары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numRef>
              <c:f>'[Диаграммалар 2016-2019.xlsx]Салдо Тек. сч 1д (UZ)'!$A$33:$A$38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'[Диаграммалар 2016-2019.xlsx]Салдо Тек. сч 1д (UZ)'!$C$33:$C$38</c:f>
              <c:numCache>
                <c:formatCode>_-* #\ ##0.0_р_._-;\-* #\ ##0.0_р_._-;_-* "-"??_р_._-;_-@_-</c:formatCode>
                <c:ptCount val="6"/>
                <c:pt idx="0">
                  <c:v>-2957.8694520711556</c:v>
                </c:pt>
                <c:pt idx="1">
                  <c:v>-2094.5007118403782</c:v>
                </c:pt>
                <c:pt idx="2">
                  <c:v>-2392.1049509708264</c:v>
                </c:pt>
                <c:pt idx="3">
                  <c:v>-2215.7868142673337</c:v>
                </c:pt>
                <c:pt idx="4">
                  <c:v>-6866.8552607349839</c:v>
                </c:pt>
                <c:pt idx="5">
                  <c:v>-7308.0067324236952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DB-4CB9-BD64-823EF4EC05B5}"/>
            </c:ext>
          </c:extLst>
        </c:ser>
        <c:ser>
          <c:idx val="1"/>
          <c:order val="1"/>
          <c:tx>
            <c:strRef>
              <c:f>'[Диаграммалар 2016-2019.xlsx]Салдо Тек. сч 1д (UZ)'!$D$31</c:f>
              <c:strCache>
                <c:ptCount val="1"/>
                <c:pt idx="0">
                  <c:v>Первичные доходы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numRef>
              <c:f>'[Диаграммалар 2016-2019.xlsx]Салдо Тек. сч 1д (UZ)'!$A$33:$A$38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'[Диаграммалар 2016-2019.xlsx]Салдо Тек. сч 1д (UZ)'!$D$33:$D$38</c:f>
              <c:numCache>
                <c:formatCode>_-* #\ ##0.0_р_._-;\-* #\ ##0.0_р_._-;_-* "-"??_р_._-;_-@_-</c:formatCode>
                <c:ptCount val="6"/>
                <c:pt idx="0">
                  <c:v>1113.8513841635452</c:v>
                </c:pt>
                <c:pt idx="1">
                  <c:v>1423.5284295269648</c:v>
                </c:pt>
                <c:pt idx="2">
                  <c:v>931.53955084469476</c:v>
                </c:pt>
                <c:pt idx="3">
                  <c:v>1210.8806531560751</c:v>
                </c:pt>
                <c:pt idx="4">
                  <c:v>1507.2108815777299</c:v>
                </c:pt>
                <c:pt idx="5">
                  <c:v>873.40408993822712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EDB-4CB9-BD64-823EF4EC05B5}"/>
            </c:ext>
          </c:extLst>
        </c:ser>
        <c:ser>
          <c:idx val="3"/>
          <c:order val="3"/>
          <c:tx>
            <c:strRef>
              <c:f>'[Диаграммалар 2016-2019.xlsx]Салдо Тек. сч 1д (UZ)'!$F$31</c:f>
              <c:strCache>
                <c:ptCount val="1"/>
                <c:pt idx="0">
                  <c:v>Услуги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numRef>
              <c:f>'[Диаграммалар 2016-2019.xlsx]Салдо Тек. сч 1д (UZ)'!$A$33:$A$38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'[Диаграммалар 2016-2019.xlsx]Салдо Тек. сч 1д (UZ)'!$F$33:$F$38</c:f>
              <c:numCache>
                <c:formatCode>_-* #\ ##0.0_р_._-;\-* #\ ##0.0_р_._-;_-* "-"??_р_._-;_-@_-</c:formatCode>
                <c:ptCount val="6"/>
                <c:pt idx="0">
                  <c:v>-527.75234144869603</c:v>
                </c:pt>
                <c:pt idx="1">
                  <c:v>-735.83316346332731</c:v>
                </c:pt>
                <c:pt idx="2">
                  <c:v>-1538.988337892245</c:v>
                </c:pt>
                <c:pt idx="3">
                  <c:v>-1842.1401652254231</c:v>
                </c:pt>
                <c:pt idx="4">
                  <c:v>-2441.5546919939143</c:v>
                </c:pt>
                <c:pt idx="5">
                  <c:v>-2265.7508444093473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EDB-4CB9-BD64-823EF4EC05B5}"/>
            </c:ext>
          </c:extLst>
        </c:ser>
        <c:ser>
          <c:idx val="4"/>
          <c:order val="4"/>
          <c:tx>
            <c:strRef>
              <c:f>'[Диаграммалар 2016-2019.xlsx]Салдо Тек. сч 1д (UZ)'!$G$31</c:f>
              <c:strCache>
                <c:ptCount val="1"/>
                <c:pt idx="0">
                  <c:v>Вторичные доходы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numRef>
              <c:f>'[Диаграммалар 2016-2019.xlsx]Салдо Тек. сч 1д (UZ)'!$A$33:$A$38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'[Диаграммалар 2016-2019.xlsx]Салдо Тек. сч 1д (UZ)'!$G$33:$G$38</c:f>
              <c:numCache>
                <c:formatCode>_-* #\ ##0.0_р_._-;\-* #\ ##0.0_р_._-;_-* "-"??_р_._-;_-@_-</c:formatCode>
                <c:ptCount val="6"/>
                <c:pt idx="0">
                  <c:v>4890.2416776502787</c:v>
                </c:pt>
                <c:pt idx="1">
                  <c:v>2477.8227054022018</c:v>
                </c:pt>
                <c:pt idx="2">
                  <c:v>3291.8431963198091</c:v>
                </c:pt>
                <c:pt idx="3">
                  <c:v>4322.936802979606</c:v>
                </c:pt>
                <c:pt idx="4">
                  <c:v>4207.6909595422185</c:v>
                </c:pt>
                <c:pt idx="5">
                  <c:v>5454.549802253593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EDB-4CB9-BD64-823EF4EC05B5}"/>
            </c:ext>
          </c:extLst>
        </c:ser>
        <c:gapWidth val="233"/>
        <c:overlap val="100"/>
        <c:axId val="94282112"/>
        <c:axId val="94283648"/>
      </c:barChart>
      <c:scatterChart>
        <c:scatterStyle val="smoothMarker"/>
        <c:ser>
          <c:idx val="2"/>
          <c:order val="2"/>
          <c:tx>
            <c:strRef>
              <c:f>'[Диаграммалар 2016-2019.xlsx]Салдо Тек. сч 1д (UZ)'!$E$31</c:f>
              <c:strCache>
                <c:ptCount val="1"/>
                <c:pt idx="0">
                  <c:v>Счет текущих операций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6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l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1.0375973029208041E-2"/>
                  <c:y val="-1.415778337437883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EDB-4CB9-BD64-823EF4EC05B5}"/>
                </c:ext>
              </c:extLst>
            </c:dLbl>
            <c:dLbl>
              <c:idx val="1"/>
              <c:layout>
                <c:manualLayout>
                  <c:x val="8.3308619597477745E-3"/>
                  <c:y val="-1.415778337437879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EDB-4CB9-BD64-823EF4EC05B5}"/>
                </c:ext>
              </c:extLst>
            </c:dLbl>
            <c:dLbl>
              <c:idx val="2"/>
              <c:layout>
                <c:manualLayout>
                  <c:x val="6.9139752672042754E-3"/>
                  <c:y val="1.41578359023209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EDB-4CB9-BD64-823EF4EC05B5}"/>
                </c:ext>
              </c:extLst>
            </c:dLbl>
            <c:dLbl>
              <c:idx val="3"/>
              <c:layout>
                <c:manualLayout>
                  <c:x val="8.3308619597477745E-3"/>
                  <c:y val="-3.8015768376073334E-3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EDB-4CB9-BD64-823EF4EC05B5}"/>
                </c:ext>
              </c:extLst>
            </c:dLbl>
            <c:dLbl>
              <c:idx val="4"/>
              <c:layout>
                <c:manualLayout>
                  <c:x val="6.3221295094658073E-3"/>
                  <c:y val="-2.831556674875766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AEDB-4CB9-BD64-823EF4EC05B5}"/>
                </c:ext>
              </c:extLst>
            </c:dLbl>
            <c:dLbl>
              <c:idx val="5"/>
              <c:layout>
                <c:manualLayout>
                  <c:x val="6.4081728522181894E-3"/>
                  <c:y val="-2.1151126034234151E-3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AEDB-4CB9-BD64-823EF4EC05B5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xVal>
            <c:strRef>
              <c:f>'[Диаграммалар 2016-2019.xlsx]Салдо Тек. сч 1д (UZ)'!$A$33:$B$38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xVal>
          <c:yVal>
            <c:numRef>
              <c:f>'[Диаграммалар 2016-2019.xlsx]Салдо Тек. сч 1д (UZ)'!$E$33:$E$38</c:f>
              <c:numCache>
                <c:formatCode>_-* #\ ##0.0_р_._-;\-* #\ ##0.0_р_._-;_-* "-"??_р_._-;_-@_-</c:formatCode>
                <c:ptCount val="6"/>
                <c:pt idx="0">
                  <c:v>2518.4712682939726</c:v>
                </c:pt>
                <c:pt idx="1">
                  <c:v>1071.0172596254629</c:v>
                </c:pt>
                <c:pt idx="2">
                  <c:v>292.2894583014313</c:v>
                </c:pt>
                <c:pt idx="3">
                  <c:v>1475.8904766429209</c:v>
                </c:pt>
                <c:pt idx="4">
                  <c:v>-3593.5081116089505</c:v>
                </c:pt>
                <c:pt idx="5">
                  <c:v>-3245.8036846412206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A-AEDB-4CB9-BD64-823EF4EC05B5}"/>
            </c:ext>
          </c:extLst>
        </c:ser>
        <c:axId val="94282112"/>
        <c:axId val="94283648"/>
      </c:scatterChart>
      <c:catAx>
        <c:axId val="94282112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283648"/>
        <c:crosses val="autoZero"/>
        <c:auto val="1"/>
        <c:lblAlgn val="ctr"/>
        <c:lblOffset val="100"/>
      </c:catAx>
      <c:valAx>
        <c:axId val="94283648"/>
        <c:scaling>
          <c:orientation val="minMax"/>
          <c:max val="7000"/>
          <c:min val="-10000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282112"/>
        <c:crosses val="autoZero"/>
        <c:crossBetween val="between"/>
        <c:majorUnit val="1000"/>
        <c:minorUnit val="5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795409809099251"/>
          <c:y val="0.82922323805778164"/>
          <c:w val="0.65240166107938546"/>
          <c:h val="0.1477737510809758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2786529671380726E-2"/>
          <c:y val="5.6718120630960732E-2"/>
          <c:w val="0.88943568033138387"/>
          <c:h val="0.79098948570171357"/>
        </c:manualLayout>
      </c:layout>
      <c:bar3DChart>
        <c:barDir val="col"/>
        <c:grouping val="stacked"/>
        <c:ser>
          <c:idx val="0"/>
          <c:order val="0"/>
          <c:tx>
            <c:strRef>
              <c:f>'[Диаграммалар 2016-2019.xlsx]Экс. по компонент. 2д'!$B$36</c:f>
              <c:strCache>
                <c:ptCount val="1"/>
                <c:pt idx="0">
                  <c:v>Экспорт FOB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cat>
            <c:numRef>
              <c:f>'[Диаграммалар 2016-2019.xlsx]Экс. по компонент. 2д'!$A$38:$A$43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'[Диаграммалар 2016-2019.xlsx]Экс. по компонент. 2д'!$B$38:$B$43</c:f>
              <c:numCache>
                <c:formatCode>_-* #\ ##0_р_._-;\-* #\ ##0_р_._-;_-* "-"??_р_._-;_-@_-</c:formatCode>
                <c:ptCount val="6"/>
                <c:pt idx="0">
                  <c:v>8992.2314999999999</c:v>
                </c:pt>
                <c:pt idx="1">
                  <c:v>7300.4620000000004</c:v>
                </c:pt>
                <c:pt idx="2">
                  <c:v>5636.7940400000098</c:v>
                </c:pt>
                <c:pt idx="3">
                  <c:v>6663.5407082800466</c:v>
                </c:pt>
                <c:pt idx="4">
                  <c:v>8185.8989757185609</c:v>
                </c:pt>
                <c:pt idx="5">
                  <c:v>8746.2924764092331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24-4368-A13A-8BEEEF4538D3}"/>
            </c:ext>
          </c:extLst>
        </c:ser>
        <c:ser>
          <c:idx val="1"/>
          <c:order val="1"/>
          <c:tx>
            <c:strRef>
              <c:f>'[Диаграммалар 2016-2019.xlsx]Экс. по компонент. 2д'!$C$36</c:f>
              <c:strCache>
                <c:ptCount val="1"/>
                <c:pt idx="0">
                  <c:v>Челночная торговля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cat>
            <c:numRef>
              <c:f>'[Диаграммалар 2016-2019.xlsx]Экс. по компонент. 2д'!$A$38:$A$43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'[Диаграммалар 2016-2019.xlsx]Экс. по компонент. 2д'!$C$38:$C$43</c:f>
              <c:numCache>
                <c:formatCode>_-* #\ ##0_р_._-;\-* #\ ##0_р_._-;_-* "-"??_р_._-;_-@_-</c:formatCode>
                <c:ptCount val="6"/>
                <c:pt idx="0">
                  <c:v>238.26916064411665</c:v>
                </c:pt>
                <c:pt idx="1">
                  <c:v>190.80306802503094</c:v>
                </c:pt>
                <c:pt idx="2">
                  <c:v>147.37880788848932</c:v>
                </c:pt>
                <c:pt idx="3">
                  <c:v>175.01769203061215</c:v>
                </c:pt>
                <c:pt idx="4">
                  <c:v>213.21013375227002</c:v>
                </c:pt>
                <c:pt idx="5">
                  <c:v>157.50576735549521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424-4368-A13A-8BEEEF4538D3}"/>
            </c:ext>
          </c:extLst>
        </c:ser>
        <c:ser>
          <c:idx val="2"/>
          <c:order val="2"/>
          <c:tx>
            <c:strRef>
              <c:f>'[Диаграммалар 2016-2019.xlsx]Экс. по компонент. 2д'!$D$36</c:f>
              <c:strCache>
                <c:ptCount val="1"/>
                <c:pt idx="0">
                  <c:v>Товары в портах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p3d/>
          </c:spPr>
          <c:cat>
            <c:numRef>
              <c:f>'[Диаграммалар 2016-2019.xlsx]Экс. по компонент. 2д'!$A$38:$A$43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'[Диаграммалар 2016-2019.xlsx]Экс. по компонент. 2д'!$D$38:$D$43</c:f>
              <c:numCache>
                <c:formatCode>_-* #\ ##0_р_._-;\-* #\ ##0_р_._-;_-* "-"??_р_._-;_-@_-</c:formatCode>
                <c:ptCount val="6"/>
                <c:pt idx="0">
                  <c:v>85.544213278277454</c:v>
                </c:pt>
                <c:pt idx="1">
                  <c:v>69.558010989264375</c:v>
                </c:pt>
                <c:pt idx="2">
                  <c:v>53.405549492110552</c:v>
                </c:pt>
                <c:pt idx="3">
                  <c:v>63.044496937021719</c:v>
                </c:pt>
                <c:pt idx="4">
                  <c:v>76.999429783216542</c:v>
                </c:pt>
                <c:pt idx="5">
                  <c:v>76.570935038193937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424-4368-A13A-8BEEEF4538D3}"/>
            </c:ext>
          </c:extLst>
        </c:ser>
        <c:ser>
          <c:idx val="3"/>
          <c:order val="3"/>
          <c:tx>
            <c:strRef>
              <c:f>'[Диаграммалар 2016-2019.xlsx]Экс. по компонент. 2д'!$E$36</c:f>
              <c:strCache>
                <c:ptCount val="1"/>
                <c:pt idx="0">
                  <c:v>Немонетарное золото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4477192385319981E-2"/>
                  <c:y val="-7.93809302329713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10 556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424-4368-A13A-8BEEEF4538D3}"/>
                </c:ext>
              </c:extLst>
            </c:dLbl>
            <c:dLbl>
              <c:idx val="1"/>
              <c:layout>
                <c:manualLayout>
                  <c:x val="1.4457598855887125E-2"/>
                  <c:y val="-9.55963398903341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9 481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424-4368-A13A-8BEEEF4538D3}"/>
                </c:ext>
              </c:extLst>
            </c:dLbl>
            <c:dLbl>
              <c:idx val="2"/>
              <c:layout>
                <c:manualLayout>
                  <c:x val="1.4491187763486237E-2"/>
                  <c:y val="-0.1115251651043176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8 645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424-4368-A13A-8BEEEF4538D3}"/>
                </c:ext>
              </c:extLst>
            </c:dLbl>
            <c:dLbl>
              <c:idx val="3"/>
              <c:layout>
                <c:manualLayout>
                  <c:x val="1.6827669497091947E-2"/>
                  <c:y val="-0.1270475022596650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10 162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424-4368-A13A-8BEEEF4538D3}"/>
                </c:ext>
              </c:extLst>
            </c:dLbl>
            <c:dLbl>
              <c:idx val="4"/>
              <c:layout>
                <c:manualLayout>
                  <c:x val="1.3685240586148744E-2"/>
                  <c:y val="-0.1202736881434272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11 386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424-4368-A13A-8BEEEF4538D3}"/>
                </c:ext>
              </c:extLst>
            </c:dLbl>
            <c:dLbl>
              <c:idx val="5"/>
              <c:layout>
                <c:manualLayout>
                  <c:x val="1.3685240586148827E-2"/>
                  <c:y val="-0.1639310385459037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13 899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424-4368-A13A-8BEEEF4538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'[Диаграммалар 2016-2019.xlsx]Экс. по компонент. 2д'!$A$38:$A$43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'[Диаграммалар 2016-2019.xlsx]Экс. по компонент. 2д'!$E$38:$E$43</c:f>
              <c:numCache>
                <c:formatCode>_-* #\ ##0_р_._-;\-* #\ ##0_р_._-;_-* "-"??_р_._-;_-@_-</c:formatCode>
                <c:ptCount val="6"/>
                <c:pt idx="0">
                  <c:v>1240.1799999999998</c:v>
                </c:pt>
                <c:pt idx="1">
                  <c:v>1920.6399999999999</c:v>
                </c:pt>
                <c:pt idx="2">
                  <c:v>2807.59</c:v>
                </c:pt>
                <c:pt idx="3">
                  <c:v>3259.9300000000007</c:v>
                </c:pt>
                <c:pt idx="4">
                  <c:v>2909.4815189900009</c:v>
                </c:pt>
                <c:pt idx="5">
                  <c:v>4918.25748148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8424-4368-A13A-8BEEEF4538D3}"/>
            </c:ext>
          </c:extLst>
        </c:ser>
        <c:shape val="box"/>
        <c:axId val="117028352"/>
        <c:axId val="117029888"/>
        <c:axId val="0"/>
      </c:bar3DChart>
      <c:catAx>
        <c:axId val="1170283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029888"/>
        <c:crossesAt val="0"/>
        <c:auto val="1"/>
        <c:lblAlgn val="ctr"/>
        <c:lblOffset val="1"/>
      </c:catAx>
      <c:valAx>
        <c:axId val="117029888"/>
        <c:scaling>
          <c:orientation val="minMax"/>
          <c:max val="15000.1"/>
          <c:min val="0.1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028352"/>
        <c:crosses val="autoZero"/>
        <c:crossBetween val="between"/>
        <c:majorUnit val="1000"/>
        <c:minorUnit val="1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6846699147943787E-2"/>
          <c:y val="0.91202723421948528"/>
          <c:w val="0.89999998129858561"/>
          <c:h val="6.799067890019078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'[Диаграммалар 2016-2019.xlsx]Имп. по компонент. 3д'!$B$30</c:f>
              <c:strCache>
                <c:ptCount val="1"/>
                <c:pt idx="0">
                  <c:v>Импорт CIF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5615704286964118E-2"/>
                  <c:y val="-0.2748349509623091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13 514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7D4-47DB-931E-808E84CBF6E8}"/>
                </c:ext>
              </c:extLst>
            </c:dLbl>
            <c:dLbl>
              <c:idx val="1"/>
              <c:layout>
                <c:manualLayout>
                  <c:x val="1.3384889388826404E-2"/>
                  <c:y val="-0.2368453054838259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11 576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7D4-47DB-931E-808E84CBF6E8}"/>
                </c:ext>
              </c:extLst>
            </c:dLbl>
            <c:dLbl>
              <c:idx val="2"/>
              <c:layout>
                <c:manualLayout>
                  <c:x val="1.5615750653876622E-2"/>
                  <c:y val="-0.2222007878035793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11 037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7D4-47DB-931E-808E84CBF6E8}"/>
                </c:ext>
              </c:extLst>
            </c:dLbl>
            <c:dLbl>
              <c:idx val="3"/>
              <c:layout>
                <c:manualLayout>
                  <c:x val="1.3384889388826333E-2"/>
                  <c:y val="-0.2398249653365219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12 377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7D4-47DB-931E-808E84CBF6E8}"/>
                </c:ext>
              </c:extLst>
            </c:dLbl>
            <c:dLbl>
              <c:idx val="4"/>
              <c:layout>
                <c:manualLayout>
                  <c:x val="1.1154074490688667E-2"/>
                  <c:y val="-0.3324338213781438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18 252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7D4-47DB-931E-808E84CBF6E8}"/>
                </c:ext>
              </c:extLst>
            </c:dLbl>
            <c:dLbl>
              <c:idx val="5"/>
              <c:layout>
                <c:manualLayout>
                  <c:x val="1.5615860517435182E-2"/>
                  <c:y val="-0.37017147291160507"/>
                </c:manualLayout>
              </c:layout>
              <c:tx>
                <c:rich>
                  <a:bodyPr rot="0" spcFirstLastPara="1" vertOverflow="ellipsis" vert="horz" wrap="square" lIns="36000" tIns="0" rIns="38100" bIns="19050" anchor="t" anchorCtr="0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21 207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7.5337653281152009E-2"/>
                      <c:h val="4.361024643557628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7D4-47DB-931E-808E84CBF6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6000" tIns="0" rIns="38100" bIns="19050" anchor="t" anchorCtr="0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'[Диаграммалар 2016-2019.xlsx]Имп. по компонент. 3д'!$A$32:$A$37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'[Диаграммалар 2016-2019.xlsx]Имп. по компонент. 3д'!$B$32:$B$37</c:f>
              <c:numCache>
                <c:formatCode>_-* #\ ##0_р_._-;\-* #\ ##0_р_._-;_-* "-"??_р_._-;_-@_-</c:formatCode>
                <c:ptCount val="6"/>
                <c:pt idx="0">
                  <c:v>12864.099999999995</c:v>
                </c:pt>
                <c:pt idx="1">
                  <c:v>11462.5</c:v>
                </c:pt>
                <c:pt idx="2">
                  <c:v>11483.137590000206</c:v>
                </c:pt>
                <c:pt idx="3">
                  <c:v>12930.989290000427</c:v>
                </c:pt>
                <c:pt idx="4">
                  <c:v>18888.821470000697</c:v>
                </c:pt>
                <c:pt idx="5">
                  <c:v>22488.264869725961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7D4-47DB-931E-808E84CBF6E8}"/>
            </c:ext>
          </c:extLst>
        </c:ser>
        <c:ser>
          <c:idx val="1"/>
          <c:order val="1"/>
          <c:tx>
            <c:strRef>
              <c:f>'[Диаграммалар 2016-2019.xlsx]Имп. по компонент. 3д'!$C$30</c:f>
              <c:strCache>
                <c:ptCount val="1"/>
                <c:pt idx="0">
                  <c:v>Челночная торговля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cat>
            <c:numRef>
              <c:f>'[Диаграммалар 2016-2019.xlsx]Имп. по компонент. 3д'!$A$32:$A$37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'[Диаграммалар 2016-2019.xlsx]Имп. по компонент. 3д'!$C$32:$C$37</c:f>
              <c:numCache>
                <c:formatCode>_-* #\ ##0_р_._-;\-* #\ ##0_р_._-;_-* "-"??_р_._-;_-@_-</c:formatCode>
                <c:ptCount val="6"/>
                <c:pt idx="0">
                  <c:v>1780.9673580074177</c:v>
                </c:pt>
                <c:pt idx="1">
                  <c:v>1126.7720155000791</c:v>
                </c:pt>
                <c:pt idx="2">
                  <c:v>522.35519599873521</c:v>
                </c:pt>
                <c:pt idx="3">
                  <c:v>596.61121244197955</c:v>
                </c:pt>
                <c:pt idx="4">
                  <c:v>842.89928294081074</c:v>
                </c:pt>
                <c:pt idx="5">
                  <c:v>317.32195252116765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7D4-47DB-931E-808E84CBF6E8}"/>
            </c:ext>
          </c:extLst>
        </c:ser>
        <c:ser>
          <c:idx val="2"/>
          <c:order val="2"/>
          <c:tx>
            <c:strRef>
              <c:f>'[Диаграммалар 2016-2019.xlsx]Имп. по компонент. 3д'!$D$30</c:f>
              <c:strCache>
                <c:ptCount val="1"/>
                <c:pt idx="0">
                  <c:v>Товары в портах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cat>
            <c:numRef>
              <c:f>'[Диаграммалар 2016-2019.xlsx]Имп. по компонент. 3д'!$A$32:$A$37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'[Диаграммалар 2016-2019.xlsx]Имп. по компонент. 3д'!$D$32:$D$37</c:f>
              <c:numCache>
                <c:formatCode>_-* #\ ##0_р_._-;\-* #\ ##0_р_._-;_-* "-"??_р_._-;_-@_-</c:formatCode>
                <c:ptCount val="6"/>
                <c:pt idx="0">
                  <c:v>68.88696798613131</c:v>
                </c:pt>
                <c:pt idx="1">
                  <c:v>60.821575354594678</c:v>
                </c:pt>
                <c:pt idx="2">
                  <c:v>62.109060828453963</c:v>
                </c:pt>
                <c:pt idx="3">
                  <c:v>69.777375860042852</c:v>
                </c:pt>
                <c:pt idx="4">
                  <c:v>102.44190332471626</c:v>
                </c:pt>
                <c:pt idx="5">
                  <c:v>110.5630475312702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7D4-47DB-931E-808E84CBF6E8}"/>
            </c:ext>
          </c:extLst>
        </c:ser>
        <c:ser>
          <c:idx val="3"/>
          <c:order val="3"/>
          <c:tx>
            <c:strRef>
              <c:f>'[Диаграммалар 2016-2019.xlsx]Имп. по компонент. 3д'!$E$30</c:f>
              <c:strCache>
                <c:ptCount val="1"/>
                <c:pt idx="0">
                  <c:v>Фрахт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cat>
            <c:numRef>
              <c:f>'[Диаграммалар 2016-2019.xlsx]Имп. по компонент. 3д'!$A$32:$A$37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'[Диаграммалар 2016-2019.xlsx]Имп. по компонент. 3д'!$E$32:$E$37</c:f>
              <c:numCache>
                <c:formatCode>_-* #\ ##0_р_._-;\-* #\ ##0_р_._-;_-* "-"??_р_._-;_-@_-</c:formatCode>
                <c:ptCount val="6"/>
                <c:pt idx="0">
                  <c:v>-1199.8599999999979</c:v>
                </c:pt>
                <c:pt idx="1">
                  <c:v>-1074.1298000000008</c:v>
                </c:pt>
                <c:pt idx="2">
                  <c:v>-1030.3380984759588</c:v>
                </c:pt>
                <c:pt idx="3">
                  <c:v>-1224.5615167874355</c:v>
                </c:pt>
                <c:pt idx="4">
                  <c:v>-1593.6908142871976</c:v>
                </c:pt>
                <c:pt idx="5">
                  <c:v>-1725.2204770717842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7D4-47DB-931E-808E84CBF6E8}"/>
            </c:ext>
          </c:extLst>
        </c:ser>
        <c:ser>
          <c:idx val="4"/>
          <c:order val="4"/>
          <c:tx>
            <c:strRef>
              <c:f>'[Диаграммалар 2016-2019.xlsx]Имп. по компонент. 3д'!$F$30</c:f>
              <c:strCache>
                <c:ptCount val="1"/>
                <c:pt idx="0">
                  <c:v>Немонетарное золото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cat>
            <c:numRef>
              <c:f>'[Диаграммалар 2016-2019.xlsx]Имп. по компонент. 3д'!$A$32:$A$37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'[Диаграммалар 2016-2019.xlsx]Имп. по компонент. 3д'!$F$32:$F$37</c:f>
              <c:numCache>
                <c:formatCode>_-* #\ ##0_р_._-;\-* #\ ##0_р_._-;_-* "-"??_р_._-;_-@_-</c:formatCode>
                <c:ptCount val="6"/>
                <c:pt idx="0">
                  <c:v>0</c:v>
                </c:pt>
                <c:pt idx="1">
                  <c:v>0</c:v>
                </c:pt>
                <c:pt idx="2">
                  <c:v>9.6000000000000026E-3</c:v>
                </c:pt>
                <c:pt idx="3">
                  <c:v>4.5033500000000002</c:v>
                </c:pt>
                <c:pt idx="4">
                  <c:v>11.973477000000004</c:v>
                </c:pt>
                <c:pt idx="5">
                  <c:v>15.704000000000001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7D4-47DB-931E-808E84CBF6E8}"/>
            </c:ext>
          </c:extLst>
        </c:ser>
        <c:shape val="box"/>
        <c:axId val="117330688"/>
        <c:axId val="117332224"/>
        <c:axId val="0"/>
      </c:bar3DChart>
      <c:catAx>
        <c:axId val="1173306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b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332224"/>
        <c:crosses val="autoZero"/>
        <c:auto val="1"/>
        <c:lblAlgn val="ctr"/>
        <c:lblOffset val="400"/>
        <c:tickLblSkip val="1"/>
        <c:tickMarkSkip val="2"/>
      </c:catAx>
      <c:valAx>
        <c:axId val="117332224"/>
        <c:scaling>
          <c:orientation val="minMax"/>
          <c:max val="24000"/>
          <c:min val="-40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330688"/>
        <c:crosses val="autoZero"/>
        <c:crossBetween val="between"/>
        <c:majorUnit val="2000"/>
        <c:minorUnit val="400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'[Диаграммалар 2016-2019.xlsx]ЭК по стран 4д (UZ)'!$D$3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'[Диаграммалар 2016-2019.xlsx]ЭК по стран 4д (UZ)'!$B$4:$B$9</c:f>
              <c:strCache>
                <c:ptCount val="6"/>
                <c:pt idx="0">
                  <c:v>Швейцария</c:v>
                </c:pt>
                <c:pt idx="1">
                  <c:v>Китай</c:v>
                </c:pt>
                <c:pt idx="2">
                  <c:v>Россия</c:v>
                </c:pt>
                <c:pt idx="3">
                  <c:v>Казахстан</c:v>
                </c:pt>
                <c:pt idx="4">
                  <c:v>Турция</c:v>
                </c:pt>
                <c:pt idx="5">
                  <c:v>Другие страны</c:v>
                </c:pt>
              </c:strCache>
            </c:strRef>
          </c:cat>
          <c:val>
            <c:numRef>
              <c:f>'[Диаграммалар 2016-2019.xlsx]ЭК по стран 4д (UZ)'!$D$4:$D$9</c:f>
              <c:numCache>
                <c:formatCode>_-* #\ ##0_р_._-;\-* #\ ##0_р_._-;_-* "-"??_р_._-;_-@_-</c:formatCode>
                <c:ptCount val="6"/>
                <c:pt idx="0">
                  <c:v>2885.40499</c:v>
                </c:pt>
                <c:pt idx="1">
                  <c:v>1230.80961</c:v>
                </c:pt>
                <c:pt idx="2">
                  <c:v>1238.1696800000009</c:v>
                </c:pt>
                <c:pt idx="3">
                  <c:v>845.8204900000004</c:v>
                </c:pt>
                <c:pt idx="4">
                  <c:v>569.04039999999986</c:v>
                </c:pt>
                <c:pt idx="5">
                  <c:v>1675.1208199999996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D6-4836-87FD-9BC1C409C08C}"/>
            </c:ext>
          </c:extLst>
        </c:ser>
        <c:ser>
          <c:idx val="1"/>
          <c:order val="1"/>
          <c:tx>
            <c:strRef>
              <c:f>'[Диаграммалар 2016-2019.xlsx]ЭК по стран 4д (UZ)'!$E$3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'[Диаграммалар 2016-2019.xlsx]ЭК по стран 4д (UZ)'!$B$4:$B$9</c:f>
              <c:strCache>
                <c:ptCount val="6"/>
                <c:pt idx="0">
                  <c:v>Швейцария</c:v>
                </c:pt>
                <c:pt idx="1">
                  <c:v>Китай</c:v>
                </c:pt>
                <c:pt idx="2">
                  <c:v>Россия</c:v>
                </c:pt>
                <c:pt idx="3">
                  <c:v>Казахстан</c:v>
                </c:pt>
                <c:pt idx="4">
                  <c:v>Турция</c:v>
                </c:pt>
                <c:pt idx="5">
                  <c:v>Другие страны</c:v>
                </c:pt>
              </c:strCache>
            </c:strRef>
          </c:cat>
          <c:val>
            <c:numRef>
              <c:f>'[Диаграммалар 2016-2019.xlsx]ЭК по стран 4д (UZ)'!$E$4:$E$9</c:f>
              <c:numCache>
                <c:formatCode>_-* #\ ##0_р_._-;\-* #\ ##0_р_._-;_-* "-"??_р_._-;_-@_-</c:formatCode>
                <c:ptCount val="6"/>
                <c:pt idx="0">
                  <c:v>3469.2904882800394</c:v>
                </c:pt>
                <c:pt idx="1">
                  <c:v>1522.8525499999982</c:v>
                </c:pt>
                <c:pt idx="2">
                  <c:v>1553.1911199999972</c:v>
                </c:pt>
                <c:pt idx="3">
                  <c:v>935.74616000000026</c:v>
                </c:pt>
                <c:pt idx="4">
                  <c:v>723.44104999999968</c:v>
                </c:pt>
                <c:pt idx="5">
                  <c:v>1717.5436900000004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0D6-4836-87FD-9BC1C409C08C}"/>
            </c:ext>
          </c:extLst>
        </c:ser>
        <c:ser>
          <c:idx val="2"/>
          <c:order val="2"/>
          <c:tx>
            <c:strRef>
              <c:f>'[Диаграммалар 2016-2019.xlsx]ЭК по стран 4д (UZ)'!$F$3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'[Диаграммалар 2016-2019.xlsx]ЭК по стран 4д (UZ)'!$B$4:$B$9</c:f>
              <c:strCache>
                <c:ptCount val="6"/>
                <c:pt idx="0">
                  <c:v>Швейцария</c:v>
                </c:pt>
                <c:pt idx="1">
                  <c:v>Китай</c:v>
                </c:pt>
                <c:pt idx="2">
                  <c:v>Россия</c:v>
                </c:pt>
                <c:pt idx="3">
                  <c:v>Казахстан</c:v>
                </c:pt>
                <c:pt idx="4">
                  <c:v>Турция</c:v>
                </c:pt>
                <c:pt idx="5">
                  <c:v>Другие страны</c:v>
                </c:pt>
              </c:strCache>
            </c:strRef>
          </c:cat>
          <c:val>
            <c:numRef>
              <c:f>'[Диаграммалар 2016-2019.xlsx]ЭК по стран 4д (UZ)'!$F$4:$F$9</c:f>
              <c:numCache>
                <c:formatCode>_-* #\ ##0_р_._-;\-* #\ ##0_р_._-;_-* "-"??_р_._-;_-@_-</c:formatCode>
                <c:ptCount val="6"/>
                <c:pt idx="0">
                  <c:v>2940.588694179999</c:v>
                </c:pt>
                <c:pt idx="1">
                  <c:v>2341.0545500000062</c:v>
                </c:pt>
                <c:pt idx="2">
                  <c:v>1852.3010900000027</c:v>
                </c:pt>
                <c:pt idx="3">
                  <c:v>1346.25891000001</c:v>
                </c:pt>
                <c:pt idx="4">
                  <c:v>797.76580622857011</c:v>
                </c:pt>
                <c:pt idx="5">
                  <c:v>1817.3086294814293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0D6-4836-87FD-9BC1C409C08C}"/>
            </c:ext>
          </c:extLst>
        </c:ser>
        <c:ser>
          <c:idx val="3"/>
          <c:order val="3"/>
          <c:tx>
            <c:strRef>
              <c:f>'[Диаграммалар 2016-2019.xlsx]ЭК по стран 4д (UZ)'!$G$3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'[Диаграммалар 2016-2019.xlsx]ЭК по стран 4д (UZ)'!$B$4:$B$9</c:f>
              <c:strCache>
                <c:ptCount val="6"/>
                <c:pt idx="0">
                  <c:v>Швейцария</c:v>
                </c:pt>
                <c:pt idx="1">
                  <c:v>Китай</c:v>
                </c:pt>
                <c:pt idx="2">
                  <c:v>Россия</c:v>
                </c:pt>
                <c:pt idx="3">
                  <c:v>Казахстан</c:v>
                </c:pt>
                <c:pt idx="4">
                  <c:v>Турция</c:v>
                </c:pt>
                <c:pt idx="5">
                  <c:v>Другие страны</c:v>
                </c:pt>
              </c:strCache>
            </c:strRef>
          </c:cat>
          <c:val>
            <c:numRef>
              <c:f>'[Диаграммалар 2016-2019.xlsx]ЭК по стран 4д (UZ)'!$G$4:$G$9</c:f>
              <c:numCache>
                <c:formatCode>_-* #\ ##0_р_._-;\-* #\ ##0_р_._-;_-* "-"??_р_._-;_-@_-</c:formatCode>
                <c:ptCount val="6"/>
                <c:pt idx="0">
                  <c:v>2718.5067555800001</c:v>
                </c:pt>
                <c:pt idx="1">
                  <c:v>1829.2088344400026</c:v>
                </c:pt>
                <c:pt idx="2">
                  <c:v>2030.723749440001</c:v>
                </c:pt>
                <c:pt idx="3">
                  <c:v>1233.8546814400011</c:v>
                </c:pt>
                <c:pt idx="4">
                  <c:v>1086.9771406378372</c:v>
                </c:pt>
                <c:pt idx="5">
                  <c:v>4765.2012259513631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0D6-4836-87FD-9BC1C409C08C}"/>
            </c:ext>
          </c:extLst>
        </c:ser>
        <c:dLbls>
          <c:showVal val="1"/>
        </c:dLbls>
        <c:gapWidth val="219"/>
        <c:overlap val="-27"/>
        <c:axId val="117126656"/>
        <c:axId val="117128192"/>
      </c:barChart>
      <c:catAx>
        <c:axId val="1171266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128192"/>
        <c:crosses val="autoZero"/>
        <c:auto val="1"/>
        <c:lblAlgn val="ctr"/>
        <c:lblOffset val="100"/>
      </c:catAx>
      <c:valAx>
        <c:axId val="117128192"/>
        <c:scaling>
          <c:orientation val="minMax"/>
          <c:max val="5000"/>
        </c:scaling>
        <c:axPos val="l"/>
        <c:numFmt formatCode="_-* #\ ##0_р_._-;\-* #\ ##0_р_._-;_-* &quot;-&quot;??_р_._-;_-@_-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126656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6161680135886271E-2"/>
          <c:y val="7.4424951267056533E-2"/>
          <c:w val="0.5827954241612876"/>
          <c:h val="0.82733988690777782"/>
        </c:manualLayout>
      </c:layout>
      <c:barChart>
        <c:barDir val="col"/>
        <c:grouping val="stacked"/>
        <c:ser>
          <c:idx val="0"/>
          <c:order val="0"/>
          <c:tx>
            <c:strRef>
              <c:f>'[Диаграммалар 2016-2019.xlsx]Имп. тов по группам 5д'!$B$4</c:f>
              <c:strCache>
                <c:ptCount val="1"/>
                <c:pt idx="0">
                  <c:v>Другие группы товаров</c:v>
                </c:pt>
              </c:strCache>
            </c:strRef>
          </c:tx>
          <c:spPr>
            <a:solidFill>
              <a:srgbClr val="00B0F0">
                <a:alpha val="75000"/>
              </a:srgbClr>
            </a:solidFill>
            <a:ln>
              <a:noFill/>
            </a:ln>
            <a:effectLst/>
          </c:spP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'[Диаграммалар 2016-2019.xlsx]Имп. тов по группам 5д'!$X$3:$AA$3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'[Диаграммалар 2016-2019.xlsx]Имп. тов по группам 5д'!$X$4:$AA$4</c:f>
              <c:numCache>
                <c:formatCode>0%</c:formatCode>
                <c:ptCount val="4"/>
                <c:pt idx="0">
                  <c:v>0.24520093284550293</c:v>
                </c:pt>
                <c:pt idx="1">
                  <c:v>0.23372934032692544</c:v>
                </c:pt>
                <c:pt idx="2">
                  <c:v>0.20249032141749351</c:v>
                </c:pt>
                <c:pt idx="3">
                  <c:v>0.21997741346881586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37-4598-A44D-3B62E1F8374D}"/>
            </c:ext>
          </c:extLst>
        </c:ser>
        <c:ser>
          <c:idx val="1"/>
          <c:order val="1"/>
          <c:tx>
            <c:strRef>
              <c:f>'[Диаграммалар 2016-2019.xlsx]Имп. тов по группам 5д'!$B$5</c:f>
              <c:strCache>
                <c:ptCount val="1"/>
                <c:pt idx="0">
                  <c:v>Пластмассы и изделия из них: каучук</c:v>
                </c:pt>
              </c:strCache>
            </c:strRef>
          </c:tx>
          <c:spPr>
            <a:solidFill>
              <a:schemeClr val="bg1">
                <a:lumMod val="75000"/>
                <a:alpha val="75000"/>
              </a:schemeClr>
            </a:solidFill>
            <a:ln>
              <a:noFill/>
            </a:ln>
            <a:effectLst/>
          </c:spP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'[Диаграммалар 2016-2019.xlsx]Имп. тов по группам 5д'!$X$3:$AA$3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'[Диаграммалар 2016-2019.xlsx]Имп. тов по группам 5д'!$X$5:$AA$5</c:f>
              <c:numCache>
                <c:formatCode>0%</c:formatCode>
                <c:ptCount val="4"/>
                <c:pt idx="0">
                  <c:v>5.6659687920548506E-2</c:v>
                </c:pt>
                <c:pt idx="1">
                  <c:v>6.1512539574612723E-2</c:v>
                </c:pt>
                <c:pt idx="2">
                  <c:v>5.4240041863683953E-2</c:v>
                </c:pt>
                <c:pt idx="3">
                  <c:v>5.4258291783220843E-2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37-4598-A44D-3B62E1F8374D}"/>
            </c:ext>
          </c:extLst>
        </c:ser>
        <c:ser>
          <c:idx val="2"/>
          <c:order val="2"/>
          <c:tx>
            <c:strRef>
              <c:f>'[Диаграммалар 2016-2019.xlsx]Имп. тов по группам 5д'!$B$6</c:f>
              <c:strCache>
                <c:ptCount val="1"/>
                <c:pt idx="0">
                  <c:v>Минеральные продукты</c:v>
                </c:pt>
              </c:strCache>
            </c:strRef>
          </c:tx>
          <c:spPr>
            <a:solidFill>
              <a:schemeClr val="accent2">
                <a:lumMod val="75000"/>
                <a:alpha val="75000"/>
              </a:schemeClr>
            </a:solidFill>
            <a:ln>
              <a:noFill/>
            </a:ln>
            <a:effectLst/>
          </c:spP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'[Диаграммалар 2016-2019.xlsx]Имп. тов по группам 5д'!$X$3:$AA$3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'[Диаграммалар 2016-2019.xlsx]Имп. тов по группам 5д'!$X$6:$AA$6</c:f>
              <c:numCache>
                <c:formatCode>0%</c:formatCode>
                <c:ptCount val="4"/>
                <c:pt idx="0">
                  <c:v>4.7330412551391067E-2</c:v>
                </c:pt>
                <c:pt idx="1">
                  <c:v>5.8317040761390944E-2</c:v>
                </c:pt>
                <c:pt idx="2">
                  <c:v>5.8342391883126718E-2</c:v>
                </c:pt>
                <c:pt idx="3">
                  <c:v>6.5884060657096413E-2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637-4598-A44D-3B62E1F8374D}"/>
            </c:ext>
          </c:extLst>
        </c:ser>
        <c:ser>
          <c:idx val="3"/>
          <c:order val="3"/>
          <c:tx>
            <c:strRef>
              <c:f>'[Диаграммалар 2016-2019.xlsx]Имп. тов по группам 5д'!$B$7</c:f>
              <c:strCache>
                <c:ptCount val="1"/>
                <c:pt idx="0">
                  <c:v>Продукция химической промышленности</c:v>
                </c:pt>
              </c:strCache>
            </c:strRef>
          </c:tx>
          <c:spPr>
            <a:solidFill>
              <a:schemeClr val="accent6">
                <a:lumMod val="75000"/>
                <a:alpha val="75000"/>
              </a:schemeClr>
            </a:solidFill>
            <a:ln>
              <a:noFill/>
            </a:ln>
            <a:effectLst/>
          </c:spP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'[Диаграммалар 2016-2019.xlsx]Имп. тов по группам 5д'!$X$3:$AA$3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'[Диаграммалар 2016-2019.xlsx]Имп. тов по группам 5д'!$X$7:$AA$7</c:f>
              <c:numCache>
                <c:formatCode>0%</c:formatCode>
                <c:ptCount val="4"/>
                <c:pt idx="0">
                  <c:v>0.13030666834456631</c:v>
                </c:pt>
                <c:pt idx="1">
                  <c:v>0.11877217046850269</c:v>
                </c:pt>
                <c:pt idx="2">
                  <c:v>8.7614285140891562E-2</c:v>
                </c:pt>
                <c:pt idx="3">
                  <c:v>9.2863672990027082E-2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637-4598-A44D-3B62E1F8374D}"/>
            </c:ext>
          </c:extLst>
        </c:ser>
        <c:ser>
          <c:idx val="4"/>
          <c:order val="4"/>
          <c:tx>
            <c:strRef>
              <c:f>'[Диаграммалар 2016-2019.xlsx]Имп. тов по группам 5д'!$B$8</c:f>
              <c:strCache>
                <c:ptCount val="1"/>
                <c:pt idx="0">
                  <c:v>Средства наземного, воздушного и водного транспорта</c:v>
                </c:pt>
              </c:strCache>
            </c:strRef>
          </c:tx>
          <c:spPr>
            <a:solidFill>
              <a:schemeClr val="bg2">
                <a:lumMod val="50000"/>
                <a:alpha val="75000"/>
              </a:schemeClr>
            </a:solidFill>
            <a:ln>
              <a:noFill/>
            </a:ln>
            <a:effectLst/>
          </c:spP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'[Диаграммалар 2016-2019.xlsx]Имп. тов по группам 5д'!$X$3:$AA$3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'[Диаграммалар 2016-2019.xlsx]Имп. тов по группам 5д'!$X$8:$AA$8</c:f>
              <c:numCache>
                <c:formatCode>0%</c:formatCode>
                <c:ptCount val="4"/>
                <c:pt idx="0">
                  <c:v>0.10669178565448156</c:v>
                </c:pt>
                <c:pt idx="1">
                  <c:v>0.101965833295798</c:v>
                </c:pt>
                <c:pt idx="2">
                  <c:v>0.13836583569451155</c:v>
                </c:pt>
                <c:pt idx="3">
                  <c:v>0.12446353171510827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637-4598-A44D-3B62E1F8374D}"/>
            </c:ext>
          </c:extLst>
        </c:ser>
        <c:ser>
          <c:idx val="5"/>
          <c:order val="5"/>
          <c:tx>
            <c:strRef>
              <c:f>'[Диаграммалар 2016-2019.xlsx]Имп. тов по группам 5д'!$B$9</c:f>
              <c:strCache>
                <c:ptCount val="1"/>
                <c:pt idx="0">
                  <c:v>Недрагоценные металлы и изделия из них</c:v>
                </c:pt>
              </c:strCache>
            </c:strRef>
          </c:tx>
          <c:spPr>
            <a:solidFill>
              <a:schemeClr val="accent5">
                <a:lumMod val="75000"/>
                <a:alpha val="75000"/>
              </a:schemeClr>
            </a:solidFill>
            <a:ln>
              <a:noFill/>
            </a:ln>
            <a:effectLst/>
          </c:spP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'[Диаграммалар 2016-2019.xlsx]Имп. тов по группам 5д'!$X$3:$AA$3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'[Диаграммалар 2016-2019.xlsx]Имп. тов по группам 5д'!$X$9:$AA$9</c:f>
              <c:numCache>
                <c:formatCode>0%</c:formatCode>
                <c:ptCount val="4"/>
                <c:pt idx="0">
                  <c:v>0.10592097187320416</c:v>
                </c:pt>
                <c:pt idx="1">
                  <c:v>0.13264523375843418</c:v>
                </c:pt>
                <c:pt idx="2">
                  <c:v>0.12826358023771822</c:v>
                </c:pt>
                <c:pt idx="3">
                  <c:v>0.12875545918806541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637-4598-A44D-3B62E1F8374D}"/>
            </c:ext>
          </c:extLst>
        </c:ser>
        <c:ser>
          <c:idx val="6"/>
          <c:order val="6"/>
          <c:tx>
            <c:strRef>
              <c:f>'[Диаграммалар 2016-2019.xlsx]Имп. тов по группам 5д'!$B$10</c:f>
              <c:strCache>
                <c:ptCount val="1"/>
                <c:pt idx="0">
                  <c:v>Машины, оборудование, механизмы</c:v>
                </c:pt>
              </c:strCache>
            </c:strRef>
          </c:tx>
          <c:spPr>
            <a:solidFill>
              <a:schemeClr val="accent4">
                <a:lumMod val="75000"/>
                <a:alpha val="75000"/>
              </a:schemeClr>
            </a:solidFill>
            <a:ln>
              <a:noFill/>
            </a:ln>
            <a:effectLst/>
          </c:spP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'[Диаграммалар 2016-2019.xlsx]Имп. тов по группам 5д'!$X$3:$AA$3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'[Диаграммалар 2016-2019.xlsx]Имп. тов по группам 5д'!$X$10:$AA$10</c:f>
              <c:numCache>
                <c:formatCode>0%</c:formatCode>
                <c:ptCount val="4"/>
                <c:pt idx="0">
                  <c:v>0.3078895408103059</c:v>
                </c:pt>
                <c:pt idx="1">
                  <c:v>0.29305784181433631</c:v>
                </c:pt>
                <c:pt idx="2">
                  <c:v>0.33068354376257464</c:v>
                </c:pt>
                <c:pt idx="3">
                  <c:v>0.31379757019766641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637-4598-A44D-3B62E1F8374D}"/>
            </c:ext>
          </c:extLst>
        </c:ser>
        <c:gapWidth val="43"/>
        <c:overlap val="100"/>
        <c:axId val="117409664"/>
        <c:axId val="117411200"/>
      </c:barChart>
      <c:catAx>
        <c:axId val="11740966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411200"/>
        <c:crosses val="autoZero"/>
        <c:auto val="1"/>
        <c:lblAlgn val="ctr"/>
        <c:lblOffset val="100"/>
      </c:catAx>
      <c:valAx>
        <c:axId val="117411200"/>
        <c:scaling>
          <c:orientation val="minMax"/>
          <c:max val="1"/>
        </c:scaling>
        <c:delete val="1"/>
        <c:axPos val="l"/>
        <c:numFmt formatCode="0%" sourceLinked="1"/>
        <c:majorTickMark val="none"/>
        <c:tickLblPos val="nextTo"/>
        <c:crossAx val="117409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087361634206986"/>
          <c:y val="7.0889679453523508E-2"/>
          <c:w val="0.334514511511812"/>
          <c:h val="0.8235932357990305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1"/>
      <c:rotY val="19"/>
      <c:depthPercent val="12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2606049462864354E-2"/>
          <c:y val="1.9630137232647608E-2"/>
          <c:w val="0.86531632520958701"/>
          <c:h val="0.84716369566929839"/>
        </c:manualLayout>
      </c:layout>
      <c:bar3DChart>
        <c:barDir val="col"/>
        <c:grouping val="standard"/>
        <c:ser>
          <c:idx val="0"/>
          <c:order val="0"/>
          <c:tx>
            <c:strRef>
              <c:f>'[Диаграммалар 2016-2019.xlsx]Услуг ЭК и ИМ 6-7д'!$B$6</c:f>
              <c:strCache>
                <c:ptCount val="1"/>
                <c:pt idx="0">
                  <c:v>Другие услуги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50800" dist="50800" dir="600000" algn="ctr" rotWithShape="0">
                <a:srgbClr val="000000">
                  <a:alpha val="43137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6.433453145844615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8BB-4656-89BD-A2B1271747FD}"/>
                </c:ext>
              </c:extLst>
            </c:dLbl>
            <c:dLbl>
              <c:idx val="1"/>
              <c:layout>
                <c:manualLayout>
                  <c:x val="0"/>
                  <c:y val="6.755125803136839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8BB-4656-89BD-A2B1271747FD}"/>
                </c:ext>
              </c:extLst>
            </c:dLbl>
            <c:dLbl>
              <c:idx val="2"/>
              <c:layout>
                <c:manualLayout>
                  <c:x val="0"/>
                  <c:y val="5.790107831260150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8BB-4656-89BD-A2B1271747FD}"/>
                </c:ext>
              </c:extLst>
            </c:dLbl>
            <c:dLbl>
              <c:idx val="3"/>
              <c:layout>
                <c:manualLayout>
                  <c:x val="0"/>
                  <c:y val="6.09910973274907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8BB-4656-89BD-A2B1271747FD}"/>
                </c:ext>
              </c:extLst>
            </c:dLbl>
            <c:dLbl>
              <c:idx val="4"/>
              <c:layout>
                <c:manualLayout>
                  <c:x val="-4.3717404501137916E-3"/>
                  <c:y val="6.437949162346243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8BB-4656-89BD-A2B1271747FD}"/>
                </c:ext>
              </c:extLst>
            </c:dLbl>
            <c:dLbl>
              <c:idx val="5"/>
              <c:layout>
                <c:manualLayout>
                  <c:x val="2.1858702250567748E-3"/>
                  <c:y val="6.09910973274907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8BB-4656-89BD-A2B1271747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'[Диаграммалар 2016-2019.xlsx]Услуг ЭК и ИМ 6-7д'!$AB$5:$AG$5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'[Диаграммалар 2016-2019.xlsx]Услуг ЭК и ИМ 6-7д'!$AB$6:$AG$6</c:f>
              <c:numCache>
                <c:formatCode>_-* #\ ##0_р_._-;\-* #\ ##0_р_._-;_-* "-"??_р_._-;_-@_-</c:formatCode>
                <c:ptCount val="6"/>
                <c:pt idx="0">
                  <c:v>491.7759011105473</c:v>
                </c:pt>
                <c:pt idx="1">
                  <c:v>470.31384925612383</c:v>
                </c:pt>
                <c:pt idx="2">
                  <c:v>380.04381918240961</c:v>
                </c:pt>
                <c:pt idx="3">
                  <c:v>372.03810353196656</c:v>
                </c:pt>
                <c:pt idx="4">
                  <c:v>350.97640425008518</c:v>
                </c:pt>
                <c:pt idx="5">
                  <c:v>362.33895295160056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8BB-4656-89BD-A2B1271747FD}"/>
            </c:ext>
          </c:extLst>
        </c:ser>
        <c:ser>
          <c:idx val="1"/>
          <c:order val="1"/>
          <c:tx>
            <c:strRef>
              <c:f>'[Диаграммалар 2016-2019.xlsx]Услуг ЭК и ИМ 6-7д'!$B$7</c:f>
              <c:strCache>
                <c:ptCount val="1"/>
                <c:pt idx="0">
                  <c:v>Услуги, связанные поездками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50800" dist="50800" dir="600000" algn="ctr" rotWithShape="0">
                <a:srgbClr val="000000">
                  <a:alpha val="43137"/>
                </a:srgbClr>
              </a:outerShdw>
            </a:effectLst>
            <a:sp3d/>
          </c:spPr>
          <c:dLbls>
            <c:dLbl>
              <c:idx val="3"/>
              <c:layout>
                <c:manualLayout>
                  <c:x val="-6.5853733154796592E-3"/>
                  <c:y val="6.776781718253760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8BB-4656-89BD-A2B1271747FD}"/>
                </c:ext>
              </c:extLst>
            </c:dLbl>
            <c:dLbl>
              <c:idx val="4"/>
              <c:layout>
                <c:manualLayout>
                  <c:x val="-3.6129412394879218E-3"/>
                  <c:y val="7.098454977545347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8BB-4656-89BD-A2B1271747FD}"/>
                </c:ext>
              </c:extLst>
            </c:dLbl>
            <c:dLbl>
              <c:idx val="5"/>
              <c:layout>
                <c:manualLayout>
                  <c:x val="0"/>
                  <c:y val="6.437961628757839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8BB-4656-89BD-A2B1271747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'[Диаграммалар 2016-2019.xlsx]Услуг ЭК и ИМ 6-7д'!$AB$5:$AG$5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'[Диаграммалар 2016-2019.xlsx]Услуг ЭК и ИМ 6-7д'!$AB$7:$AG$7</c:f>
              <c:numCache>
                <c:formatCode>_-* #\ ##0_р_._-;\-* #\ ##0_р_._-;_-* "-"??_р_._-;_-@_-</c:formatCode>
                <c:ptCount val="6"/>
                <c:pt idx="0">
                  <c:v>500.67723714385056</c:v>
                </c:pt>
                <c:pt idx="1">
                  <c:v>520.68396217075474</c:v>
                </c:pt>
                <c:pt idx="2">
                  <c:v>458.21207809999999</c:v>
                </c:pt>
                <c:pt idx="3">
                  <c:v>688.6464682000003</c:v>
                </c:pt>
                <c:pt idx="4">
                  <c:v>1144.3979252066008</c:v>
                </c:pt>
                <c:pt idx="5">
                  <c:v>1480.9155303959005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8BB-4656-89BD-A2B1271747FD}"/>
            </c:ext>
          </c:extLst>
        </c:ser>
        <c:ser>
          <c:idx val="2"/>
          <c:order val="2"/>
          <c:tx>
            <c:strRef>
              <c:f>'[Диаграммалар 2016-2019.xlsx]Услуг ЭК и ИМ 6-7д'!$B$8</c:f>
              <c:strCache>
                <c:ptCount val="1"/>
                <c:pt idx="0">
                  <c:v>Транспортные услуги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>
              <a:outerShdw blurRad="50800" dist="88900" dir="600000" algn="ctr" rotWithShape="0">
                <a:srgbClr val="000000">
                  <a:alpha val="43137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1.0586911930126378E-2"/>
                  <c:y val="-6.433344848535413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D8BB-4656-89BD-A2B1271747FD}"/>
                </c:ext>
              </c:extLst>
            </c:dLbl>
            <c:dLbl>
              <c:idx val="1"/>
              <c:layout>
                <c:manualLayout>
                  <c:x val="1.2587712250254429E-2"/>
                  <c:y val="-6.051437216338882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D8BB-4656-89BD-A2B1271747FD}"/>
                </c:ext>
              </c:extLst>
            </c:dLbl>
            <c:dLbl>
              <c:idx val="2"/>
              <c:layout>
                <c:manualLayout>
                  <c:x val="9.1691794828166751E-3"/>
                  <c:y val="-6.242510155217039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D8BB-4656-89BD-A2B1271747FD}"/>
                </c:ext>
              </c:extLst>
            </c:dLbl>
            <c:dLbl>
              <c:idx val="3"/>
              <c:layout>
                <c:manualLayout>
                  <c:x val="9.1691794828166751E-3"/>
                  <c:y val="-9.796180923678036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D8BB-4656-89BD-A2B1271747FD}"/>
                </c:ext>
              </c:extLst>
            </c:dLbl>
            <c:dLbl>
              <c:idx val="4"/>
              <c:layout>
                <c:manualLayout>
                  <c:x val="1.3161413030984533E-2"/>
                  <c:y val="-9.7768224972284556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D8BB-4656-89BD-A2B1271747FD}"/>
                </c:ext>
              </c:extLst>
            </c:dLbl>
            <c:dLbl>
              <c:idx val="5"/>
              <c:layout>
                <c:manualLayout>
                  <c:x val="2.4655295188941585E-2"/>
                  <c:y val="-3.343299939247383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7.6390330459563976E-2"/>
                      <c:h val="4.891045418406210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0-D8BB-4656-89BD-A2B1271747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'[Диаграммалар 2016-2019.xlsx]Услуг ЭК и ИМ 6-7д'!$AB$5:$AG$5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'[Диаграммалар 2016-2019.xlsx]Услуг ЭК и ИМ 6-7д'!$AB$8:$AG$8</c:f>
              <c:numCache>
                <c:formatCode>_-* #\ ##0_р_._-;\-* #\ ##0_р_._-;_-* "-"??_р_._-;_-@_-</c:formatCode>
                <c:ptCount val="6"/>
                <c:pt idx="0">
                  <c:v>1368.33</c:v>
                </c:pt>
                <c:pt idx="1">
                  <c:v>1366.4300000000003</c:v>
                </c:pt>
                <c:pt idx="2">
                  <c:v>1066.4925979561281</c:v>
                </c:pt>
                <c:pt idx="3">
                  <c:v>1190.001061159986</c:v>
                </c:pt>
                <c:pt idx="4">
                  <c:v>1254.1729006323915</c:v>
                </c:pt>
                <c:pt idx="5">
                  <c:v>1251.8657577347617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D8BB-4656-89BD-A2B1271747FD}"/>
            </c:ext>
          </c:extLst>
        </c:ser>
        <c:shape val="box"/>
        <c:axId val="117271168"/>
        <c:axId val="117506432"/>
        <c:axId val="117172864"/>
      </c:bar3DChart>
      <c:catAx>
        <c:axId val="1172711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low"/>
        <c:spPr>
          <a:noFill/>
          <a:ln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506432"/>
        <c:crosses val="autoZero"/>
        <c:auto val="1"/>
        <c:lblAlgn val="ctr"/>
        <c:lblOffset val="400"/>
      </c:catAx>
      <c:valAx>
        <c:axId val="117506432"/>
        <c:scaling>
          <c:orientation val="minMax"/>
          <c:max val="1501"/>
          <c:min val="1.0000000000000005E-2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_р_._-;\-* #\ ##0_р_._-;_-* &quot;-&quot;??_р_._-;_-@_-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271168"/>
        <c:crosses val="autoZero"/>
        <c:crossBetween val="between"/>
        <c:majorUnit val="100"/>
        <c:minorUnit val="10"/>
      </c:valAx>
      <c:serAx>
        <c:axId val="11717286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majorTickMark val="none"/>
        <c:tickLblPos val="nextTo"/>
        <c:crossAx val="117506432"/>
        <c:crosses val="autoZero"/>
      </c:ser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17464936534E-2"/>
          <c:y val="0.8773121302315019"/>
          <c:w val="0.89999996525321369"/>
          <c:h val="9.37008239567735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316007470582955E-2"/>
          <c:y val="3.4399437193755406E-2"/>
          <c:w val="0.89648596267904013"/>
          <c:h val="0.81050062403976098"/>
        </c:manualLayout>
      </c:layout>
      <c:bar3DChart>
        <c:barDir val="col"/>
        <c:grouping val="standard"/>
        <c:ser>
          <c:idx val="0"/>
          <c:order val="0"/>
          <c:tx>
            <c:strRef>
              <c:f>'[Диаграммалар 2016-2019.xlsx]Услуг ЭК и ИМ 6-7д'!$B$26</c:f>
              <c:strCache>
                <c:ptCount val="1"/>
                <c:pt idx="0">
                  <c:v>Другие услуги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-1.8187620582885736E-17"/>
                  <c:y val="4.93572918769768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A15-4282-8F64-5ECE257B039C}"/>
                </c:ext>
              </c:extLst>
            </c:dLbl>
            <c:dLbl>
              <c:idx val="1"/>
              <c:layout>
                <c:manualLayout>
                  <c:x val="-4.3700787401574816E-3"/>
                  <c:y val="5.193810322781270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A15-4282-8F64-5ECE257B039C}"/>
                </c:ext>
              </c:extLst>
            </c:dLbl>
            <c:dLbl>
              <c:idx val="2"/>
              <c:layout>
                <c:manualLayout>
                  <c:x val="-2.1850601416297491E-3"/>
                  <c:y val="4.91133140499003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A15-4282-8F64-5ECE257B039C}"/>
                </c:ext>
              </c:extLst>
            </c:dLbl>
            <c:dLbl>
              <c:idx val="3"/>
              <c:layout>
                <c:manualLayout>
                  <c:x val="-2.1868944067506514E-3"/>
                  <c:y val="5.536331509524625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A15-4282-8F64-5ECE257B039C}"/>
                </c:ext>
              </c:extLst>
            </c:dLbl>
            <c:dLbl>
              <c:idx val="4"/>
              <c:layout>
                <c:manualLayout>
                  <c:x val="-8.0185201941228685E-17"/>
                  <c:y val="4.921183564021887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A15-4282-8F64-5ECE257B039C}"/>
                </c:ext>
              </c:extLst>
            </c:dLbl>
            <c:dLbl>
              <c:idx val="5"/>
              <c:layout>
                <c:manualLayout>
                  <c:x val="0"/>
                  <c:y val="4.921183564021876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A15-4282-8F64-5ECE257B03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6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'[Диаграммалар 2016-2019.xlsx]Услуг ЭК и ИМ 6-7д'!$AB$5:$AG$5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'[Диаграммалар 2016-2019.xlsx]Услуг ЭК и ИМ 6-7д'!$AB$26:$AG$26</c:f>
              <c:numCache>
                <c:formatCode>_-* #\ ##0_р_._-;\-* #\ ##0_р_._-;_-* "-"??_р_._-;_-@_-</c:formatCode>
                <c:ptCount val="6"/>
                <c:pt idx="0">
                  <c:v>201.29624106019128</c:v>
                </c:pt>
                <c:pt idx="1">
                  <c:v>205.73655495546194</c:v>
                </c:pt>
                <c:pt idx="2">
                  <c:v>273.81329224744729</c:v>
                </c:pt>
                <c:pt idx="3">
                  <c:v>470.7041858709099</c:v>
                </c:pt>
                <c:pt idx="4">
                  <c:v>535.39314005735355</c:v>
                </c:pt>
                <c:pt idx="5">
                  <c:v>530.7692496442769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A15-4282-8F64-5ECE257B039C}"/>
            </c:ext>
          </c:extLst>
        </c:ser>
        <c:ser>
          <c:idx val="1"/>
          <c:order val="1"/>
          <c:tx>
            <c:strRef>
              <c:f>'[Диаграммалар 2016-2019.xlsx]Услуг ЭК и ИМ 6-7д'!$B$27</c:f>
              <c:strCache>
                <c:ptCount val="1"/>
                <c:pt idx="0">
                  <c:v>Услуги, связанные поездками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-2.1726757117266288E-3"/>
                  <c:y val="5.525249131694769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A15-4282-8F64-5ECE257B039C}"/>
                </c:ext>
              </c:extLst>
            </c:dLbl>
            <c:dLbl>
              <c:idx val="1"/>
              <c:layout>
                <c:manualLayout>
                  <c:x val="-4.3825080257947242E-3"/>
                  <c:y val="6.446120958881632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BA15-4282-8F64-5ECE257B039C}"/>
                </c:ext>
              </c:extLst>
            </c:dLbl>
            <c:dLbl>
              <c:idx val="2"/>
              <c:layout>
                <c:manualLayout>
                  <c:x val="-4.3825080257948032E-3"/>
                  <c:y val="5.832122984197853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BA15-4282-8F64-5ECE257B039C}"/>
                </c:ext>
              </c:extLst>
            </c:dLbl>
            <c:dLbl>
              <c:idx val="3"/>
              <c:layout>
                <c:manualLayout>
                  <c:x val="-4.0092600970614373E-17"/>
                  <c:y val="5.228757536773252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BA15-4282-8F64-5ECE257B039C}"/>
                </c:ext>
              </c:extLst>
            </c:dLbl>
            <c:dLbl>
              <c:idx val="4"/>
              <c:layout>
                <c:manualLayout>
                  <c:x val="2.1868750884253361E-3"/>
                  <c:y val="5.843301420950992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BA15-4282-8F64-5ECE257B039C}"/>
                </c:ext>
              </c:extLst>
            </c:dLbl>
            <c:dLbl>
              <c:idx val="5"/>
              <c:layout>
                <c:manualLayout>
                  <c:x val="-3.9499491422487097E-5"/>
                  <c:y val="6.793651044110292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BA15-4282-8F64-5ECE257B03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'[Диаграммалар 2016-2019.xlsx]Услуг ЭК и ИМ 6-7д'!$AB$5:$AG$5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'[Диаграммалар 2016-2019.xlsx]Услуг ЭК и ИМ 6-7д'!$AB$27:$AG$27</c:f>
              <c:numCache>
                <c:formatCode>_-* #\ ##0_р_._-;\-* #\ ##0_р_._-;_-* "-"??_р_._-;_-@_-</c:formatCode>
                <c:ptCount val="6"/>
                <c:pt idx="0">
                  <c:v>1114.474856842904</c:v>
                </c:pt>
                <c:pt idx="1">
                  <c:v>1593.9524590347423</c:v>
                </c:pt>
                <c:pt idx="2">
                  <c:v>1381.8038380137655</c:v>
                </c:pt>
                <c:pt idx="3">
                  <c:v>1631.430861907133</c:v>
                </c:pt>
                <c:pt idx="4">
                  <c:v>2243.1374164941212</c:v>
                </c:pt>
                <c:pt idx="5">
                  <c:v>2313.0049749530044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BA15-4282-8F64-5ECE257B039C}"/>
            </c:ext>
          </c:extLst>
        </c:ser>
        <c:ser>
          <c:idx val="2"/>
          <c:order val="2"/>
          <c:tx>
            <c:strRef>
              <c:f>'[Диаграммалар 2016-2019.xlsx]Услуг ЭК и ИМ 6-7д'!$B$28</c:f>
              <c:strCache>
                <c:ptCount val="1"/>
                <c:pt idx="0">
                  <c:v>Транспортные услуги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1.5185225879307844E-2"/>
                  <c:y val="-2.945239404867363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BA15-4282-8F64-5ECE257B039C}"/>
                </c:ext>
              </c:extLst>
            </c:dLbl>
            <c:dLbl>
              <c:idx val="1"/>
              <c:layout>
                <c:manualLayout>
                  <c:x val="1.7356599553797421E-2"/>
                  <c:y val="-6.075683659223388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BA15-4282-8F64-5ECE257B039C}"/>
                </c:ext>
              </c:extLst>
            </c:dLbl>
            <c:dLbl>
              <c:idx val="2"/>
              <c:layout>
                <c:manualLayout>
                  <c:x val="1.5222483041522942E-2"/>
                  <c:y val="-6.138011068439466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BA15-4282-8F64-5ECE257B039C}"/>
                </c:ext>
              </c:extLst>
            </c:dLbl>
            <c:dLbl>
              <c:idx val="3"/>
              <c:layout>
                <c:manualLayout>
                  <c:x val="1.5205061868450061E-2"/>
                  <c:y val="-1.223386275815534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BA15-4282-8F64-5ECE257B039C}"/>
                </c:ext>
              </c:extLst>
            </c:dLbl>
            <c:dLbl>
              <c:idx val="4"/>
              <c:layout>
                <c:manualLayout>
                  <c:x val="1.5377721217419182E-2"/>
                  <c:y val="-9.953311569889529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BA15-4282-8F64-5ECE257B039C}"/>
                </c:ext>
              </c:extLst>
            </c:dLbl>
            <c:dLbl>
              <c:idx val="5"/>
              <c:layout>
                <c:manualLayout>
                  <c:x val="1.5233522200697784E-2"/>
                  <c:y val="-5.977509574000463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BA15-4282-8F64-5ECE257B03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'[Диаграммалар 2016-2019.xlsx]Услуг ЭК и ИМ 6-7д'!$AB$5:$AG$5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'[Диаграммалар 2016-2019.xlsx]Услуг ЭК и ИМ 6-7д'!$AB$28:$AG$28</c:f>
              <c:numCache>
                <c:formatCode>_-* #\ ##0_р_._-;\-* #\ ##0_р_._-;_-* "-"??_р_._-;_-@_-</c:formatCode>
                <c:ptCount val="6"/>
                <c:pt idx="0">
                  <c:v>1572.7643817999979</c:v>
                </c:pt>
                <c:pt idx="1">
                  <c:v>1293.5719609000012</c:v>
                </c:pt>
                <c:pt idx="2">
                  <c:v>1788.1197028695692</c:v>
                </c:pt>
                <c:pt idx="3">
                  <c:v>1990.6907503393336</c:v>
                </c:pt>
                <c:pt idx="4">
                  <c:v>2412.5713655315203</c:v>
                </c:pt>
                <c:pt idx="5">
                  <c:v>2517.0968608943294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BA15-4282-8F64-5ECE257B039C}"/>
            </c:ext>
          </c:extLst>
        </c:ser>
        <c:shape val="box"/>
        <c:axId val="117563392"/>
        <c:axId val="117564928"/>
        <c:axId val="117257088"/>
      </c:bar3DChart>
      <c:catAx>
        <c:axId val="1175633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564928"/>
        <c:crosses val="autoZero"/>
        <c:auto val="1"/>
        <c:lblAlgn val="ctr"/>
        <c:lblOffset val="500"/>
        <c:tickMarkSkip val="1"/>
      </c:catAx>
      <c:valAx>
        <c:axId val="117564928"/>
        <c:scaling>
          <c:orientation val="minMax"/>
          <c:max val="2601"/>
          <c:min val="1.0000000000000005E-2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563392"/>
        <c:crosses val="autoZero"/>
        <c:crossBetween val="between"/>
        <c:majorUnit val="200"/>
        <c:minorUnit val="10"/>
      </c:valAx>
      <c:serAx>
        <c:axId val="1172570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tickLblPos val="nextTo"/>
        <c:crossAx val="117564928"/>
        <c:crosses val="autoZero"/>
      </c:ser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05734082790543E-2"/>
          <c:y val="0.87828270338598158"/>
          <c:w val="0.83348101083510739"/>
          <c:h val="9.667416742007041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475542684395057E-2"/>
          <c:y val="5.582110894596231E-2"/>
          <c:w val="0.90790387565190711"/>
          <c:h val="0.62976664462117782"/>
        </c:manualLayout>
      </c:layout>
      <c:barChart>
        <c:barDir val="col"/>
        <c:grouping val="stacked"/>
        <c:ser>
          <c:idx val="0"/>
          <c:order val="0"/>
          <c:tx>
            <c:strRef>
              <c:f>'[Диаграммалар 2016-2019.xlsx]6 табл 8д'!$A$91</c:f>
              <c:strCache>
                <c:ptCount val="1"/>
                <c:pt idx="0">
                  <c:v>оплата труда к получению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'[Диаграммалар 2016-2019.xlsx]6 табл 8д'!$AA$79:$AF$80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'[Диаграммалар 2016-2019.xlsx]6 табл 8д'!$AA$91:$AF$91</c:f>
              <c:numCache>
                <c:formatCode>_-* #\ ##0_р_._-;\-* #\ ##0_р_._-;_-* "-"??_р_._-;_-@_-</c:formatCode>
                <c:ptCount val="6"/>
                <c:pt idx="0">
                  <c:v>1597.0686901321119</c:v>
                </c:pt>
                <c:pt idx="1">
                  <c:v>1995.1924949569993</c:v>
                </c:pt>
                <c:pt idx="2">
                  <c:v>2145.9765051335007</c:v>
                </c:pt>
                <c:pt idx="3">
                  <c:v>2476.912604536501</c:v>
                </c:pt>
                <c:pt idx="4">
                  <c:v>2947.1035722520005</c:v>
                </c:pt>
                <c:pt idx="5">
                  <c:v>2660.6964590054995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3C-4944-BFCD-8BE6D81264D1}"/>
            </c:ext>
          </c:extLst>
        </c:ser>
        <c:ser>
          <c:idx val="1"/>
          <c:order val="1"/>
          <c:tx>
            <c:strRef>
              <c:f>'[Диаграммалар 2016-2019.xlsx]6 табл 8д'!$A$92</c:f>
              <c:strCache>
                <c:ptCount val="1"/>
                <c:pt idx="0">
                  <c:v>доходы от международных резервов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  <a:effectLst/>
          </c:spPr>
          <c:cat>
            <c:strRef>
              <c:f>'[Диаграммалар 2016-2019.xlsx]6 табл 8д'!$AA$79:$AF$80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'[Диаграммалар 2016-2019.xlsx]6 табл 8д'!$AA$92:$AF$92</c:f>
              <c:numCache>
                <c:formatCode>_-* #\ ##0_р_._-;\-* #\ ##0_р_._-;_-* "-"??_р_._-;_-@_-</c:formatCode>
                <c:ptCount val="6"/>
                <c:pt idx="0">
                  <c:v>23.313244068216935</c:v>
                </c:pt>
                <c:pt idx="1">
                  <c:v>24.722753186946353</c:v>
                </c:pt>
                <c:pt idx="2">
                  <c:v>57.067439479999997</c:v>
                </c:pt>
                <c:pt idx="3">
                  <c:v>110.76649818999998</c:v>
                </c:pt>
                <c:pt idx="4">
                  <c:v>226.12919660629601</c:v>
                </c:pt>
                <c:pt idx="5">
                  <c:v>283.69363557597961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3C-4944-BFCD-8BE6D81264D1}"/>
            </c:ext>
          </c:extLst>
        </c:ser>
        <c:ser>
          <c:idx val="2"/>
          <c:order val="2"/>
          <c:tx>
            <c:strRef>
              <c:f>'[Диаграммалар 2016-2019.xlsx]6 табл 8д'!$A$93</c:f>
              <c:strCache>
                <c:ptCount val="1"/>
                <c:pt idx="0">
                  <c:v>прочие доходы к получению</c:v>
                </c:pt>
              </c:strCache>
            </c:strRef>
          </c:tx>
          <c:spPr>
            <a:solidFill>
              <a:schemeClr val="bg2">
                <a:lumMod val="10000"/>
              </a:schemeClr>
            </a:solidFill>
            <a:ln>
              <a:noFill/>
            </a:ln>
            <a:effectLst/>
          </c:spPr>
          <c:cat>
            <c:strRef>
              <c:f>'[Диаграммалар 2016-2019.xlsx]6 табл 8д'!$AA$79:$AF$80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'[Диаграммалар 2016-2019.xlsx]6 табл 8д'!$AA$93:$AF$93</c:f>
              <c:numCache>
                <c:formatCode>_-* #\ ##0_р_._-;\-* #\ ##0_р_._-;_-* "-"??_р_._-;_-@_-</c:formatCode>
                <c:ptCount val="6"/>
                <c:pt idx="0">
                  <c:v>2.6562499999999987</c:v>
                </c:pt>
                <c:pt idx="1">
                  <c:v>2.8291875000000002</c:v>
                </c:pt>
                <c:pt idx="2">
                  <c:v>7.3702608199999995</c:v>
                </c:pt>
                <c:pt idx="3">
                  <c:v>9.8602608200000024</c:v>
                </c:pt>
                <c:pt idx="4">
                  <c:v>11.841153397374425</c:v>
                </c:pt>
                <c:pt idx="5">
                  <c:v>9.1435564093093049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43C-4944-BFCD-8BE6D81264D1}"/>
            </c:ext>
          </c:extLst>
        </c:ser>
        <c:ser>
          <c:idx val="3"/>
          <c:order val="3"/>
          <c:tx>
            <c:strRef>
              <c:f>'[Диаграммалар 2016-2019.xlsx]6 табл 8д'!$A$94</c:f>
              <c:strCache>
                <c:ptCount val="1"/>
                <c:pt idx="0">
                  <c:v>выплаты, начисленные по прямым инвестициям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cat>
            <c:strRef>
              <c:f>'[Диаграммалар 2016-2019.xlsx]6 табл 8д'!$AA$79:$AF$80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'[Диаграммалар 2016-2019.xlsx]6 табл 8д'!$AA$94:$AF$94</c:f>
              <c:numCache>
                <c:formatCode>_-* #\ ##0_р_._-;\-* #\ ##0_р_._-;_-* "-"??_р_._-;_-@_-</c:formatCode>
                <c:ptCount val="6"/>
                <c:pt idx="0">
                  <c:v>-302.37638190431596</c:v>
                </c:pt>
                <c:pt idx="1">
                  <c:v>-292.69460641136271</c:v>
                </c:pt>
                <c:pt idx="2">
                  <c:v>-901.82927684108643</c:v>
                </c:pt>
                <c:pt idx="3">
                  <c:v>-957.55051378808639</c:v>
                </c:pt>
                <c:pt idx="4">
                  <c:v>-1135.2994823643864</c:v>
                </c:pt>
                <c:pt idx="5">
                  <c:v>-1296.9510791064185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43C-4944-BFCD-8BE6D81264D1}"/>
            </c:ext>
          </c:extLst>
        </c:ser>
        <c:ser>
          <c:idx val="4"/>
          <c:order val="4"/>
          <c:tx>
            <c:strRef>
              <c:f>'[Диаграммалар 2016-2019.xlsx]6 табл 8д'!$A$95</c:f>
              <c:strCache>
                <c:ptCount val="1"/>
                <c:pt idx="0">
                  <c:v>выплаты, начисленные по кредитам и займам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cat>
            <c:strRef>
              <c:f>'[Диаграммалар 2016-2019.xlsx]6 табл 8д'!$AA$79:$AF$80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'[Диаграммалар 2016-2019.xlsx]6 табл 8д'!$AA$95:$AF$95</c:f>
              <c:numCache>
                <c:formatCode>_-* #\ ##0_р_._-;\-* #\ ##0_р_._-;_-* "-"??_р_._-;_-@_-</c:formatCode>
                <c:ptCount val="6"/>
                <c:pt idx="0">
                  <c:v>-191.14998138825919</c:v>
                </c:pt>
                <c:pt idx="1">
                  <c:v>-289.91127254849863</c:v>
                </c:pt>
                <c:pt idx="2">
                  <c:v>-360.56275556152565</c:v>
                </c:pt>
                <c:pt idx="3">
                  <c:v>-409.95983443569799</c:v>
                </c:pt>
                <c:pt idx="4">
                  <c:v>-514.6026687646729</c:v>
                </c:pt>
                <c:pt idx="5">
                  <c:v>-681.11906161442107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43C-4944-BFCD-8BE6D81264D1}"/>
            </c:ext>
          </c:extLst>
        </c:ser>
        <c:ser>
          <c:idx val="5"/>
          <c:order val="5"/>
          <c:tx>
            <c:strRef>
              <c:f>'[Диаграммалар 2016-2019.xlsx]6 табл 8д'!$A$96</c:f>
              <c:strCache>
                <c:ptCount val="1"/>
                <c:pt idx="0">
                  <c:v>прочие расходы к выплате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cat>
            <c:strRef>
              <c:f>'[Диаграммалар 2016-2019.xlsx]6 табл 8д'!$AA$79:$AF$80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'[Диаграммалар 2016-2019.xlsx]6 табл 8д'!$AA$96:$AF$96</c:f>
              <c:numCache>
                <c:formatCode>_-* #\ ##0_р_._-;\-* #\ ##0_р_._-;_-* "-"??_р_._-;_-@_-</c:formatCode>
                <c:ptCount val="6"/>
                <c:pt idx="0">
                  <c:v>-15.664698554208584</c:v>
                </c:pt>
                <c:pt idx="1">
                  <c:v>-16.612435027119318</c:v>
                </c:pt>
                <c:pt idx="2">
                  <c:v>-16.486417466192727</c:v>
                </c:pt>
                <c:pt idx="3">
                  <c:v>-19.148362166640887</c:v>
                </c:pt>
                <c:pt idx="4">
                  <c:v>-27.96088954888085</c:v>
                </c:pt>
                <c:pt idx="5">
                  <c:v>-102.0594203317215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43C-4944-BFCD-8BE6D81264D1}"/>
            </c:ext>
          </c:extLst>
        </c:ser>
        <c:gapWidth val="200"/>
        <c:overlap val="100"/>
        <c:axId val="117475200"/>
        <c:axId val="117476736"/>
      </c:barChart>
      <c:lineChart>
        <c:grouping val="standard"/>
        <c:ser>
          <c:idx val="6"/>
          <c:order val="6"/>
          <c:tx>
            <c:strRef>
              <c:f>'[Диаграммалар 2016-2019.xlsx]6 табл 8д'!$A$97</c:f>
              <c:strCache>
                <c:ptCount val="1"/>
                <c:pt idx="0">
                  <c:v>сальдо первичных доходов</c:v>
                </c:pt>
              </c:strCache>
            </c:strRef>
          </c:tx>
          <c:spPr>
            <a:ln w="317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l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5.7960613413183546E-3"/>
                  <c:y val="1.197525269414991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43C-4944-BFCD-8BE6D81264D1}"/>
                </c:ext>
              </c:extLst>
            </c:dLbl>
            <c:dLbl>
              <c:idx val="1"/>
              <c:layout>
                <c:manualLayout>
                  <c:x val="3.8784961818190155E-3"/>
                  <c:y val="-1.461491314944015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43C-4944-BFCD-8BE6D81264D1}"/>
                </c:ext>
              </c:extLst>
            </c:dLbl>
            <c:dLbl>
              <c:idx val="2"/>
              <c:layout>
                <c:manualLayout>
                  <c:x val="1.9392480909095084E-3"/>
                  <c:y val="1.169193051955211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B43C-4944-BFCD-8BE6D81264D1}"/>
                </c:ext>
              </c:extLst>
            </c:dLbl>
            <c:dLbl>
              <c:idx val="3"/>
              <c:layout>
                <c:manualLayout>
                  <c:x val="1.9392480909094366E-3"/>
                  <c:y val="8.7689478896640794E-3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B43C-4944-BFCD-8BE6D81264D1}"/>
                </c:ext>
              </c:extLst>
            </c:dLbl>
            <c:dLbl>
              <c:idx val="4"/>
              <c:layout>
                <c:manualLayout>
                  <c:x val="3.8784961818190155E-3"/>
                  <c:y val="-1.461491314944013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B43C-4944-BFCD-8BE6D81264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'[Диаграммалар 2016-2019.xlsx]6 табл 8д'!$AA$79:$AF$80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'[Диаграммалар 2016-2019.xlsx]6 табл 8д'!$AA$97:$AF$97</c:f>
              <c:numCache>
                <c:formatCode>_-* #\ ##0_р_._-;\-* #\ ##0_р_._-;_-* "-"??_р_._-;_-@_-</c:formatCode>
                <c:ptCount val="6"/>
                <c:pt idx="0">
                  <c:v>1113.8471223535448</c:v>
                </c:pt>
                <c:pt idx="1">
                  <c:v>1423.5261216569652</c:v>
                </c:pt>
                <c:pt idx="2">
                  <c:v>931.53575556469491</c:v>
                </c:pt>
                <c:pt idx="3">
                  <c:v>1210.8806531560751</c:v>
                </c:pt>
                <c:pt idx="4">
                  <c:v>1507.2108815777297</c:v>
                </c:pt>
                <c:pt idx="5">
                  <c:v>873.4040899382278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B43C-4944-BFCD-8BE6D81264D1}"/>
            </c:ext>
          </c:extLst>
        </c:ser>
        <c:marker val="1"/>
        <c:axId val="117475200"/>
        <c:axId val="117476736"/>
      </c:lineChart>
      <c:catAx>
        <c:axId val="117475200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476736"/>
        <c:crosses val="autoZero"/>
        <c:auto val="1"/>
        <c:lblAlgn val="ctr"/>
        <c:lblOffset val="100"/>
      </c:catAx>
      <c:valAx>
        <c:axId val="117476736"/>
        <c:scaling>
          <c:orientation val="minMax"/>
          <c:max val="3500"/>
          <c:min val="-2500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475200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3.7225639602438548E-2"/>
          <c:y val="0.81006412578557829"/>
          <c:w val="0.93916449882433306"/>
          <c:h val="0.1741079885540707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2939B-D9AE-4174-A71B-39CCF623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79</Pages>
  <Words>22587</Words>
  <Characters>128749</Characters>
  <Application>Microsoft Office Word</Application>
  <DocSecurity>0</DocSecurity>
  <Lines>1072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151034</CharactersWithSpaces>
  <SharedDoc>false</SharedDoc>
  <HLinks>
    <vt:vector size="252" baseType="variant">
      <vt:variant>
        <vt:i4>4849684</vt:i4>
      </vt:variant>
      <vt:variant>
        <vt:i4>231</vt:i4>
      </vt:variant>
      <vt:variant>
        <vt:i4>0</vt:i4>
      </vt:variant>
      <vt:variant>
        <vt:i4>5</vt:i4>
      </vt:variant>
      <vt:variant>
        <vt:lpwstr>https://ru.wikipedia.org/wiki/%D0%98%D0%BD%D0%BA%D0%BE%D1%82%D0%B5%D1%80%D0%BC%D1%81</vt:lpwstr>
      </vt:variant>
      <vt:variant>
        <vt:lpwstr/>
      </vt:variant>
      <vt:variant>
        <vt:i4>4849684</vt:i4>
      </vt:variant>
      <vt:variant>
        <vt:i4>228</vt:i4>
      </vt:variant>
      <vt:variant>
        <vt:i4>0</vt:i4>
      </vt:variant>
      <vt:variant>
        <vt:i4>5</vt:i4>
      </vt:variant>
      <vt:variant>
        <vt:lpwstr>https://ru.wikipedia.org/wiki/%D0%98%D0%BD%D0%BA%D0%BE%D1%82%D0%B5%D1%80%D0%BC%D1%81</vt:lpwstr>
      </vt:variant>
      <vt:variant>
        <vt:lpwstr/>
      </vt:variant>
      <vt:variant>
        <vt:i4>1310773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_Toc19615972</vt:lpwstr>
      </vt:variant>
      <vt:variant>
        <vt:i4>1507381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_Toc19615971</vt:lpwstr>
      </vt:variant>
      <vt:variant>
        <vt:i4>1441845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_Toc19615970</vt:lpwstr>
      </vt:variant>
      <vt:variant>
        <vt:i4>2031668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_Toc19615969</vt:lpwstr>
      </vt:variant>
      <vt:variant>
        <vt:i4>1966132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_Toc19615968</vt:lpwstr>
      </vt:variant>
      <vt:variant>
        <vt:i4>1114164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_Toc19615967</vt:lpwstr>
      </vt:variant>
      <vt:variant>
        <vt:i4>1048628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_Toc19615966</vt:lpwstr>
      </vt:variant>
      <vt:variant>
        <vt:i4>1245236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_Toc19615965</vt:lpwstr>
      </vt:variant>
      <vt:variant>
        <vt:i4>1179700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_Toc19615964</vt:lpwstr>
      </vt:variant>
      <vt:variant>
        <vt:i4>1376308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_Toc19615963</vt:lpwstr>
      </vt:variant>
      <vt:variant>
        <vt:i4>1310772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_Toc19615962</vt:lpwstr>
      </vt:variant>
      <vt:variant>
        <vt:i4>1507380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_Toc19615961</vt:lpwstr>
      </vt:variant>
      <vt:variant>
        <vt:i4>1441844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_Toc19615960</vt:lpwstr>
      </vt:variant>
      <vt:variant>
        <vt:i4>2031671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_Toc19615959</vt:lpwstr>
      </vt:variant>
      <vt:variant>
        <vt:i4>1966135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_Toc19615958</vt:lpwstr>
      </vt:variant>
      <vt:variant>
        <vt:i4>1114167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_Toc19615957</vt:lpwstr>
      </vt:variant>
      <vt:variant>
        <vt:i4>1048631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_Toc19615956</vt:lpwstr>
      </vt:variant>
      <vt:variant>
        <vt:i4>1179703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_Toc19615954</vt:lpwstr>
      </vt:variant>
      <vt:variant>
        <vt:i4>1376311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_Toc19615953</vt:lpwstr>
      </vt:variant>
      <vt:variant>
        <vt:i4>1310775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_Toc19615952</vt:lpwstr>
      </vt:variant>
      <vt:variant>
        <vt:i4>1507383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_Toc19615951</vt:lpwstr>
      </vt:variant>
      <vt:variant>
        <vt:i4>1441847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_Toc19615950</vt:lpwstr>
      </vt:variant>
      <vt:variant>
        <vt:i4>2031670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_Toc19615949</vt:lpwstr>
      </vt:variant>
      <vt:variant>
        <vt:i4>1966134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_Toc19615948</vt:lpwstr>
      </vt:variant>
      <vt:variant>
        <vt:i4>1114166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_Toc19615947</vt:lpwstr>
      </vt:variant>
      <vt:variant>
        <vt:i4>1048630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_Toc19615946</vt:lpwstr>
      </vt:variant>
      <vt:variant>
        <vt:i4>1245238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_Toc19615945</vt:lpwstr>
      </vt:variant>
      <vt:variant>
        <vt:i4>1179702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_Toc19615944</vt:lpwstr>
      </vt:variant>
      <vt:variant>
        <vt:i4>1376310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_Toc19615943</vt:lpwstr>
      </vt:variant>
      <vt:variant>
        <vt:i4>1310774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_Toc19615942</vt:lpwstr>
      </vt:variant>
      <vt:variant>
        <vt:i4>1507382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_Toc19615941</vt:lpwstr>
      </vt:variant>
      <vt:variant>
        <vt:i4>1441846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_Toc19615940</vt:lpwstr>
      </vt:variant>
      <vt:variant>
        <vt:i4>2031665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_Toc19615939</vt:lpwstr>
      </vt:variant>
      <vt:variant>
        <vt:i4>1966129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_Toc19615938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_Toc19615937</vt:lpwstr>
      </vt:variant>
      <vt:variant>
        <vt:i4>1769511</vt:i4>
      </vt:variant>
      <vt:variant>
        <vt:i4>12</vt:i4>
      </vt:variant>
      <vt:variant>
        <vt:i4>0</vt:i4>
      </vt:variant>
      <vt:variant>
        <vt:i4>5</vt:i4>
      </vt:variant>
      <vt:variant>
        <vt:lpwstr>mailto:val@cbu.uz</vt:lpwstr>
      </vt:variant>
      <vt:variant>
        <vt:lpwstr/>
      </vt:variant>
      <vt:variant>
        <vt:i4>7995402</vt:i4>
      </vt:variant>
      <vt:variant>
        <vt:i4>9</vt:i4>
      </vt:variant>
      <vt:variant>
        <vt:i4>0</vt:i4>
      </vt:variant>
      <vt:variant>
        <vt:i4>5</vt:i4>
      </vt:variant>
      <vt:variant>
        <vt:lpwstr>mailto:r.mirzaahmedov@cbu.uz</vt:lpwstr>
      </vt:variant>
      <vt:variant>
        <vt:lpwstr/>
      </vt:variant>
      <vt:variant>
        <vt:i4>786552</vt:i4>
      </vt:variant>
      <vt:variant>
        <vt:i4>6</vt:i4>
      </vt:variant>
      <vt:variant>
        <vt:i4>0</vt:i4>
      </vt:variant>
      <vt:variant>
        <vt:i4>5</vt:i4>
      </vt:variant>
      <vt:variant>
        <vt:lpwstr>mailto:abdurakhmanov.d@cbu.uz</vt:lpwstr>
      </vt:variant>
      <vt:variant>
        <vt:lpwstr/>
      </vt:variant>
      <vt:variant>
        <vt:i4>720910</vt:i4>
      </vt:variant>
      <vt:variant>
        <vt:i4>3</vt:i4>
      </vt:variant>
      <vt:variant>
        <vt:i4>0</vt:i4>
      </vt:variant>
      <vt:variant>
        <vt:i4>5</vt:i4>
      </vt:variant>
      <vt:variant>
        <vt:lpwstr>http://data.imf.org/</vt:lpwstr>
      </vt:variant>
      <vt:variant>
        <vt:lpwstr/>
      </vt:variant>
      <vt:variant>
        <vt:i4>6750310</vt:i4>
      </vt:variant>
      <vt:variant>
        <vt:i4>0</vt:i4>
      </vt:variant>
      <vt:variant>
        <vt:i4>0</vt:i4>
      </vt:variant>
      <vt:variant>
        <vt:i4>5</vt:i4>
      </vt:variant>
      <vt:variant>
        <vt:lpwstr>http://www.cbu.uz/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Valyutchik</dc:creator>
  <cp:keywords/>
  <dc:description/>
  <cp:lastModifiedBy>pr6</cp:lastModifiedBy>
  <cp:revision>2</cp:revision>
  <cp:lastPrinted>2020-03-27T07:40:00Z</cp:lastPrinted>
  <dcterms:created xsi:type="dcterms:W3CDTF">2020-03-27T10:22:00Z</dcterms:created>
  <dcterms:modified xsi:type="dcterms:W3CDTF">2020-03-27T10:22:00Z</dcterms:modified>
</cp:coreProperties>
</file>